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00" w:type="dxa"/>
        <w:tblLook w:val="04A0" w:firstRow="1" w:lastRow="0" w:firstColumn="1" w:lastColumn="0" w:noHBand="0" w:noVBand="1"/>
      </w:tblPr>
      <w:tblGrid>
        <w:gridCol w:w="3980"/>
        <w:gridCol w:w="780"/>
        <w:gridCol w:w="940"/>
      </w:tblGrid>
      <w:tr w:rsidR="00031ADE" w:rsidRPr="00FA3DC5" w:rsidTr="00B4013A">
        <w:trPr>
          <w:trHeight w:val="585"/>
        </w:trPr>
        <w:tc>
          <w:tcPr>
            <w:tcW w:w="5700" w:type="dxa"/>
            <w:gridSpan w:val="3"/>
            <w:tcBorders>
              <w:top w:val="nil"/>
              <w:left w:val="nil"/>
              <w:bottom w:val="single" w:sz="4" w:space="0" w:color="231F2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b/>
                <w:bCs/>
                <w:color w:val="636466"/>
                <w:sz w:val="20"/>
                <w:szCs w:val="20"/>
              </w:rPr>
              <w:t>Appendix Table A1.</w:t>
            </w: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 Cancer type for the first eligible </w:t>
            </w:r>
            <w:r w:rsidR="00745A87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live </w:t>
            </w: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singleton birth conceived after a cancer diagnosis (</w:t>
            </w:r>
            <w:r w:rsidRPr="00FA3DC5">
              <w:rPr>
                <w:rFonts w:ascii="Calibri" w:eastAsia="Times New Roman" w:hAnsi="Calibri" w:cs="Times New Roman"/>
                <w:i/>
                <w:iCs/>
                <w:color w:val="231F20"/>
                <w:sz w:val="20"/>
                <w:szCs w:val="20"/>
              </w:rPr>
              <w:t>N</w:t>
            </w:r>
            <w:r w:rsidR="009233EC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 = </w:t>
            </w: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4,203).</w:t>
            </w:r>
          </w:p>
        </w:tc>
      </w:tr>
      <w:tr w:rsidR="00031ADE" w:rsidRPr="00FA3DC5" w:rsidTr="00B4013A">
        <w:trPr>
          <w:trHeight w:val="330"/>
        </w:trPr>
        <w:tc>
          <w:tcPr>
            <w:tcW w:w="3980" w:type="dxa"/>
            <w:tcBorders>
              <w:top w:val="nil"/>
              <w:left w:val="nil"/>
              <w:bottom w:val="single" w:sz="4" w:space="0" w:color="231F20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</w:rPr>
              <w:t>Cancer type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231F20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</w:rPr>
              <w:t>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231F20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</w:rPr>
              <w:t>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Melanoma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981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23</w:t>
            </w: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Thyroid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970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23</w:t>
            </w: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Breast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754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18</w:t>
            </w: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Hodgkin lymphoma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7.0%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Cervix uteri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3.1%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Colorectal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2.5%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Brain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2.5%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Non-Hodgkin lymphoma, nodal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2.3%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Ovary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2.1%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Oral and pharynx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2.0%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Soft tissue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B343BA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2.0%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Kidney and bladder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1.5%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Leukemia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1.5%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Non-Hodgkin lymphoma, </w:t>
            </w:r>
            <w:proofErr w:type="spellStart"/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extranodal</w:t>
            </w:r>
            <w:proofErr w:type="spellEnd"/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1.5%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Non-epithelial skin, other than melanoma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1.4%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Digestive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1.0%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B343BA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Lung and other respiratory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B343BA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B343BA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1.0</w:t>
            </w:r>
            <w:r w:rsidR="00031ADE"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B343BA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Other reproductive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B343BA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B343BA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0.9</w:t>
            </w:r>
            <w:r w:rsidR="00031ADE"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Bones and joints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0.7%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Corpus uteri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0.5%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Vulva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0.5%</w:t>
            </w:r>
          </w:p>
        </w:tc>
      </w:tr>
      <w:tr w:rsidR="00031ADE" w:rsidRPr="00FA3DC5" w:rsidTr="00B4013A">
        <w:trPr>
          <w:trHeight w:val="285"/>
        </w:trPr>
        <w:tc>
          <w:tcPr>
            <w:tcW w:w="3980" w:type="dxa"/>
            <w:tcBorders>
              <w:top w:val="nil"/>
              <w:left w:val="nil"/>
              <w:bottom w:val="single" w:sz="4" w:space="0" w:color="231F20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031ADE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 xml:space="preserve">Other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231F20"/>
              <w:right w:val="nil"/>
            </w:tcBorders>
            <w:shd w:val="clear" w:color="000000" w:fill="E6E7E8"/>
            <w:vAlign w:val="bottom"/>
            <w:hideMark/>
          </w:tcPr>
          <w:p w:rsidR="00031ADE" w:rsidRPr="00FA3DC5" w:rsidRDefault="00745A87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68</w:t>
            </w:r>
            <w:bookmarkStart w:id="0" w:name="_GoBack"/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231F20"/>
              <w:right w:val="nil"/>
            </w:tcBorders>
            <w:shd w:val="clear" w:color="000000" w:fill="E6E7E8"/>
            <w:noWrap/>
            <w:vAlign w:val="bottom"/>
            <w:hideMark/>
          </w:tcPr>
          <w:p w:rsidR="00031ADE" w:rsidRPr="00FA3DC5" w:rsidRDefault="00B343BA" w:rsidP="00B4013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1.6</w:t>
            </w:r>
            <w:r w:rsidR="00031ADE" w:rsidRPr="00FA3DC5">
              <w:rPr>
                <w:rFonts w:ascii="Calibri" w:eastAsia="Times New Roman" w:hAnsi="Calibri" w:cs="Times New Roman"/>
                <w:color w:val="231F20"/>
                <w:sz w:val="20"/>
                <w:szCs w:val="20"/>
              </w:rPr>
              <w:t>%</w:t>
            </w:r>
          </w:p>
        </w:tc>
      </w:tr>
    </w:tbl>
    <w:p w:rsidR="00031ADE" w:rsidRDefault="00031ADE" w:rsidP="00031ADE"/>
    <w:p w:rsidR="00031ADE" w:rsidRPr="00A426FB" w:rsidRDefault="00031ADE" w:rsidP="00031ADE"/>
    <w:p w:rsidR="00031ADE" w:rsidRDefault="00031ADE"/>
    <w:sectPr w:rsidR="00031ADE" w:rsidSect="003E7D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DE"/>
    <w:rsid w:val="00031ADE"/>
    <w:rsid w:val="00745A87"/>
    <w:rsid w:val="009233EC"/>
    <w:rsid w:val="00B3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C2A2E"/>
  <w15:chartTrackingRefBased/>
  <w15:docId w15:val="{4D2E8284-C391-4D6C-B30A-12C54E2FA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 - RSPH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Hartnett, Kathleen Chapman</dc:creator>
  <cp:keywords/>
  <dc:description/>
  <cp:lastModifiedBy>Hartnett, Kathleen Chapman</cp:lastModifiedBy>
  <cp:revision>4</cp:revision>
  <cp:lastPrinted>2017-06-26T12:58:00Z</cp:lastPrinted>
  <dcterms:created xsi:type="dcterms:W3CDTF">2017-04-01T11:06:00Z</dcterms:created>
  <dcterms:modified xsi:type="dcterms:W3CDTF">2017-06-26T12:59:00Z</dcterms:modified>
</cp:coreProperties>
</file>