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6EE65" w14:textId="77777777" w:rsidR="00846978" w:rsidRPr="00A10FFD" w:rsidRDefault="00846978" w:rsidP="00846978">
      <w:pPr>
        <w:autoSpaceDE w:val="0"/>
        <w:autoSpaceDN w:val="0"/>
        <w:adjustRightInd w:val="0"/>
        <w:snapToGrid w:val="0"/>
        <w:spacing w:after="0" w:line="240" w:lineRule="auto"/>
        <w:jc w:val="center"/>
        <w:rPr>
          <w:rFonts w:ascii="Arial" w:eastAsia="SimSun" w:hAnsi="Arial" w:cs="Arial"/>
          <w:sz w:val="32"/>
          <w:szCs w:val="32"/>
        </w:rPr>
      </w:pPr>
      <w:r w:rsidRPr="00846978">
        <w:rPr>
          <w:rFonts w:ascii="Arial" w:eastAsia="SimSun" w:hAnsi="Arial" w:cs="Arial"/>
          <w:color w:val="000000"/>
          <w:sz w:val="32"/>
          <w:szCs w:val="32"/>
        </w:rPr>
        <w:t xml:space="preserve">Simultaneous Detection of Dual Biomarkers from Humans Exposed to </w:t>
      </w:r>
      <w:r w:rsidRPr="00846978">
        <w:rPr>
          <w:rFonts w:ascii="Arial" w:eastAsia="SimSun" w:hAnsi="Arial" w:cs="Arial"/>
          <w:sz w:val="32"/>
          <w:szCs w:val="32"/>
        </w:rPr>
        <w:t>Organophosphorus</w:t>
      </w:r>
      <w:r w:rsidRPr="00846978">
        <w:rPr>
          <w:rFonts w:ascii="Arial" w:eastAsia="SimSun" w:hAnsi="Arial" w:cs="Arial"/>
          <w:color w:val="000000"/>
          <w:sz w:val="32"/>
          <w:szCs w:val="32"/>
        </w:rPr>
        <w:t xml:space="preserve"> Pest</w:t>
      </w:r>
      <w:r w:rsidRPr="00A10FFD">
        <w:rPr>
          <w:rFonts w:ascii="Arial" w:eastAsia="SimSun" w:hAnsi="Arial" w:cs="Arial"/>
          <w:sz w:val="32"/>
          <w:szCs w:val="32"/>
        </w:rPr>
        <w:t>icides by Combination of Immunochromatographic Test Strip and Ellman Assay</w:t>
      </w:r>
    </w:p>
    <w:p w14:paraId="2BB466FE" w14:textId="77777777" w:rsidR="00846978" w:rsidRPr="00846978" w:rsidRDefault="00846978" w:rsidP="00846978">
      <w:pPr>
        <w:autoSpaceDE w:val="0"/>
        <w:autoSpaceDN w:val="0"/>
        <w:adjustRightInd w:val="0"/>
        <w:spacing w:after="0" w:line="240" w:lineRule="auto"/>
        <w:jc w:val="center"/>
        <w:rPr>
          <w:rFonts w:ascii="Times" w:eastAsia="SimSun" w:hAnsi="Times" w:cs="Times"/>
          <w:color w:val="000000"/>
          <w:sz w:val="24"/>
          <w:szCs w:val="24"/>
        </w:rPr>
      </w:pPr>
    </w:p>
    <w:p w14:paraId="42DFF0FF" w14:textId="77777777" w:rsidR="00846978" w:rsidRPr="00846978" w:rsidRDefault="00846978" w:rsidP="00846978">
      <w:pPr>
        <w:autoSpaceDE w:val="0"/>
        <w:autoSpaceDN w:val="0"/>
        <w:adjustRightInd w:val="0"/>
        <w:spacing w:after="0" w:line="240" w:lineRule="auto"/>
        <w:jc w:val="center"/>
        <w:rPr>
          <w:rFonts w:ascii="Times" w:eastAsia="SimSun" w:hAnsi="Times" w:cs="Times"/>
          <w:color w:val="000000"/>
          <w:sz w:val="24"/>
          <w:szCs w:val="24"/>
        </w:rPr>
      </w:pPr>
      <w:r w:rsidRPr="00846978">
        <w:rPr>
          <w:rFonts w:ascii="Times" w:eastAsia="SimSun" w:hAnsi="Times" w:cs="Times"/>
          <w:color w:val="000000"/>
          <w:sz w:val="24"/>
          <w:szCs w:val="24"/>
        </w:rPr>
        <w:t>Mingming Yang</w:t>
      </w:r>
      <w:r w:rsidRPr="00846978">
        <w:rPr>
          <w:rFonts w:ascii="Times" w:eastAsia="SimSun" w:hAnsi="Times" w:cs="Times"/>
          <w:color w:val="000000"/>
          <w:sz w:val="24"/>
          <w:szCs w:val="24"/>
          <w:vertAlign w:val="superscript"/>
        </w:rPr>
        <w:t>a, b#</w:t>
      </w:r>
      <w:r w:rsidRPr="00846978">
        <w:rPr>
          <w:rFonts w:ascii="Times" w:eastAsia="SimSun" w:hAnsi="Times" w:cs="Times"/>
          <w:color w:val="000000"/>
          <w:sz w:val="24"/>
          <w:szCs w:val="24"/>
        </w:rPr>
        <w:t>, Yuting Zhao</w:t>
      </w:r>
      <w:r w:rsidRPr="00846978">
        <w:rPr>
          <w:rFonts w:ascii="Times" w:eastAsia="SimSun" w:hAnsi="Times" w:cs="Times"/>
          <w:color w:val="000000"/>
          <w:sz w:val="24"/>
          <w:szCs w:val="24"/>
          <w:vertAlign w:val="superscript"/>
        </w:rPr>
        <w:t>a#</w:t>
      </w:r>
      <w:r w:rsidRPr="00846978">
        <w:rPr>
          <w:rFonts w:ascii="Times" w:eastAsia="SimSun" w:hAnsi="Times" w:cs="Times"/>
          <w:color w:val="000000"/>
          <w:sz w:val="24"/>
          <w:szCs w:val="24"/>
        </w:rPr>
        <w:t>, Limin Wang</w:t>
      </w:r>
      <w:r w:rsidRPr="00846978">
        <w:rPr>
          <w:rFonts w:ascii="Times" w:eastAsia="SimSun" w:hAnsi="Times" w:cs="Times"/>
          <w:color w:val="000000"/>
          <w:sz w:val="24"/>
          <w:szCs w:val="24"/>
          <w:vertAlign w:val="superscript"/>
        </w:rPr>
        <w:t>d</w:t>
      </w:r>
      <w:r w:rsidRPr="00846978">
        <w:rPr>
          <w:rFonts w:ascii="Times" w:eastAsia="SimSun" w:hAnsi="Times" w:cs="Times"/>
          <w:color w:val="000000"/>
          <w:sz w:val="24"/>
          <w:szCs w:val="24"/>
        </w:rPr>
        <w:t>, Michael Paulsen</w:t>
      </w:r>
      <w:r w:rsidRPr="00846978">
        <w:rPr>
          <w:rFonts w:ascii="Times" w:eastAsia="SimSun" w:hAnsi="Times" w:cs="Times"/>
          <w:color w:val="000000"/>
          <w:sz w:val="24"/>
          <w:szCs w:val="24"/>
          <w:vertAlign w:val="superscript"/>
        </w:rPr>
        <w:t>c</w:t>
      </w:r>
      <w:r w:rsidRPr="00846978">
        <w:rPr>
          <w:rFonts w:ascii="Times" w:eastAsia="SimSun" w:hAnsi="Times" w:cs="Times" w:hint="eastAsia"/>
          <w:color w:val="000000"/>
          <w:sz w:val="24"/>
          <w:szCs w:val="24"/>
        </w:rPr>
        <w:t xml:space="preserve">, </w:t>
      </w:r>
      <w:r w:rsidRPr="00846978">
        <w:rPr>
          <w:rFonts w:ascii="Times" w:eastAsia="SimSun" w:hAnsi="Times" w:cs="Times"/>
          <w:color w:val="000000"/>
          <w:sz w:val="24"/>
          <w:szCs w:val="24"/>
        </w:rPr>
        <w:t>Christopher D. Simpson</w:t>
      </w:r>
      <w:r w:rsidRPr="00846978">
        <w:rPr>
          <w:rFonts w:ascii="Times" w:eastAsia="SimSun" w:hAnsi="Times" w:cs="Times"/>
          <w:color w:val="000000"/>
          <w:sz w:val="24"/>
          <w:szCs w:val="24"/>
          <w:vertAlign w:val="superscript"/>
        </w:rPr>
        <w:t>c</w:t>
      </w:r>
      <w:r w:rsidRPr="00846978">
        <w:rPr>
          <w:rFonts w:ascii="Times" w:eastAsia="SimSun" w:hAnsi="Times" w:cs="Times" w:hint="eastAsia"/>
          <w:color w:val="000000"/>
          <w:sz w:val="24"/>
          <w:szCs w:val="24"/>
        </w:rPr>
        <w:t xml:space="preserve">, </w:t>
      </w:r>
      <w:r w:rsidRPr="00846978">
        <w:rPr>
          <w:rFonts w:ascii="Times" w:eastAsia="SimSun" w:hAnsi="Times" w:cs="Times"/>
          <w:color w:val="000000"/>
          <w:sz w:val="24"/>
          <w:szCs w:val="24"/>
        </w:rPr>
        <w:t>Fengquan Liu</w:t>
      </w:r>
      <w:r w:rsidRPr="00846978">
        <w:rPr>
          <w:rFonts w:ascii="Times" w:eastAsia="SimSun" w:hAnsi="Times" w:cs="Times"/>
          <w:color w:val="000000"/>
          <w:sz w:val="24"/>
          <w:szCs w:val="24"/>
          <w:vertAlign w:val="superscript"/>
        </w:rPr>
        <w:t>b</w:t>
      </w:r>
      <w:r w:rsidRPr="00846978">
        <w:rPr>
          <w:rFonts w:ascii="Times" w:eastAsia="SimSun" w:hAnsi="Times" w:cs="Times"/>
          <w:color w:val="000000"/>
          <w:sz w:val="24"/>
          <w:szCs w:val="24"/>
        </w:rPr>
        <w:t>, Dan Du</w:t>
      </w:r>
      <w:r w:rsidRPr="00846978">
        <w:rPr>
          <w:rFonts w:ascii="Times" w:eastAsia="SimSun" w:hAnsi="Times" w:cs="Times"/>
          <w:color w:val="000000"/>
          <w:sz w:val="24"/>
          <w:szCs w:val="24"/>
          <w:vertAlign w:val="superscript"/>
        </w:rPr>
        <w:t>a</w:t>
      </w:r>
      <w:r w:rsidRPr="00846978">
        <w:rPr>
          <w:rFonts w:ascii="Times" w:eastAsia="SimSun" w:hAnsi="Times" w:cs="Times" w:hint="eastAsia"/>
          <w:color w:val="000000"/>
          <w:sz w:val="24"/>
          <w:szCs w:val="24"/>
          <w:vertAlign w:val="superscript"/>
        </w:rPr>
        <w:t>*</w:t>
      </w:r>
      <w:r w:rsidRPr="00846978">
        <w:rPr>
          <w:rFonts w:ascii="Times" w:eastAsia="SimSun" w:hAnsi="Times" w:cs="Times"/>
          <w:color w:val="000000"/>
          <w:sz w:val="24"/>
          <w:szCs w:val="24"/>
        </w:rPr>
        <w:t>, Yuehe Lin</w:t>
      </w:r>
      <w:r w:rsidRPr="00846978">
        <w:rPr>
          <w:rFonts w:ascii="Times" w:eastAsia="SimSun" w:hAnsi="Times" w:cs="Times"/>
          <w:color w:val="000000"/>
          <w:sz w:val="24"/>
          <w:szCs w:val="24"/>
          <w:vertAlign w:val="superscript"/>
        </w:rPr>
        <w:t>a*</w:t>
      </w:r>
      <w:r w:rsidRPr="00846978">
        <w:rPr>
          <w:rFonts w:ascii="Times" w:eastAsia="SimSun" w:hAnsi="Times" w:cs="Times"/>
          <w:color w:val="000000"/>
          <w:sz w:val="24"/>
          <w:szCs w:val="24"/>
        </w:rPr>
        <w:t xml:space="preserve"> </w:t>
      </w:r>
    </w:p>
    <w:p w14:paraId="242D2E7F" w14:textId="77777777" w:rsidR="00846978" w:rsidRPr="00846978" w:rsidRDefault="00846978" w:rsidP="00846978">
      <w:pPr>
        <w:autoSpaceDE w:val="0"/>
        <w:autoSpaceDN w:val="0"/>
        <w:adjustRightInd w:val="0"/>
        <w:spacing w:after="0" w:line="240" w:lineRule="auto"/>
        <w:jc w:val="center"/>
        <w:rPr>
          <w:rFonts w:ascii="Times" w:eastAsia="SimSun" w:hAnsi="Times" w:cs="Times"/>
          <w:color w:val="000000"/>
          <w:sz w:val="24"/>
          <w:szCs w:val="24"/>
        </w:rPr>
      </w:pPr>
    </w:p>
    <w:p w14:paraId="745D7907" w14:textId="77777777" w:rsidR="00846978" w:rsidRPr="00846978" w:rsidRDefault="00846978" w:rsidP="00846978">
      <w:pPr>
        <w:autoSpaceDE w:val="0"/>
        <w:autoSpaceDN w:val="0"/>
        <w:adjustRightInd w:val="0"/>
        <w:spacing w:after="0" w:line="240" w:lineRule="auto"/>
        <w:jc w:val="center"/>
        <w:rPr>
          <w:rFonts w:ascii="Times New Roman" w:eastAsia="SimSun" w:hAnsi="Times New Roman" w:cs="Times New Roman"/>
          <w:kern w:val="2"/>
          <w:sz w:val="24"/>
        </w:rPr>
      </w:pPr>
    </w:p>
    <w:p w14:paraId="40F8F8E7" w14:textId="77777777" w:rsidR="00846978" w:rsidRPr="00846978" w:rsidRDefault="00846978" w:rsidP="00846978">
      <w:pPr>
        <w:autoSpaceDE w:val="0"/>
        <w:autoSpaceDN w:val="0"/>
        <w:adjustRightInd w:val="0"/>
        <w:spacing w:after="0" w:line="240" w:lineRule="auto"/>
        <w:jc w:val="center"/>
        <w:rPr>
          <w:rFonts w:ascii="Times New Roman" w:eastAsia="SimSun" w:hAnsi="Times New Roman" w:cs="Times New Roman"/>
          <w:kern w:val="2"/>
          <w:sz w:val="24"/>
        </w:rPr>
      </w:pPr>
      <w:r w:rsidRPr="00846978">
        <w:rPr>
          <w:rFonts w:ascii="Times New Roman" w:eastAsia="SimSun" w:hAnsi="Times New Roman" w:cs="Times New Roman"/>
          <w:kern w:val="2"/>
          <w:sz w:val="24"/>
          <w:vertAlign w:val="superscript"/>
        </w:rPr>
        <w:t>a</w:t>
      </w:r>
      <w:r w:rsidRPr="00846978">
        <w:rPr>
          <w:rFonts w:ascii="Times New Roman" w:eastAsia="SimSun" w:hAnsi="Times New Roman" w:cs="Times New Roman"/>
          <w:kern w:val="2"/>
          <w:sz w:val="24"/>
        </w:rPr>
        <w:t xml:space="preserve"> School of Mechanical and Materials Engineering, Washington State University, Pullman, </w:t>
      </w:r>
      <w:r w:rsidRPr="00846978">
        <w:rPr>
          <w:rFonts w:ascii="Times New Roman" w:eastAsia="SimSun" w:hAnsi="Times New Roman" w:cs="Times New Roman" w:hint="eastAsia"/>
          <w:kern w:val="2"/>
          <w:sz w:val="24"/>
        </w:rPr>
        <w:t>WA</w:t>
      </w:r>
      <w:r w:rsidRPr="00846978">
        <w:rPr>
          <w:rFonts w:ascii="Times New Roman" w:eastAsia="SimSun" w:hAnsi="Times New Roman" w:cs="Times New Roman"/>
          <w:kern w:val="2"/>
          <w:sz w:val="24"/>
        </w:rPr>
        <w:t xml:space="preserve"> 99164, United States</w:t>
      </w:r>
    </w:p>
    <w:p w14:paraId="2A719D65" w14:textId="77777777" w:rsidR="00846978" w:rsidRPr="00846978" w:rsidRDefault="00846978" w:rsidP="00846978">
      <w:pPr>
        <w:autoSpaceDE w:val="0"/>
        <w:autoSpaceDN w:val="0"/>
        <w:adjustRightInd w:val="0"/>
        <w:spacing w:after="0" w:line="240" w:lineRule="auto"/>
        <w:jc w:val="center"/>
        <w:rPr>
          <w:rFonts w:ascii="Times" w:eastAsia="SimSun" w:hAnsi="Times" w:cs="Times"/>
          <w:color w:val="000000"/>
          <w:sz w:val="24"/>
          <w:szCs w:val="24"/>
        </w:rPr>
      </w:pPr>
      <w:r w:rsidRPr="00846978">
        <w:rPr>
          <w:rFonts w:ascii="Times New Roman" w:eastAsia="SimSun" w:hAnsi="Times New Roman" w:cs="Times New Roman"/>
          <w:kern w:val="2"/>
          <w:sz w:val="24"/>
          <w:vertAlign w:val="superscript"/>
        </w:rPr>
        <w:t>b</w:t>
      </w:r>
      <w:r w:rsidRPr="00846978">
        <w:rPr>
          <w:rFonts w:ascii="Times New Roman" w:eastAsia="SimSun" w:hAnsi="Times New Roman" w:cs="Times New Roman"/>
          <w:kern w:val="2"/>
          <w:sz w:val="24"/>
        </w:rPr>
        <w:t xml:space="preserve"> </w:t>
      </w:r>
      <w:r w:rsidRPr="00846978">
        <w:rPr>
          <w:rFonts w:ascii="Times" w:eastAsia="SimSun" w:hAnsi="Times" w:cs="Times"/>
          <w:color w:val="000000"/>
          <w:sz w:val="24"/>
          <w:szCs w:val="24"/>
        </w:rPr>
        <w:t>Jiangsu Academy of Agricultural Sciences, Nanjing 210014, People’s Republic of China</w:t>
      </w:r>
      <w:r w:rsidRPr="00846978">
        <w:rPr>
          <w:rFonts w:ascii="Times New Roman" w:eastAsia="SimSun" w:hAnsi="Times New Roman" w:cs="Times New Roman"/>
          <w:kern w:val="2"/>
          <w:sz w:val="24"/>
        </w:rPr>
        <w:t xml:space="preserve"> </w:t>
      </w:r>
    </w:p>
    <w:p w14:paraId="63AFFF9C" w14:textId="77777777" w:rsidR="00846978" w:rsidRPr="00846978" w:rsidRDefault="00846978" w:rsidP="00846978">
      <w:pPr>
        <w:autoSpaceDE w:val="0"/>
        <w:autoSpaceDN w:val="0"/>
        <w:adjustRightInd w:val="0"/>
        <w:spacing w:after="0" w:line="240" w:lineRule="auto"/>
        <w:jc w:val="center"/>
        <w:rPr>
          <w:rFonts w:ascii="Times New Roman" w:eastAsia="SimSun" w:hAnsi="Times New Roman" w:cs="Times New Roman"/>
          <w:kern w:val="2"/>
          <w:sz w:val="24"/>
        </w:rPr>
      </w:pPr>
      <w:r w:rsidRPr="00846978">
        <w:rPr>
          <w:rFonts w:ascii="Times" w:eastAsia="SimSun" w:hAnsi="Times" w:cs="Times"/>
          <w:color w:val="000000"/>
          <w:sz w:val="24"/>
          <w:szCs w:val="24"/>
          <w:vertAlign w:val="superscript"/>
        </w:rPr>
        <w:t>c</w:t>
      </w:r>
      <w:r w:rsidRPr="00846978">
        <w:rPr>
          <w:rFonts w:ascii="Times" w:eastAsia="SimSun" w:hAnsi="Times" w:cs="Times"/>
          <w:color w:val="000000"/>
          <w:sz w:val="24"/>
          <w:szCs w:val="24"/>
        </w:rPr>
        <w:t xml:space="preserve"> Department of Environmental and Occupational Health Sciences, University of Washington</w:t>
      </w:r>
      <w:r w:rsidRPr="00846978">
        <w:rPr>
          <w:rFonts w:ascii="Times" w:eastAsia="SimSun" w:hAnsi="Times" w:cs="Times" w:hint="eastAsia"/>
          <w:color w:val="000000"/>
          <w:sz w:val="24"/>
          <w:szCs w:val="24"/>
        </w:rPr>
        <w:t xml:space="preserve">, </w:t>
      </w:r>
      <w:r w:rsidRPr="00846978">
        <w:rPr>
          <w:rFonts w:ascii="Times" w:eastAsia="SimSun" w:hAnsi="Times" w:cs="Times"/>
          <w:color w:val="000000"/>
          <w:sz w:val="24"/>
          <w:szCs w:val="24"/>
        </w:rPr>
        <w:t>Seattle, WA 98195</w:t>
      </w:r>
      <w:r w:rsidRPr="00846978">
        <w:rPr>
          <w:rFonts w:ascii="Times" w:eastAsia="SimSun" w:hAnsi="Times" w:cs="Times" w:hint="eastAsia"/>
          <w:color w:val="000000"/>
          <w:sz w:val="24"/>
          <w:szCs w:val="24"/>
        </w:rPr>
        <w:t xml:space="preserve">, </w:t>
      </w:r>
      <w:r w:rsidRPr="00846978">
        <w:rPr>
          <w:rFonts w:ascii="Times New Roman" w:eastAsia="SimSun" w:hAnsi="Times New Roman" w:cs="Times New Roman"/>
          <w:kern w:val="2"/>
          <w:sz w:val="24"/>
        </w:rPr>
        <w:t>United States</w:t>
      </w:r>
    </w:p>
    <w:p w14:paraId="71EDEE4B" w14:textId="77777777" w:rsidR="00846978" w:rsidRPr="00846978" w:rsidRDefault="00846978" w:rsidP="00846978">
      <w:pPr>
        <w:autoSpaceDE w:val="0"/>
        <w:autoSpaceDN w:val="0"/>
        <w:adjustRightInd w:val="0"/>
        <w:spacing w:after="0" w:line="240" w:lineRule="auto"/>
        <w:jc w:val="center"/>
        <w:rPr>
          <w:rFonts w:ascii="Times" w:eastAsia="SimSun" w:hAnsi="Times" w:cs="Times"/>
          <w:color w:val="000000"/>
          <w:sz w:val="24"/>
          <w:szCs w:val="24"/>
        </w:rPr>
      </w:pPr>
      <w:r w:rsidRPr="00846978">
        <w:rPr>
          <w:rFonts w:ascii="Times" w:eastAsia="SimSun" w:hAnsi="Times" w:cs="Times"/>
          <w:color w:val="000000"/>
          <w:sz w:val="24"/>
          <w:szCs w:val="24"/>
          <w:vertAlign w:val="superscript"/>
        </w:rPr>
        <w:t>d</w:t>
      </w:r>
      <w:r w:rsidRPr="00846978">
        <w:rPr>
          <w:rFonts w:ascii="Times" w:eastAsia="SimSun" w:hAnsi="Times" w:cs="Times"/>
          <w:color w:val="000000"/>
          <w:sz w:val="24"/>
          <w:szCs w:val="24"/>
        </w:rPr>
        <w:t xml:space="preserve"> </w:t>
      </w:r>
      <w:r w:rsidRPr="00846978">
        <w:rPr>
          <w:rFonts w:ascii="Times New Roman" w:eastAsia="SimSun" w:hAnsi="Times New Roman" w:cs="Times New Roman"/>
          <w:kern w:val="2"/>
          <w:sz w:val="24"/>
        </w:rPr>
        <w:t>College of Plant Protection, Nanjing Agricultural University, Nanjing 210095, People’s Republic of China</w:t>
      </w:r>
    </w:p>
    <w:p w14:paraId="4FDB9F4B" w14:textId="77777777" w:rsidR="00846978" w:rsidRPr="00846978" w:rsidRDefault="00846978" w:rsidP="00846978">
      <w:pPr>
        <w:autoSpaceDE w:val="0"/>
        <w:autoSpaceDN w:val="0"/>
        <w:adjustRightInd w:val="0"/>
        <w:spacing w:after="0" w:line="240" w:lineRule="auto"/>
        <w:rPr>
          <w:rFonts w:ascii="Times New Roman" w:eastAsia="SimSun" w:hAnsi="Times New Roman" w:cs="Times New Roman"/>
          <w:kern w:val="2"/>
          <w:sz w:val="24"/>
        </w:rPr>
      </w:pPr>
    </w:p>
    <w:p w14:paraId="7B048E19" w14:textId="77777777" w:rsidR="008723AC" w:rsidRDefault="008723AC" w:rsidP="008723AC">
      <w:pPr>
        <w:autoSpaceDE w:val="0"/>
        <w:autoSpaceDN w:val="0"/>
        <w:adjustRightInd w:val="0"/>
      </w:pPr>
    </w:p>
    <w:p w14:paraId="78CC4E17" w14:textId="77777777" w:rsidR="008723AC" w:rsidRDefault="008723AC" w:rsidP="008723AC">
      <w:pPr>
        <w:autoSpaceDE w:val="0"/>
        <w:autoSpaceDN w:val="0"/>
        <w:adjustRightInd w:val="0"/>
      </w:pPr>
      <w:r>
        <w:t># These authors contributed equally to this work.</w:t>
      </w:r>
    </w:p>
    <w:p w14:paraId="0CC402AA" w14:textId="1700DFC9" w:rsidR="00951702" w:rsidRPr="008723AC" w:rsidRDefault="00951702"/>
    <w:p w14:paraId="1795D4C0" w14:textId="6A0F7C19" w:rsidR="007152FE" w:rsidRDefault="007152FE"/>
    <w:p w14:paraId="746DD099" w14:textId="77777777" w:rsidR="000C5153" w:rsidRDefault="000C5153">
      <w:pPr>
        <w:rPr>
          <w:rFonts w:ascii="Times New Roman" w:hAnsi="Times New Roman" w:cs="Times New Roman"/>
          <w:b/>
          <w:sz w:val="24"/>
          <w:szCs w:val="24"/>
        </w:rPr>
      </w:pPr>
      <w:r>
        <w:rPr>
          <w:rFonts w:ascii="Times New Roman" w:hAnsi="Times New Roman" w:cs="Times New Roman"/>
          <w:b/>
          <w:sz w:val="24"/>
          <w:szCs w:val="24"/>
        </w:rPr>
        <w:br w:type="page"/>
      </w:r>
    </w:p>
    <w:p w14:paraId="299AA3AF" w14:textId="319D23A9" w:rsidR="008723AC" w:rsidRPr="008573C3" w:rsidRDefault="008723AC">
      <w:pPr>
        <w:rPr>
          <w:rFonts w:ascii="Times New Roman" w:hAnsi="Times New Roman" w:cs="Times New Roman"/>
          <w:b/>
          <w:sz w:val="24"/>
          <w:szCs w:val="24"/>
        </w:rPr>
      </w:pPr>
      <w:r w:rsidRPr="008573C3">
        <w:rPr>
          <w:rFonts w:ascii="Times New Roman" w:hAnsi="Times New Roman" w:cs="Times New Roman"/>
          <w:b/>
          <w:sz w:val="24"/>
          <w:szCs w:val="24"/>
        </w:rPr>
        <w:lastRenderedPageBreak/>
        <w:t>Experimental section:</w:t>
      </w:r>
    </w:p>
    <w:p w14:paraId="3FA54AD7" w14:textId="6A813390" w:rsidR="007152FE" w:rsidRPr="008573C3" w:rsidRDefault="00631D90">
      <w:pPr>
        <w:rPr>
          <w:rFonts w:ascii="Times New Roman" w:hAnsi="Times New Roman" w:cs="Times New Roman"/>
          <w:b/>
          <w:sz w:val="24"/>
          <w:szCs w:val="24"/>
        </w:rPr>
      </w:pPr>
      <w:r w:rsidRPr="008573C3">
        <w:rPr>
          <w:rFonts w:ascii="Times New Roman" w:hAnsi="Times New Roman" w:cs="Times New Roman"/>
          <w:b/>
          <w:sz w:val="24"/>
          <w:szCs w:val="24"/>
        </w:rPr>
        <w:t xml:space="preserve">The principle of </w:t>
      </w:r>
      <w:r w:rsidR="008723AC" w:rsidRPr="008573C3">
        <w:rPr>
          <w:rFonts w:ascii="Times New Roman" w:hAnsi="Times New Roman" w:cs="Times New Roman"/>
          <w:b/>
          <w:sz w:val="24"/>
          <w:szCs w:val="24"/>
        </w:rPr>
        <w:t xml:space="preserve">Ellman </w:t>
      </w:r>
      <w:r w:rsidRPr="008573C3">
        <w:rPr>
          <w:rFonts w:ascii="Times New Roman" w:hAnsi="Times New Roman" w:cs="Times New Roman"/>
          <w:b/>
          <w:sz w:val="24"/>
          <w:szCs w:val="24"/>
        </w:rPr>
        <w:t>a</w:t>
      </w:r>
      <w:r w:rsidR="008723AC" w:rsidRPr="008573C3">
        <w:rPr>
          <w:rFonts w:ascii="Times New Roman" w:hAnsi="Times New Roman" w:cs="Times New Roman"/>
          <w:b/>
          <w:sz w:val="24"/>
          <w:szCs w:val="24"/>
        </w:rPr>
        <w:t>ssay</w:t>
      </w:r>
    </w:p>
    <w:p w14:paraId="47B5550A" w14:textId="5F1A9AC2" w:rsidR="008723AC" w:rsidRPr="008573C3" w:rsidRDefault="00631D90" w:rsidP="008573C3">
      <w:pPr>
        <w:jc w:val="both"/>
        <w:rPr>
          <w:rFonts w:ascii="Times New Roman" w:hAnsi="Times New Roman" w:cs="Times New Roman"/>
          <w:sz w:val="24"/>
          <w:szCs w:val="24"/>
        </w:rPr>
      </w:pPr>
      <w:r w:rsidRPr="008573C3">
        <w:rPr>
          <w:rFonts w:ascii="Times New Roman" w:hAnsi="Times New Roman" w:cs="Times New Roman"/>
          <w:sz w:val="24"/>
          <w:szCs w:val="24"/>
        </w:rPr>
        <w:t xml:space="preserve">The Ellman assay is the most commonly used method for measuring ChE activity. In the Ellman method, acetylthiocholine chloride or acetylthiocholine iodide is added as substrate and is hydrolyzed by ChE present in the sample to thiocholine. Then the thiocholine reacts with the Ellman reagent 5,5'-dithiobis-2-nitrobenzoic acid (DTNB) to form a 5-thio-2-nitrobenzoic acid (TNB) anion which absorbs at 412nm. Enzyme activity is positively correlated with absorbance of </w:t>
      </w:r>
      <w:r w:rsidR="007D67DA" w:rsidRPr="008573C3">
        <w:rPr>
          <w:rFonts w:ascii="Times New Roman" w:hAnsi="Times New Roman" w:cs="Times New Roman"/>
          <w:sz w:val="24"/>
          <w:szCs w:val="24"/>
        </w:rPr>
        <w:t>TNB</w:t>
      </w:r>
      <w:r w:rsidR="007D67DA">
        <w:rPr>
          <w:rFonts w:ascii="Times New Roman" w:hAnsi="Times New Roman" w:cs="Times New Roman"/>
          <w:sz w:val="24"/>
          <w:szCs w:val="24"/>
        </w:rPr>
        <w:t xml:space="preserve"> [</w:t>
      </w:r>
      <w:r w:rsidR="00136824">
        <w:rPr>
          <w:rFonts w:ascii="Times New Roman" w:hAnsi="Times New Roman" w:cs="Times New Roman"/>
          <w:sz w:val="24"/>
          <w:szCs w:val="24"/>
        </w:rPr>
        <w:t>1]</w:t>
      </w:r>
      <w:r w:rsidRPr="008573C3">
        <w:rPr>
          <w:rFonts w:ascii="Times New Roman" w:hAnsi="Times New Roman" w:cs="Times New Roman"/>
          <w:sz w:val="24"/>
          <w:szCs w:val="24"/>
        </w:rPr>
        <w:t>.</w:t>
      </w:r>
    </w:p>
    <w:p w14:paraId="63A463E2" w14:textId="55CB6E96" w:rsidR="007152FE" w:rsidRPr="008573C3" w:rsidRDefault="00873F7E">
      <w:pPr>
        <w:rPr>
          <w:rFonts w:ascii="Times New Roman" w:hAnsi="Times New Roman" w:cs="Times New Roman"/>
          <w:b/>
          <w:sz w:val="24"/>
          <w:szCs w:val="24"/>
        </w:rPr>
      </w:pPr>
      <w:r w:rsidRPr="008573C3">
        <w:rPr>
          <w:rFonts w:ascii="Times New Roman" w:hAnsi="Times New Roman" w:cs="Times New Roman"/>
          <w:b/>
          <w:sz w:val="24"/>
          <w:szCs w:val="24"/>
        </w:rPr>
        <w:t xml:space="preserve">The method for optimization of amount of BChE MAb </w:t>
      </w:r>
      <w:r w:rsidR="00C50EA9" w:rsidRPr="008573C3">
        <w:rPr>
          <w:rFonts w:ascii="Times New Roman" w:hAnsi="Times New Roman" w:cs="Times New Roman"/>
          <w:b/>
          <w:sz w:val="24"/>
          <w:szCs w:val="24"/>
        </w:rPr>
        <w:t xml:space="preserve">and pH of AuNPs </w:t>
      </w:r>
      <w:r w:rsidRPr="008573C3">
        <w:rPr>
          <w:rFonts w:ascii="Times New Roman" w:hAnsi="Times New Roman" w:cs="Times New Roman"/>
          <w:b/>
          <w:sz w:val="24"/>
          <w:szCs w:val="24"/>
        </w:rPr>
        <w:t>while preparing Au labeled BChE MAb</w:t>
      </w:r>
    </w:p>
    <w:p w14:paraId="6321F765" w14:textId="52BE44D7" w:rsidR="00873F7E" w:rsidRPr="008573C3" w:rsidRDefault="00873F7E" w:rsidP="00873F7E">
      <w:pPr>
        <w:jc w:val="both"/>
        <w:rPr>
          <w:rFonts w:ascii="Times New Roman" w:eastAsia="Times New Roman" w:hAnsi="Times New Roman" w:cs="Times New Roman"/>
          <w:color w:val="000000" w:themeColor="text1"/>
          <w:sz w:val="24"/>
          <w:szCs w:val="24"/>
        </w:rPr>
      </w:pPr>
      <w:r w:rsidRPr="008573C3">
        <w:rPr>
          <w:rFonts w:ascii="Times New Roman" w:hAnsi="Times New Roman" w:cs="Times New Roman"/>
          <w:sz w:val="24"/>
          <w:szCs w:val="24"/>
        </w:rPr>
        <w:t xml:space="preserve">We used Horisberger </w:t>
      </w:r>
      <w:r w:rsidR="007D67DA" w:rsidRPr="008573C3">
        <w:rPr>
          <w:rFonts w:ascii="Times New Roman" w:hAnsi="Times New Roman" w:cs="Times New Roman"/>
          <w:sz w:val="24"/>
          <w:szCs w:val="24"/>
        </w:rPr>
        <w:t>et al.</w:t>
      </w:r>
      <w:r w:rsidR="007D67DA" w:rsidRPr="00136824">
        <w:rPr>
          <w:rFonts w:ascii="Times New Roman" w:hAnsi="Times New Roman" w:cs="Times New Roman"/>
          <w:sz w:val="24"/>
          <w:szCs w:val="24"/>
        </w:rPr>
        <w:t xml:space="preserve"> [</w:t>
      </w:r>
      <w:r w:rsidR="00136824" w:rsidRPr="00136824">
        <w:rPr>
          <w:rFonts w:ascii="Times New Roman" w:hAnsi="Times New Roman" w:cs="Times New Roman"/>
          <w:sz w:val="24"/>
          <w:szCs w:val="24"/>
        </w:rPr>
        <w:t>2]</w:t>
      </w:r>
      <w:r w:rsidRPr="008573C3">
        <w:rPr>
          <w:rFonts w:ascii="Times New Roman" w:hAnsi="Times New Roman" w:cs="Times New Roman"/>
          <w:sz w:val="24"/>
          <w:szCs w:val="24"/>
        </w:rPr>
        <w:t xml:space="preserve"> protocol to </w:t>
      </w:r>
      <w:r w:rsidR="003B1180" w:rsidRPr="008573C3">
        <w:rPr>
          <w:rFonts w:ascii="Times New Roman" w:hAnsi="Times New Roman" w:cs="Times New Roman"/>
          <w:sz w:val="24"/>
          <w:szCs w:val="24"/>
        </w:rPr>
        <w:t>optimize</w:t>
      </w:r>
      <w:r w:rsidRPr="008573C3">
        <w:rPr>
          <w:rFonts w:ascii="Times New Roman" w:hAnsi="Times New Roman" w:cs="Times New Roman"/>
          <w:sz w:val="24"/>
          <w:szCs w:val="24"/>
        </w:rPr>
        <w:t xml:space="preserve"> the concentration of BChE</w:t>
      </w:r>
      <w:r w:rsidR="003B1180" w:rsidRPr="008573C3">
        <w:rPr>
          <w:rFonts w:ascii="Times New Roman" w:hAnsi="Times New Roman" w:cs="Times New Roman"/>
          <w:sz w:val="24"/>
          <w:szCs w:val="24"/>
        </w:rPr>
        <w:t xml:space="preserve"> MAb (Figure S1</w:t>
      </w:r>
      <w:r w:rsidR="00547434" w:rsidRPr="008573C3">
        <w:rPr>
          <w:rFonts w:ascii="Times New Roman" w:hAnsi="Times New Roman" w:cs="Times New Roman"/>
          <w:sz w:val="24"/>
          <w:szCs w:val="24"/>
        </w:rPr>
        <w:t xml:space="preserve"> A</w:t>
      </w:r>
      <w:r w:rsidR="003B1180" w:rsidRPr="008573C3">
        <w:rPr>
          <w:rFonts w:ascii="Times New Roman" w:hAnsi="Times New Roman" w:cs="Times New Roman"/>
          <w:sz w:val="24"/>
          <w:szCs w:val="24"/>
        </w:rPr>
        <w:t>) and pH of AuNPs (Figure S</w:t>
      </w:r>
      <w:r w:rsidR="00547434" w:rsidRPr="008573C3">
        <w:rPr>
          <w:rFonts w:ascii="Times New Roman" w:hAnsi="Times New Roman" w:cs="Times New Roman"/>
          <w:sz w:val="24"/>
          <w:szCs w:val="24"/>
        </w:rPr>
        <w:t>1 B</w:t>
      </w:r>
      <w:r w:rsidR="003B1180" w:rsidRPr="008573C3">
        <w:rPr>
          <w:rFonts w:ascii="Times New Roman" w:hAnsi="Times New Roman" w:cs="Times New Roman"/>
          <w:sz w:val="24"/>
          <w:szCs w:val="24"/>
        </w:rPr>
        <w:t>)</w:t>
      </w:r>
      <w:r w:rsidRPr="008573C3">
        <w:rPr>
          <w:rFonts w:ascii="Times New Roman" w:hAnsi="Times New Roman" w:cs="Times New Roman"/>
          <w:sz w:val="24"/>
          <w:szCs w:val="24"/>
        </w:rPr>
        <w:t xml:space="preserve">. </w:t>
      </w:r>
      <w:r w:rsidR="003B1180" w:rsidRPr="008573C3">
        <w:rPr>
          <w:rFonts w:ascii="Times New Roman" w:hAnsi="Times New Roman" w:cs="Times New Roman"/>
          <w:sz w:val="24"/>
          <w:szCs w:val="24"/>
        </w:rPr>
        <w:t xml:space="preserve">As shown </w:t>
      </w:r>
      <w:r w:rsidRPr="008573C3">
        <w:rPr>
          <w:rFonts w:ascii="Times New Roman" w:hAnsi="Times New Roman" w:cs="Times New Roman"/>
          <w:sz w:val="24"/>
          <w:szCs w:val="24"/>
        </w:rPr>
        <w:t xml:space="preserve">in </w:t>
      </w:r>
      <w:r w:rsidR="003B1180" w:rsidRPr="008573C3">
        <w:rPr>
          <w:rFonts w:ascii="Times New Roman" w:hAnsi="Times New Roman" w:cs="Times New Roman"/>
          <w:sz w:val="24"/>
          <w:szCs w:val="24"/>
        </w:rPr>
        <w:t>F</w:t>
      </w:r>
      <w:r w:rsidRPr="008573C3">
        <w:rPr>
          <w:rFonts w:ascii="Times New Roman" w:hAnsi="Times New Roman" w:cs="Times New Roman"/>
          <w:sz w:val="24"/>
          <w:szCs w:val="24"/>
        </w:rPr>
        <w:t xml:space="preserve">igure </w:t>
      </w:r>
      <w:r w:rsidR="00C50EA9" w:rsidRPr="008573C3">
        <w:rPr>
          <w:rFonts w:ascii="Times New Roman" w:hAnsi="Times New Roman" w:cs="Times New Roman"/>
          <w:sz w:val="24"/>
          <w:szCs w:val="24"/>
        </w:rPr>
        <w:t>S1</w:t>
      </w:r>
      <w:r w:rsidR="003B1180" w:rsidRPr="008573C3">
        <w:rPr>
          <w:rFonts w:ascii="Times New Roman" w:hAnsi="Times New Roman" w:cs="Times New Roman"/>
          <w:sz w:val="24"/>
          <w:szCs w:val="24"/>
        </w:rPr>
        <w:t>(A),</w:t>
      </w:r>
      <w:r w:rsidRPr="008573C3">
        <w:rPr>
          <w:rFonts w:ascii="Times New Roman" w:hAnsi="Times New Roman" w:cs="Times New Roman"/>
          <w:sz w:val="24"/>
          <w:szCs w:val="24"/>
        </w:rPr>
        <w:t xml:space="preserve"> 30 </w:t>
      </w:r>
      <w:r w:rsidRPr="008573C3">
        <w:rPr>
          <w:rFonts w:ascii="Times New Roman" w:hAnsi="Times New Roman" w:cs="Times New Roman"/>
          <w:sz w:val="24"/>
          <w:szCs w:val="24"/>
        </w:rPr>
        <w:sym w:font="Symbol" w:char="F06D"/>
      </w:r>
      <w:r w:rsidRPr="008573C3">
        <w:rPr>
          <w:rFonts w:ascii="Times New Roman" w:hAnsi="Times New Roman" w:cs="Times New Roman"/>
          <w:sz w:val="24"/>
          <w:szCs w:val="24"/>
        </w:rPr>
        <w:t xml:space="preserve">L of BChE </w:t>
      </w:r>
      <w:r w:rsidR="003B1180" w:rsidRPr="008573C3">
        <w:rPr>
          <w:rFonts w:ascii="Times New Roman" w:hAnsi="Times New Roman" w:cs="Times New Roman"/>
          <w:sz w:val="24"/>
          <w:szCs w:val="24"/>
        </w:rPr>
        <w:t xml:space="preserve">MAb with different </w:t>
      </w:r>
      <w:r w:rsidR="00483ECF" w:rsidRPr="00483ECF">
        <w:rPr>
          <w:rFonts w:ascii="Segoe UI" w:hAnsi="Segoe UI" w:cs="Segoe UI"/>
          <w:color w:val="FF0000"/>
          <w:sz w:val="20"/>
          <w:szCs w:val="20"/>
        </w:rPr>
        <w:t>dilutions</w:t>
      </w:r>
      <w:r w:rsidR="00483ECF" w:rsidRPr="00483ECF">
        <w:rPr>
          <w:rFonts w:ascii="Times New Roman" w:hAnsi="Times New Roman" w:cs="Times New Roman"/>
          <w:sz w:val="24"/>
          <w:szCs w:val="24"/>
        </w:rPr>
        <w:t xml:space="preserve"> </w:t>
      </w:r>
      <w:r w:rsidRPr="008573C3">
        <w:rPr>
          <w:rFonts w:ascii="Times New Roman" w:hAnsi="Times New Roman" w:cs="Times New Roman"/>
          <w:sz w:val="24"/>
          <w:szCs w:val="24"/>
        </w:rPr>
        <w:t>w</w:t>
      </w:r>
      <w:r w:rsidR="00427925" w:rsidRPr="008573C3">
        <w:rPr>
          <w:rFonts w:ascii="Times New Roman" w:hAnsi="Times New Roman" w:cs="Times New Roman"/>
          <w:sz w:val="24"/>
          <w:szCs w:val="24"/>
        </w:rPr>
        <w:t>as</w:t>
      </w:r>
      <w:r w:rsidRPr="008573C3">
        <w:rPr>
          <w:rFonts w:ascii="Times New Roman" w:hAnsi="Times New Roman" w:cs="Times New Roman"/>
          <w:sz w:val="24"/>
          <w:szCs w:val="24"/>
        </w:rPr>
        <w:t xml:space="preserve"> added </w:t>
      </w:r>
      <w:r w:rsidR="00427925" w:rsidRPr="008573C3">
        <w:rPr>
          <w:rFonts w:ascii="Times New Roman" w:hAnsi="Times New Roman" w:cs="Times New Roman"/>
          <w:sz w:val="24"/>
          <w:szCs w:val="24"/>
        </w:rPr>
        <w:t xml:space="preserve">into </w:t>
      </w:r>
      <w:r w:rsidRPr="008573C3">
        <w:rPr>
          <w:rFonts w:ascii="Times New Roman" w:hAnsi="Times New Roman" w:cs="Times New Roman"/>
          <w:sz w:val="24"/>
          <w:szCs w:val="24"/>
        </w:rPr>
        <w:t xml:space="preserve">125 </w:t>
      </w:r>
      <w:r w:rsidRPr="008573C3">
        <w:rPr>
          <w:rFonts w:ascii="Times New Roman" w:hAnsi="Times New Roman" w:cs="Times New Roman"/>
          <w:sz w:val="24"/>
          <w:szCs w:val="24"/>
        </w:rPr>
        <w:sym w:font="Symbol" w:char="F06D"/>
      </w:r>
      <w:r w:rsidRPr="008573C3">
        <w:rPr>
          <w:rFonts w:ascii="Times New Roman" w:hAnsi="Times New Roman" w:cs="Times New Roman"/>
          <w:sz w:val="24"/>
          <w:szCs w:val="24"/>
        </w:rPr>
        <w:t xml:space="preserve">L </w:t>
      </w:r>
      <w:r w:rsidR="003B1180" w:rsidRPr="008573C3">
        <w:rPr>
          <w:rFonts w:ascii="Times New Roman" w:hAnsi="Times New Roman" w:cs="Times New Roman"/>
          <w:sz w:val="24"/>
          <w:szCs w:val="24"/>
        </w:rPr>
        <w:t>AuNPs</w:t>
      </w:r>
      <w:r w:rsidRPr="008573C3">
        <w:rPr>
          <w:rFonts w:ascii="Times New Roman" w:hAnsi="Times New Roman" w:cs="Times New Roman"/>
          <w:sz w:val="24"/>
          <w:szCs w:val="24"/>
        </w:rPr>
        <w:t xml:space="preserve"> and </w:t>
      </w:r>
      <w:r w:rsidR="00427925" w:rsidRPr="008573C3">
        <w:rPr>
          <w:rFonts w:ascii="Times New Roman" w:hAnsi="Times New Roman" w:cs="Times New Roman"/>
          <w:sz w:val="24"/>
          <w:szCs w:val="24"/>
        </w:rPr>
        <w:t>keep</w:t>
      </w:r>
      <w:r w:rsidRPr="008573C3">
        <w:rPr>
          <w:rFonts w:ascii="Times New Roman" w:hAnsi="Times New Roman" w:cs="Times New Roman"/>
          <w:sz w:val="24"/>
          <w:szCs w:val="24"/>
        </w:rPr>
        <w:t xml:space="preserve"> </w:t>
      </w:r>
      <w:r w:rsidR="00427925" w:rsidRPr="008573C3">
        <w:rPr>
          <w:rFonts w:ascii="Times New Roman" w:hAnsi="Times New Roman" w:cs="Times New Roman"/>
          <w:sz w:val="24"/>
          <w:szCs w:val="24"/>
        </w:rPr>
        <w:t xml:space="preserve">the </w:t>
      </w:r>
      <w:r w:rsidRPr="008573C3">
        <w:rPr>
          <w:rFonts w:ascii="Times New Roman" w:hAnsi="Times New Roman" w:cs="Times New Roman"/>
          <w:sz w:val="24"/>
          <w:szCs w:val="24"/>
        </w:rPr>
        <w:t>resultant solution stabiliz</w:t>
      </w:r>
      <w:r w:rsidR="00427925" w:rsidRPr="008573C3">
        <w:rPr>
          <w:rFonts w:ascii="Times New Roman" w:hAnsi="Times New Roman" w:cs="Times New Roman"/>
          <w:sz w:val="24"/>
          <w:szCs w:val="24"/>
        </w:rPr>
        <w:t>ing</w:t>
      </w:r>
      <w:r w:rsidRPr="008573C3">
        <w:rPr>
          <w:rFonts w:ascii="Times New Roman" w:hAnsi="Times New Roman" w:cs="Times New Roman"/>
          <w:sz w:val="24"/>
          <w:szCs w:val="24"/>
        </w:rPr>
        <w:t xml:space="preserve"> for 5min. </w:t>
      </w:r>
      <w:r w:rsidR="003B1180" w:rsidRPr="008573C3">
        <w:rPr>
          <w:rFonts w:ascii="Times New Roman" w:hAnsi="Times New Roman" w:cs="Times New Roman"/>
          <w:sz w:val="24"/>
          <w:szCs w:val="24"/>
        </w:rPr>
        <w:t>T</w:t>
      </w:r>
      <w:r w:rsidRPr="008573C3">
        <w:rPr>
          <w:rFonts w:ascii="Times New Roman" w:hAnsi="Times New Roman" w:cs="Times New Roman"/>
          <w:sz w:val="24"/>
          <w:szCs w:val="24"/>
        </w:rPr>
        <w:t>he absorbance of the solution at OD</w:t>
      </w:r>
      <w:r w:rsidRPr="008573C3">
        <w:rPr>
          <w:rFonts w:ascii="Times New Roman" w:hAnsi="Times New Roman" w:cs="Times New Roman"/>
          <w:sz w:val="24"/>
          <w:szCs w:val="24"/>
          <w:vertAlign w:val="subscript"/>
        </w:rPr>
        <w:t>528</w:t>
      </w:r>
      <w:r w:rsidR="003B1180" w:rsidRPr="008573C3">
        <w:rPr>
          <w:rFonts w:ascii="Times New Roman" w:hAnsi="Times New Roman" w:cs="Times New Roman"/>
          <w:sz w:val="24"/>
          <w:szCs w:val="24"/>
          <w:vertAlign w:val="subscript"/>
        </w:rPr>
        <w:t xml:space="preserve"> </w:t>
      </w:r>
      <w:r w:rsidR="003B1180" w:rsidRPr="008573C3">
        <w:rPr>
          <w:rFonts w:ascii="Times New Roman" w:hAnsi="Times New Roman" w:cs="Times New Roman"/>
          <w:sz w:val="24"/>
          <w:szCs w:val="24"/>
        </w:rPr>
        <w:t>was measured w</w:t>
      </w:r>
      <w:r w:rsidR="003B1180" w:rsidRPr="0041143C">
        <w:rPr>
          <w:rFonts w:ascii="Times New Roman" w:hAnsi="Times New Roman" w:cs="Times New Roman"/>
          <w:sz w:val="24"/>
          <w:szCs w:val="24"/>
        </w:rPr>
        <w:t xml:space="preserve">hich </w:t>
      </w:r>
      <w:r w:rsidR="00483ECF" w:rsidRPr="0041143C">
        <w:rPr>
          <w:rFonts w:ascii="Segoe UI" w:hAnsi="Segoe UI" w:cs="Segoe UI"/>
          <w:b/>
          <w:sz w:val="20"/>
          <w:szCs w:val="20"/>
        </w:rPr>
        <w:t xml:space="preserve">assigned as </w:t>
      </w:r>
      <w:r w:rsidR="003B1180" w:rsidRPr="0041143C">
        <w:rPr>
          <w:rFonts w:ascii="Times New Roman" w:hAnsi="Times New Roman" w:cs="Times New Roman"/>
          <w:sz w:val="24"/>
          <w:szCs w:val="24"/>
        </w:rPr>
        <w:t xml:space="preserve"> </w:t>
      </w:r>
      <w:bookmarkStart w:id="0" w:name="_Hlk500164315"/>
      <w:r w:rsidR="003B1180" w:rsidRPr="0041143C">
        <w:rPr>
          <w:rFonts w:ascii="Times New Roman" w:hAnsi="Times New Roman" w:cs="Times New Roman"/>
          <w:sz w:val="24"/>
          <w:szCs w:val="24"/>
        </w:rPr>
        <w:t>OD</w:t>
      </w:r>
      <w:r w:rsidR="003B1180" w:rsidRPr="0041143C">
        <w:rPr>
          <w:rFonts w:ascii="Times New Roman" w:hAnsi="Times New Roman" w:cs="Times New Roman"/>
          <w:sz w:val="24"/>
          <w:szCs w:val="24"/>
          <w:vertAlign w:val="subscript"/>
        </w:rPr>
        <w:t>528</w:t>
      </w:r>
      <w:r w:rsidR="003B1180" w:rsidRPr="0041143C">
        <w:rPr>
          <w:rFonts w:ascii="Times New Roman" w:hAnsi="Times New Roman" w:cs="Times New Roman"/>
          <w:sz w:val="24"/>
          <w:szCs w:val="24"/>
        </w:rPr>
        <w:t>(1)</w:t>
      </w:r>
      <w:bookmarkEnd w:id="0"/>
      <w:r w:rsidR="009D0BD1" w:rsidRPr="0041143C">
        <w:rPr>
          <w:rFonts w:ascii="Times New Roman" w:hAnsi="Times New Roman" w:cs="Times New Roman"/>
          <w:sz w:val="24"/>
          <w:szCs w:val="24"/>
        </w:rPr>
        <w:t xml:space="preserve">. </w:t>
      </w:r>
      <w:r w:rsidR="009604BD" w:rsidRPr="0041143C">
        <w:rPr>
          <w:rFonts w:ascii="Times New Roman" w:hAnsi="Times New Roman" w:cs="Times New Roman"/>
          <w:sz w:val="24"/>
          <w:szCs w:val="24"/>
        </w:rPr>
        <w:t>Then, after</w:t>
      </w:r>
      <w:r w:rsidRPr="0041143C">
        <w:rPr>
          <w:rFonts w:ascii="Times New Roman" w:hAnsi="Times New Roman" w:cs="Times New Roman"/>
          <w:sz w:val="24"/>
          <w:szCs w:val="24"/>
        </w:rPr>
        <w:t xml:space="preserve"> adding 10% NaCl solution</w:t>
      </w:r>
      <w:r w:rsidR="009604BD" w:rsidRPr="0041143C">
        <w:rPr>
          <w:rFonts w:ascii="Times New Roman" w:hAnsi="Times New Roman" w:cs="Times New Roman"/>
          <w:sz w:val="24"/>
          <w:szCs w:val="24"/>
        </w:rPr>
        <w:t>,</w:t>
      </w:r>
      <w:r w:rsidRPr="0041143C">
        <w:rPr>
          <w:rFonts w:ascii="Times New Roman" w:hAnsi="Times New Roman" w:cs="Times New Roman"/>
          <w:sz w:val="24"/>
          <w:szCs w:val="24"/>
        </w:rPr>
        <w:t xml:space="preserve"> we measured the </w:t>
      </w:r>
      <w:bookmarkStart w:id="1" w:name="_Hlk500164299"/>
      <w:r w:rsidRPr="0041143C">
        <w:rPr>
          <w:rFonts w:ascii="Times New Roman" w:hAnsi="Times New Roman" w:cs="Times New Roman"/>
          <w:sz w:val="24"/>
          <w:szCs w:val="24"/>
        </w:rPr>
        <w:t>OD</w:t>
      </w:r>
      <w:r w:rsidRPr="0041143C">
        <w:rPr>
          <w:rFonts w:ascii="Times New Roman" w:hAnsi="Times New Roman" w:cs="Times New Roman"/>
          <w:sz w:val="24"/>
          <w:szCs w:val="24"/>
          <w:vertAlign w:val="subscript"/>
        </w:rPr>
        <w:t>528</w:t>
      </w:r>
      <w:r w:rsidR="003B1180" w:rsidRPr="0041143C">
        <w:rPr>
          <w:rFonts w:ascii="Times New Roman" w:hAnsi="Times New Roman" w:cs="Times New Roman"/>
          <w:sz w:val="24"/>
          <w:szCs w:val="24"/>
        </w:rPr>
        <w:t>(2)</w:t>
      </w:r>
      <w:bookmarkEnd w:id="1"/>
      <w:r w:rsidRPr="0041143C">
        <w:rPr>
          <w:rFonts w:ascii="Times New Roman" w:hAnsi="Times New Roman" w:cs="Times New Roman"/>
          <w:sz w:val="24"/>
          <w:szCs w:val="24"/>
        </w:rPr>
        <w:t xml:space="preserve"> of the resultant solution after one hour of stabilization.</w:t>
      </w:r>
      <w:r w:rsidR="003B1180" w:rsidRPr="0041143C">
        <w:rPr>
          <w:rFonts w:ascii="Times New Roman" w:hAnsi="Times New Roman" w:cs="Times New Roman"/>
          <w:sz w:val="24"/>
          <w:szCs w:val="24"/>
        </w:rPr>
        <w:t xml:space="preserve"> The decrease of the absorbance was obtained by </w:t>
      </w:r>
      <w:r w:rsidRPr="0041143C">
        <w:rPr>
          <w:rFonts w:ascii="Times New Roman" w:hAnsi="Times New Roman" w:cs="Times New Roman"/>
          <w:sz w:val="24"/>
          <w:szCs w:val="24"/>
        </w:rPr>
        <w:t xml:space="preserve">subtracted </w:t>
      </w:r>
      <w:r w:rsidR="003B1180" w:rsidRPr="0041143C">
        <w:rPr>
          <w:rFonts w:ascii="Times New Roman" w:hAnsi="Times New Roman" w:cs="Times New Roman"/>
          <w:sz w:val="24"/>
          <w:szCs w:val="24"/>
        </w:rPr>
        <w:t>OD</w:t>
      </w:r>
      <w:r w:rsidR="003B1180" w:rsidRPr="0041143C">
        <w:rPr>
          <w:rFonts w:ascii="Times New Roman" w:hAnsi="Times New Roman" w:cs="Times New Roman"/>
          <w:sz w:val="24"/>
          <w:szCs w:val="24"/>
          <w:vertAlign w:val="subscript"/>
        </w:rPr>
        <w:t>52</w:t>
      </w:r>
      <w:r w:rsidR="003B1180" w:rsidRPr="008573C3">
        <w:rPr>
          <w:rFonts w:ascii="Times New Roman" w:hAnsi="Times New Roman" w:cs="Times New Roman"/>
          <w:sz w:val="24"/>
          <w:szCs w:val="24"/>
          <w:vertAlign w:val="subscript"/>
        </w:rPr>
        <w:t>8</w:t>
      </w:r>
      <w:r w:rsidR="003B1180" w:rsidRPr="008573C3">
        <w:rPr>
          <w:rFonts w:ascii="Times New Roman" w:hAnsi="Times New Roman" w:cs="Times New Roman"/>
          <w:sz w:val="24"/>
          <w:szCs w:val="24"/>
        </w:rPr>
        <w:t>(2) from OD</w:t>
      </w:r>
      <w:r w:rsidR="003B1180" w:rsidRPr="008573C3">
        <w:rPr>
          <w:rFonts w:ascii="Times New Roman" w:hAnsi="Times New Roman" w:cs="Times New Roman"/>
          <w:sz w:val="24"/>
          <w:szCs w:val="24"/>
          <w:vertAlign w:val="subscript"/>
        </w:rPr>
        <w:t>528</w:t>
      </w:r>
      <w:r w:rsidR="003B1180" w:rsidRPr="008573C3">
        <w:rPr>
          <w:rFonts w:ascii="Times New Roman" w:hAnsi="Times New Roman" w:cs="Times New Roman"/>
          <w:sz w:val="24"/>
          <w:szCs w:val="24"/>
        </w:rPr>
        <w:t>(1), which</w:t>
      </w:r>
      <w:r w:rsidRPr="008573C3">
        <w:rPr>
          <w:rFonts w:ascii="Times New Roman" w:hAnsi="Times New Roman" w:cs="Times New Roman"/>
          <w:sz w:val="24"/>
          <w:szCs w:val="24"/>
        </w:rPr>
        <w:t xml:space="preserve"> was used to plot flocculation curve below. The results show</w:t>
      </w:r>
      <w:r w:rsidR="003B1180" w:rsidRPr="008573C3">
        <w:rPr>
          <w:rFonts w:ascii="Times New Roman" w:hAnsi="Times New Roman" w:cs="Times New Roman"/>
          <w:sz w:val="24"/>
          <w:szCs w:val="24"/>
        </w:rPr>
        <w:t>ed</w:t>
      </w:r>
      <w:r w:rsidRPr="008573C3">
        <w:rPr>
          <w:rFonts w:ascii="Times New Roman" w:hAnsi="Times New Roman" w:cs="Times New Roman"/>
          <w:sz w:val="24"/>
          <w:szCs w:val="24"/>
        </w:rPr>
        <w:t xml:space="preserve"> that at low concentration of BChE</w:t>
      </w:r>
      <w:r w:rsidR="003B1180" w:rsidRPr="008573C3">
        <w:rPr>
          <w:rFonts w:ascii="Times New Roman" w:hAnsi="Times New Roman" w:cs="Times New Roman"/>
          <w:sz w:val="24"/>
          <w:szCs w:val="24"/>
        </w:rPr>
        <w:t xml:space="preserve"> MAb</w:t>
      </w:r>
      <w:r w:rsidR="00656512" w:rsidRPr="008573C3">
        <w:rPr>
          <w:rFonts w:ascii="Times New Roman" w:hAnsi="Times New Roman" w:cs="Times New Roman"/>
          <w:sz w:val="24"/>
          <w:szCs w:val="24"/>
        </w:rPr>
        <w:t xml:space="preserve">, </w:t>
      </w:r>
      <w:r w:rsidRPr="008573C3">
        <w:rPr>
          <w:rFonts w:ascii="Times New Roman" w:hAnsi="Times New Roman" w:cs="Times New Roman"/>
          <w:sz w:val="24"/>
          <w:szCs w:val="24"/>
        </w:rPr>
        <w:t>the absorbance decrease</w:t>
      </w:r>
      <w:r w:rsidR="00656512" w:rsidRPr="008573C3">
        <w:rPr>
          <w:rFonts w:ascii="Times New Roman" w:hAnsi="Times New Roman" w:cs="Times New Roman"/>
          <w:sz w:val="24"/>
          <w:szCs w:val="24"/>
        </w:rPr>
        <w:t xml:space="preserve">d dramatically, </w:t>
      </w:r>
      <w:r w:rsidRPr="008573C3">
        <w:rPr>
          <w:rFonts w:ascii="Times New Roman" w:hAnsi="Times New Roman" w:cs="Times New Roman"/>
          <w:sz w:val="24"/>
          <w:szCs w:val="24"/>
        </w:rPr>
        <w:t>and then tended to stabilize at 8</w:t>
      </w:r>
      <w:r w:rsidR="00656512" w:rsidRPr="008573C3">
        <w:rPr>
          <w:rFonts w:ascii="Times New Roman" w:hAnsi="Times New Roman" w:cs="Times New Roman"/>
          <w:sz w:val="24"/>
          <w:szCs w:val="24"/>
        </w:rPr>
        <w:t xml:space="preserve"> times dilution</w:t>
      </w:r>
      <w:r w:rsidRPr="008573C3">
        <w:rPr>
          <w:rFonts w:ascii="Times New Roman" w:hAnsi="Times New Roman" w:cs="Times New Roman"/>
          <w:sz w:val="24"/>
          <w:szCs w:val="24"/>
        </w:rPr>
        <w:t>.</w:t>
      </w:r>
      <w:r w:rsidR="00656512" w:rsidRPr="008573C3">
        <w:rPr>
          <w:rFonts w:ascii="Times New Roman" w:hAnsi="Times New Roman" w:cs="Times New Roman"/>
          <w:sz w:val="24"/>
          <w:szCs w:val="24"/>
        </w:rPr>
        <w:t xml:space="preserve"> </w:t>
      </w:r>
      <w:r w:rsidR="00547434" w:rsidRPr="008573C3">
        <w:rPr>
          <w:rFonts w:ascii="Times New Roman" w:hAnsi="Times New Roman" w:cs="Times New Roman"/>
          <w:sz w:val="24"/>
          <w:szCs w:val="24"/>
        </w:rPr>
        <w:t>Therefore,</w:t>
      </w:r>
      <w:r w:rsidRPr="008573C3">
        <w:rPr>
          <w:rFonts w:ascii="Times New Roman" w:hAnsi="Times New Roman" w:cs="Times New Roman"/>
          <w:sz w:val="24"/>
          <w:szCs w:val="24"/>
        </w:rPr>
        <w:t xml:space="preserve"> 8x times dilut</w:t>
      </w:r>
      <w:r w:rsidR="00656512" w:rsidRPr="008573C3">
        <w:rPr>
          <w:rFonts w:ascii="Times New Roman" w:hAnsi="Times New Roman" w:cs="Times New Roman"/>
          <w:sz w:val="24"/>
          <w:szCs w:val="24"/>
        </w:rPr>
        <w:t xml:space="preserve">ion </w:t>
      </w:r>
      <w:r w:rsidRPr="008573C3">
        <w:rPr>
          <w:rFonts w:ascii="Times New Roman" w:hAnsi="Times New Roman" w:cs="Times New Roman"/>
          <w:sz w:val="24"/>
          <w:szCs w:val="24"/>
        </w:rPr>
        <w:t xml:space="preserve">was </w:t>
      </w:r>
      <w:r w:rsidR="00656512" w:rsidRPr="008573C3">
        <w:rPr>
          <w:rFonts w:ascii="Times New Roman" w:hAnsi="Times New Roman" w:cs="Times New Roman"/>
          <w:sz w:val="24"/>
          <w:szCs w:val="24"/>
        </w:rPr>
        <w:t>selected</w:t>
      </w:r>
      <w:r w:rsidRPr="008573C3">
        <w:rPr>
          <w:rFonts w:ascii="Times New Roman" w:hAnsi="Times New Roman" w:cs="Times New Roman"/>
          <w:sz w:val="24"/>
          <w:szCs w:val="24"/>
        </w:rPr>
        <w:t xml:space="preserve"> for </w:t>
      </w:r>
      <w:r w:rsidR="00D91F42" w:rsidRPr="008573C3">
        <w:rPr>
          <w:rFonts w:ascii="Times New Roman" w:hAnsi="Times New Roman" w:cs="Times New Roman"/>
          <w:sz w:val="24"/>
          <w:szCs w:val="24"/>
        </w:rPr>
        <w:t>AuNPs</w:t>
      </w:r>
      <w:r w:rsidRPr="008573C3">
        <w:rPr>
          <w:rFonts w:ascii="Times New Roman" w:hAnsi="Times New Roman" w:cs="Times New Roman"/>
          <w:sz w:val="24"/>
          <w:szCs w:val="24"/>
        </w:rPr>
        <w:t xml:space="preserve"> label.  The </w:t>
      </w:r>
      <w:r w:rsidR="00D91F42" w:rsidRPr="008573C3">
        <w:rPr>
          <w:rFonts w:ascii="Times New Roman" w:hAnsi="Times New Roman" w:cs="Times New Roman"/>
          <w:sz w:val="24"/>
          <w:szCs w:val="24"/>
        </w:rPr>
        <w:t>optimization of p</w:t>
      </w:r>
      <w:r w:rsidRPr="008573C3">
        <w:rPr>
          <w:rFonts w:ascii="Times New Roman" w:hAnsi="Times New Roman" w:cs="Times New Roman"/>
          <w:sz w:val="24"/>
          <w:szCs w:val="24"/>
        </w:rPr>
        <w:t>H</w:t>
      </w:r>
      <w:r w:rsidR="00D91F42" w:rsidRPr="008573C3">
        <w:rPr>
          <w:rFonts w:ascii="Times New Roman" w:hAnsi="Times New Roman" w:cs="Times New Roman"/>
          <w:sz w:val="24"/>
          <w:szCs w:val="24"/>
        </w:rPr>
        <w:t xml:space="preserve"> was conducted by the same way. From Figure S</w:t>
      </w:r>
      <w:r w:rsidR="00547434" w:rsidRPr="008573C3">
        <w:rPr>
          <w:rFonts w:ascii="Times New Roman" w:hAnsi="Times New Roman" w:cs="Times New Roman"/>
          <w:sz w:val="24"/>
          <w:szCs w:val="24"/>
        </w:rPr>
        <w:t>1 B,</w:t>
      </w:r>
      <w:r w:rsidR="00D91F42" w:rsidRPr="008573C3">
        <w:rPr>
          <w:rFonts w:ascii="Times New Roman" w:hAnsi="Times New Roman" w:cs="Times New Roman"/>
          <w:sz w:val="24"/>
          <w:szCs w:val="24"/>
        </w:rPr>
        <w:t xml:space="preserve"> pH 8.5 was the optimum pH for </w:t>
      </w:r>
      <w:r w:rsidR="002E4C17" w:rsidRPr="008573C3">
        <w:rPr>
          <w:rFonts w:ascii="Times New Roman" w:hAnsi="Times New Roman" w:cs="Times New Roman"/>
          <w:sz w:val="24"/>
          <w:szCs w:val="24"/>
        </w:rPr>
        <w:t xml:space="preserve">the conjugation of AuNPs and BChE MAb. </w:t>
      </w:r>
    </w:p>
    <w:p w14:paraId="649713D1" w14:textId="77777777" w:rsidR="008573C3" w:rsidRDefault="00C50EA9" w:rsidP="008573C3">
      <w:pPr>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14:anchorId="78AE56F1" wp14:editId="1FB00EE1">
            <wp:extent cx="5288756" cy="200025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7720" cy="2007422"/>
                    </a:xfrm>
                    <a:prstGeom prst="rect">
                      <a:avLst/>
                    </a:prstGeom>
                    <a:noFill/>
                  </pic:spPr>
                </pic:pic>
              </a:graphicData>
            </a:graphic>
          </wp:inline>
        </w:drawing>
      </w:r>
    </w:p>
    <w:p w14:paraId="2B7630B9" w14:textId="3AE347DD" w:rsidR="00B534F5" w:rsidRPr="008573C3" w:rsidRDefault="00B534F5" w:rsidP="008573C3">
      <w:pPr>
        <w:jc w:val="both"/>
        <w:rPr>
          <w:rFonts w:ascii="Times New Roman" w:hAnsi="Times New Roman" w:cs="Times New Roman"/>
          <w:color w:val="000000" w:themeColor="text1"/>
          <w:sz w:val="20"/>
          <w:szCs w:val="20"/>
        </w:rPr>
      </w:pPr>
      <w:r>
        <w:rPr>
          <w:rFonts w:hint="eastAsia"/>
        </w:rPr>
        <w:t>F</w:t>
      </w:r>
      <w:r>
        <w:t>ig</w:t>
      </w:r>
      <w:r w:rsidR="00C50EA9">
        <w:t xml:space="preserve">ure </w:t>
      </w:r>
      <w:r>
        <w:t>S</w:t>
      </w:r>
      <w:r w:rsidR="00C50EA9">
        <w:rPr>
          <w:rFonts w:hint="eastAsia"/>
        </w:rPr>
        <w:t>1</w:t>
      </w:r>
      <w:r>
        <w:t xml:space="preserve"> Optimization of amount of BChE MAb</w:t>
      </w:r>
      <w:r w:rsidR="002E4C17">
        <w:t xml:space="preserve"> </w:t>
      </w:r>
      <w:r w:rsidR="00C50EA9">
        <w:rPr>
          <w:rFonts w:hint="eastAsia"/>
        </w:rPr>
        <w:t>(</w:t>
      </w:r>
      <w:r w:rsidR="00C50EA9">
        <w:t>A) and pH of AuNPs (B)</w:t>
      </w:r>
      <w:r>
        <w:t xml:space="preserve"> while preparing Au labeled BChE MAb</w:t>
      </w:r>
    </w:p>
    <w:p w14:paraId="7041E291" w14:textId="13A7590E" w:rsidR="007152FE" w:rsidRDefault="007152FE">
      <w:r w:rsidRPr="007152FE">
        <w:rPr>
          <w:noProof/>
        </w:rPr>
        <w:lastRenderedPageBreak/>
        <w:drawing>
          <wp:inline distT="0" distB="0" distL="0" distR="0" wp14:anchorId="71593991" wp14:editId="60A2C32A">
            <wp:extent cx="5943600" cy="4201610"/>
            <wp:effectExtent l="0" t="0" r="0" b="8890"/>
            <wp:docPr id="1" name="图片 1" descr="C:\Users\yuting\Desktop\two method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ting\Desktop\two method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01610"/>
                    </a:xfrm>
                    <a:prstGeom prst="rect">
                      <a:avLst/>
                    </a:prstGeom>
                    <a:noFill/>
                    <a:ln>
                      <a:noFill/>
                    </a:ln>
                  </pic:spPr>
                </pic:pic>
              </a:graphicData>
            </a:graphic>
          </wp:inline>
        </w:drawing>
      </w:r>
    </w:p>
    <w:p w14:paraId="490B9202" w14:textId="30679355" w:rsidR="00923D3B" w:rsidRDefault="007152FE">
      <w:r>
        <w:t>Fig</w:t>
      </w:r>
      <w:r w:rsidR="00C50EA9">
        <w:t>ure S2</w:t>
      </w:r>
      <w:r>
        <w:t xml:space="preserve"> T</w:t>
      </w:r>
      <w:r w:rsidRPr="007152FE">
        <w:t xml:space="preserve">he correlation between </w:t>
      </w:r>
      <w:r>
        <w:t xml:space="preserve">ICTs and Ellman assay </w:t>
      </w:r>
      <w:r w:rsidRPr="00A5529F">
        <w:t xml:space="preserve">for measurement of </w:t>
      </w:r>
      <w:r>
        <w:t xml:space="preserve">artificially prepared BChE samples. </w:t>
      </w:r>
    </w:p>
    <w:p w14:paraId="389D579F" w14:textId="146722E6" w:rsidR="00923D3B" w:rsidRDefault="00923D3B"/>
    <w:p w14:paraId="53B27C0A" w14:textId="014D651A" w:rsidR="00136824" w:rsidRDefault="00136824"/>
    <w:tbl>
      <w:tblPr>
        <w:tblpPr w:leftFromText="180" w:rightFromText="180" w:vertAnchor="page" w:horzAnchor="page" w:tblpX="730" w:tblpY="1985"/>
        <w:tblW w:w="10120" w:type="dxa"/>
        <w:tblBorders>
          <w:insideV w:val="single" w:sz="4" w:space="0" w:color="auto"/>
        </w:tblBorders>
        <w:tblLook w:val="04A0" w:firstRow="1" w:lastRow="0" w:firstColumn="1" w:lastColumn="0" w:noHBand="0" w:noVBand="1"/>
      </w:tblPr>
      <w:tblGrid>
        <w:gridCol w:w="2411"/>
        <w:gridCol w:w="1418"/>
        <w:gridCol w:w="1559"/>
        <w:gridCol w:w="1721"/>
        <w:gridCol w:w="1984"/>
        <w:gridCol w:w="1027"/>
      </w:tblGrid>
      <w:tr w:rsidR="00136824" w:rsidRPr="003C543F" w14:paraId="3B3F5CC8" w14:textId="77777777" w:rsidTr="00691234">
        <w:trPr>
          <w:trHeight w:val="360"/>
        </w:trPr>
        <w:tc>
          <w:tcPr>
            <w:tcW w:w="10120" w:type="dxa"/>
            <w:gridSpan w:val="6"/>
            <w:tcBorders>
              <w:bottom w:val="single" w:sz="24" w:space="0" w:color="auto"/>
            </w:tcBorders>
            <w:shd w:val="clear" w:color="auto" w:fill="auto"/>
            <w:noWrap/>
            <w:vAlign w:val="center"/>
            <w:hideMark/>
          </w:tcPr>
          <w:p w14:paraId="21364D47" w14:textId="0EA12E3D" w:rsidR="00136824" w:rsidRPr="003C543F" w:rsidRDefault="00136824" w:rsidP="00691234">
            <w:pPr>
              <w:jc w:val="center"/>
              <w:rPr>
                <w:rFonts w:ascii="Times New Roman" w:eastAsia="DengXian" w:hAnsi="Times New Roman" w:cs="Times New Roman"/>
                <w:b/>
                <w:color w:val="000000"/>
                <w:sz w:val="20"/>
                <w:szCs w:val="20"/>
              </w:rPr>
            </w:pPr>
            <w:bookmarkStart w:id="2" w:name="_GoBack"/>
            <w:r w:rsidRPr="0041143C">
              <w:rPr>
                <w:rFonts w:ascii="Times New Roman" w:eastAsia="DengXian" w:hAnsi="Times New Roman" w:cs="Times New Roman" w:hint="eastAsia"/>
                <w:b/>
                <w:sz w:val="21"/>
                <w:szCs w:val="20"/>
              </w:rPr>
              <w:lastRenderedPageBreak/>
              <w:t>Table</w:t>
            </w:r>
            <w:r w:rsidRPr="0041143C">
              <w:rPr>
                <w:rFonts w:ascii="Times New Roman" w:eastAsia="DengXian" w:hAnsi="Times New Roman" w:cs="Times New Roman"/>
                <w:b/>
                <w:sz w:val="21"/>
                <w:szCs w:val="20"/>
              </w:rPr>
              <w:t xml:space="preserve"> S1 </w:t>
            </w:r>
            <w:r w:rsidR="007D67DA" w:rsidRPr="0041143C">
              <w:rPr>
                <w:rFonts w:ascii="Times New Roman" w:eastAsia="DengXian" w:hAnsi="Times New Roman" w:cs="Times New Roman"/>
                <w:b/>
                <w:sz w:val="21"/>
                <w:szCs w:val="20"/>
              </w:rPr>
              <w:t>The</w:t>
            </w:r>
            <w:r w:rsidRPr="0041143C">
              <w:rPr>
                <w:rFonts w:ascii="Times New Roman" w:eastAsia="DengXian" w:hAnsi="Times New Roman" w:cs="Times New Roman"/>
                <w:b/>
                <w:sz w:val="21"/>
                <w:szCs w:val="20"/>
              </w:rPr>
              <w:t xml:space="preserve"> </w:t>
            </w:r>
            <w:r w:rsidR="007D67DA" w:rsidRPr="0041143C">
              <w:rPr>
                <w:rFonts w:ascii="Times New Roman" w:eastAsia="DengXian" w:hAnsi="Times New Roman" w:cs="Times New Roman"/>
                <w:b/>
                <w:sz w:val="21"/>
                <w:szCs w:val="20"/>
              </w:rPr>
              <w:t>P</w:t>
            </w:r>
            <w:r w:rsidRPr="0041143C">
              <w:rPr>
                <w:rFonts w:ascii="Times New Roman" w:eastAsia="DengXian" w:hAnsi="Times New Roman" w:cs="Times New Roman"/>
                <w:b/>
                <w:sz w:val="21"/>
                <w:szCs w:val="20"/>
              </w:rPr>
              <w:t xml:space="preserve">erformance of ChE </w:t>
            </w:r>
            <w:r w:rsidR="007D67DA" w:rsidRPr="0041143C">
              <w:rPr>
                <w:rFonts w:ascii="Times New Roman" w:eastAsia="DengXian" w:hAnsi="Times New Roman" w:cs="Times New Roman"/>
                <w:b/>
                <w:sz w:val="21"/>
                <w:szCs w:val="20"/>
              </w:rPr>
              <w:t>E</w:t>
            </w:r>
            <w:r w:rsidRPr="0041143C">
              <w:rPr>
                <w:rFonts w:ascii="Times New Roman" w:eastAsia="DengXian" w:hAnsi="Times New Roman" w:cs="Times New Roman"/>
                <w:b/>
                <w:sz w:val="21"/>
                <w:szCs w:val="20"/>
              </w:rPr>
              <w:t xml:space="preserve">nzyme </w:t>
            </w:r>
            <w:r w:rsidR="007D67DA" w:rsidRPr="0041143C">
              <w:rPr>
                <w:rFonts w:ascii="Times New Roman" w:eastAsia="DengXian" w:hAnsi="Times New Roman" w:cs="Times New Roman"/>
                <w:b/>
                <w:sz w:val="21"/>
                <w:szCs w:val="20"/>
              </w:rPr>
              <w:t>A</w:t>
            </w:r>
            <w:r w:rsidRPr="0041143C">
              <w:rPr>
                <w:rFonts w:ascii="Times New Roman" w:eastAsia="DengXian" w:hAnsi="Times New Roman" w:cs="Times New Roman"/>
                <w:b/>
                <w:sz w:val="21"/>
                <w:szCs w:val="20"/>
              </w:rPr>
              <w:t>ctivity-</w:t>
            </w:r>
            <w:r w:rsidR="00550641" w:rsidRPr="0041143C">
              <w:rPr>
                <w:rFonts w:ascii="Times New Roman" w:eastAsia="DengXian" w:hAnsi="Times New Roman" w:cs="Times New Roman"/>
                <w:b/>
                <w:sz w:val="21"/>
                <w:szCs w:val="20"/>
              </w:rPr>
              <w:t>B</w:t>
            </w:r>
            <w:r w:rsidRPr="0041143C">
              <w:rPr>
                <w:rFonts w:ascii="Times New Roman" w:eastAsia="DengXian" w:hAnsi="Times New Roman" w:cs="Times New Roman"/>
                <w:b/>
                <w:sz w:val="21"/>
                <w:szCs w:val="20"/>
              </w:rPr>
              <w:t xml:space="preserve">ased </w:t>
            </w:r>
            <w:r w:rsidR="007D67DA" w:rsidRPr="0041143C">
              <w:rPr>
                <w:rFonts w:ascii="Times New Roman" w:eastAsia="DengXian" w:hAnsi="Times New Roman" w:cs="Times New Roman"/>
                <w:b/>
                <w:sz w:val="21"/>
                <w:szCs w:val="20"/>
              </w:rPr>
              <w:t>A</w:t>
            </w:r>
            <w:r w:rsidRPr="0041143C">
              <w:rPr>
                <w:rFonts w:ascii="Times New Roman" w:eastAsia="DengXian" w:hAnsi="Times New Roman" w:cs="Times New Roman"/>
                <w:b/>
                <w:sz w:val="21"/>
                <w:szCs w:val="20"/>
              </w:rPr>
              <w:t xml:space="preserve">pproaches </w:t>
            </w:r>
            <w:r w:rsidR="007D67DA" w:rsidRPr="0041143C">
              <w:rPr>
                <w:rFonts w:ascii="Times New Roman" w:eastAsia="DengXian" w:hAnsi="Times New Roman" w:cs="Times New Roman"/>
                <w:b/>
                <w:sz w:val="21"/>
                <w:szCs w:val="20"/>
              </w:rPr>
              <w:t>W</w:t>
            </w:r>
            <w:r w:rsidRPr="0041143C">
              <w:rPr>
                <w:rFonts w:ascii="Times New Roman" w:eastAsia="DengXian" w:hAnsi="Times New Roman" w:cs="Times New Roman"/>
                <w:b/>
                <w:sz w:val="21"/>
                <w:szCs w:val="20"/>
              </w:rPr>
              <w:t xml:space="preserve">ere </w:t>
            </w:r>
            <w:r w:rsidR="007D67DA" w:rsidRPr="0041143C">
              <w:rPr>
                <w:rFonts w:ascii="Times New Roman" w:eastAsia="DengXian" w:hAnsi="Times New Roman" w:cs="Times New Roman"/>
                <w:b/>
                <w:sz w:val="21"/>
                <w:szCs w:val="20"/>
              </w:rPr>
              <w:t>C</w:t>
            </w:r>
            <w:r w:rsidRPr="0041143C">
              <w:rPr>
                <w:rFonts w:ascii="Times New Roman" w:eastAsia="DengXian" w:hAnsi="Times New Roman" w:cs="Times New Roman"/>
                <w:b/>
                <w:sz w:val="21"/>
                <w:szCs w:val="20"/>
              </w:rPr>
              <w:t xml:space="preserve">ompared for </w:t>
            </w:r>
            <w:r w:rsidR="007D67DA" w:rsidRPr="0041143C">
              <w:rPr>
                <w:rFonts w:ascii="Times New Roman" w:eastAsia="DengXian" w:hAnsi="Times New Roman" w:cs="Times New Roman"/>
                <w:b/>
                <w:sz w:val="21"/>
                <w:szCs w:val="20"/>
              </w:rPr>
              <w:t>D</w:t>
            </w:r>
            <w:r w:rsidRPr="0041143C">
              <w:rPr>
                <w:rFonts w:ascii="Times New Roman" w:eastAsia="DengXian" w:hAnsi="Times New Roman" w:cs="Times New Roman"/>
                <w:b/>
                <w:sz w:val="21"/>
                <w:szCs w:val="20"/>
              </w:rPr>
              <w:t>etection of OPs exposure</w:t>
            </w:r>
            <w:bookmarkEnd w:id="2"/>
          </w:p>
        </w:tc>
      </w:tr>
      <w:tr w:rsidR="00136824" w:rsidRPr="003C543F" w14:paraId="685E682D" w14:textId="77777777" w:rsidTr="00691234">
        <w:trPr>
          <w:trHeight w:val="360"/>
        </w:trPr>
        <w:tc>
          <w:tcPr>
            <w:tcW w:w="2411" w:type="dxa"/>
            <w:tcBorders>
              <w:top w:val="single" w:sz="24" w:space="0" w:color="auto"/>
              <w:bottom w:val="single" w:sz="6" w:space="0" w:color="auto"/>
              <w:right w:val="nil"/>
            </w:tcBorders>
            <w:shd w:val="clear" w:color="auto" w:fill="auto"/>
            <w:vAlign w:val="center"/>
            <w:hideMark/>
          </w:tcPr>
          <w:p w14:paraId="08D74325" w14:textId="77777777" w:rsidR="00136824" w:rsidRPr="003C543F" w:rsidRDefault="00136824" w:rsidP="00691234">
            <w:pPr>
              <w:jc w:val="center"/>
              <w:rPr>
                <w:rFonts w:ascii="Times New Roman" w:eastAsia="DengXian" w:hAnsi="Times New Roman" w:cs="Times New Roman"/>
                <w:color w:val="000000"/>
                <w:sz w:val="20"/>
                <w:szCs w:val="20"/>
              </w:rPr>
            </w:pPr>
            <w:r w:rsidRPr="003C543F">
              <w:rPr>
                <w:rFonts w:ascii="Times New Roman" w:eastAsia="DengXian" w:hAnsi="Times New Roman" w:cs="Times New Roman"/>
                <w:color w:val="000000"/>
                <w:sz w:val="20"/>
                <w:szCs w:val="20"/>
              </w:rPr>
              <w:t>Biomarker</w:t>
            </w:r>
          </w:p>
        </w:tc>
        <w:tc>
          <w:tcPr>
            <w:tcW w:w="1418" w:type="dxa"/>
            <w:tcBorders>
              <w:top w:val="single" w:sz="24" w:space="0" w:color="auto"/>
              <w:left w:val="nil"/>
              <w:bottom w:val="single" w:sz="6" w:space="0" w:color="auto"/>
              <w:right w:val="nil"/>
            </w:tcBorders>
            <w:shd w:val="clear" w:color="auto" w:fill="auto"/>
            <w:vAlign w:val="center"/>
            <w:hideMark/>
          </w:tcPr>
          <w:p w14:paraId="453797CA" w14:textId="77777777" w:rsidR="00136824" w:rsidRPr="003C543F" w:rsidRDefault="00136824" w:rsidP="00691234">
            <w:pPr>
              <w:jc w:val="center"/>
              <w:rPr>
                <w:rFonts w:ascii="Times New Roman" w:eastAsia="DengXian" w:hAnsi="Times New Roman" w:cs="Times New Roman"/>
                <w:color w:val="000000"/>
                <w:sz w:val="20"/>
                <w:szCs w:val="20"/>
              </w:rPr>
            </w:pPr>
            <w:r w:rsidRPr="003C543F">
              <w:rPr>
                <w:rFonts w:ascii="Times New Roman" w:eastAsia="DengXian" w:hAnsi="Times New Roman" w:cs="Times New Roman"/>
                <w:color w:val="000000"/>
                <w:sz w:val="20"/>
                <w:szCs w:val="20"/>
              </w:rPr>
              <w:t>linear range</w:t>
            </w:r>
          </w:p>
        </w:tc>
        <w:tc>
          <w:tcPr>
            <w:tcW w:w="1559" w:type="dxa"/>
            <w:tcBorders>
              <w:top w:val="single" w:sz="24" w:space="0" w:color="auto"/>
              <w:left w:val="nil"/>
              <w:bottom w:val="single" w:sz="6" w:space="0" w:color="auto"/>
              <w:right w:val="nil"/>
            </w:tcBorders>
            <w:shd w:val="clear" w:color="auto" w:fill="auto"/>
            <w:vAlign w:val="center"/>
            <w:hideMark/>
          </w:tcPr>
          <w:p w14:paraId="00C706D0" w14:textId="77777777" w:rsidR="00136824" w:rsidRPr="003C543F" w:rsidRDefault="00136824" w:rsidP="00691234">
            <w:pPr>
              <w:jc w:val="center"/>
              <w:rPr>
                <w:rFonts w:ascii="Times New Roman" w:eastAsia="DengXian" w:hAnsi="Times New Roman" w:cs="Times New Roman"/>
                <w:color w:val="000000"/>
                <w:sz w:val="20"/>
                <w:szCs w:val="20"/>
              </w:rPr>
            </w:pPr>
            <w:r w:rsidRPr="003C543F">
              <w:rPr>
                <w:rFonts w:ascii="Times New Roman" w:eastAsia="DengXian" w:hAnsi="Times New Roman" w:cs="Times New Roman"/>
                <w:color w:val="000000"/>
                <w:sz w:val="20"/>
                <w:szCs w:val="20"/>
              </w:rPr>
              <w:t>Detection Limit</w:t>
            </w:r>
          </w:p>
        </w:tc>
        <w:tc>
          <w:tcPr>
            <w:tcW w:w="1721" w:type="dxa"/>
            <w:tcBorders>
              <w:top w:val="single" w:sz="24" w:space="0" w:color="auto"/>
              <w:left w:val="nil"/>
              <w:bottom w:val="single" w:sz="6" w:space="0" w:color="auto"/>
              <w:right w:val="nil"/>
            </w:tcBorders>
            <w:shd w:val="clear" w:color="auto" w:fill="auto"/>
            <w:vAlign w:val="center"/>
            <w:hideMark/>
          </w:tcPr>
          <w:p w14:paraId="6E5D18A6" w14:textId="77777777" w:rsidR="00136824" w:rsidRPr="003C543F" w:rsidRDefault="00136824" w:rsidP="00691234">
            <w:pPr>
              <w:jc w:val="center"/>
              <w:rPr>
                <w:rFonts w:ascii="Times New Roman" w:eastAsia="DengXian" w:hAnsi="Times New Roman" w:cs="Times New Roman"/>
                <w:color w:val="000000"/>
                <w:sz w:val="20"/>
                <w:szCs w:val="20"/>
              </w:rPr>
            </w:pPr>
            <w:r w:rsidRPr="003C543F">
              <w:rPr>
                <w:rFonts w:ascii="Times New Roman" w:eastAsia="DengXian" w:hAnsi="Times New Roman" w:cs="Times New Roman"/>
                <w:color w:val="000000"/>
                <w:sz w:val="20"/>
                <w:szCs w:val="20"/>
              </w:rPr>
              <w:t>Substrate Type</w:t>
            </w:r>
          </w:p>
        </w:tc>
        <w:tc>
          <w:tcPr>
            <w:tcW w:w="1984" w:type="dxa"/>
            <w:tcBorders>
              <w:top w:val="single" w:sz="24" w:space="0" w:color="auto"/>
              <w:left w:val="nil"/>
              <w:bottom w:val="single" w:sz="6" w:space="0" w:color="auto"/>
              <w:right w:val="nil"/>
            </w:tcBorders>
            <w:shd w:val="clear" w:color="auto" w:fill="auto"/>
            <w:vAlign w:val="center"/>
            <w:hideMark/>
          </w:tcPr>
          <w:p w14:paraId="04879644" w14:textId="77777777" w:rsidR="00136824" w:rsidRPr="003C543F" w:rsidRDefault="00136824" w:rsidP="00691234">
            <w:pPr>
              <w:jc w:val="center"/>
              <w:rPr>
                <w:rFonts w:ascii="Times New Roman" w:eastAsia="DengXian" w:hAnsi="Times New Roman" w:cs="Times New Roman"/>
                <w:color w:val="000000"/>
                <w:sz w:val="20"/>
                <w:szCs w:val="20"/>
              </w:rPr>
            </w:pPr>
            <w:r w:rsidRPr="003C543F">
              <w:rPr>
                <w:rFonts w:ascii="Times New Roman" w:eastAsia="DengXian" w:hAnsi="Times New Roman" w:cs="Times New Roman"/>
                <w:color w:val="000000"/>
                <w:sz w:val="20"/>
                <w:szCs w:val="20"/>
              </w:rPr>
              <w:t>Samples</w:t>
            </w:r>
          </w:p>
        </w:tc>
        <w:tc>
          <w:tcPr>
            <w:tcW w:w="1027" w:type="dxa"/>
            <w:tcBorders>
              <w:top w:val="single" w:sz="24" w:space="0" w:color="auto"/>
              <w:left w:val="nil"/>
              <w:bottom w:val="single" w:sz="6" w:space="0" w:color="auto"/>
            </w:tcBorders>
            <w:shd w:val="clear" w:color="auto" w:fill="auto"/>
            <w:vAlign w:val="center"/>
            <w:hideMark/>
          </w:tcPr>
          <w:p w14:paraId="609C5464" w14:textId="77777777" w:rsidR="00136824" w:rsidRPr="003C543F" w:rsidRDefault="00136824" w:rsidP="00691234">
            <w:pPr>
              <w:jc w:val="center"/>
              <w:rPr>
                <w:rFonts w:ascii="Times New Roman" w:eastAsia="DengXian" w:hAnsi="Times New Roman" w:cs="Times New Roman"/>
                <w:color w:val="000000"/>
                <w:sz w:val="20"/>
                <w:szCs w:val="20"/>
              </w:rPr>
            </w:pPr>
            <w:r w:rsidRPr="003C543F">
              <w:rPr>
                <w:rFonts w:ascii="Times New Roman" w:eastAsia="DengXian" w:hAnsi="Times New Roman" w:cs="Times New Roman"/>
                <w:color w:val="000000"/>
                <w:sz w:val="20"/>
                <w:szCs w:val="20"/>
              </w:rPr>
              <w:t>Reference</w:t>
            </w:r>
          </w:p>
        </w:tc>
      </w:tr>
      <w:tr w:rsidR="00136824" w:rsidRPr="003C543F" w14:paraId="5474288D" w14:textId="77777777" w:rsidTr="00691234">
        <w:trPr>
          <w:trHeight w:val="520"/>
        </w:trPr>
        <w:tc>
          <w:tcPr>
            <w:tcW w:w="2411" w:type="dxa"/>
            <w:tcBorders>
              <w:top w:val="single" w:sz="6" w:space="0" w:color="auto"/>
              <w:right w:val="nil"/>
            </w:tcBorders>
            <w:shd w:val="clear" w:color="auto" w:fill="auto"/>
            <w:vAlign w:val="center"/>
            <w:hideMark/>
          </w:tcPr>
          <w:p w14:paraId="08CF7D1D"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AChE enzyme activity and total amount of AChE</w:t>
            </w:r>
          </w:p>
        </w:tc>
        <w:tc>
          <w:tcPr>
            <w:tcW w:w="1418" w:type="dxa"/>
            <w:tcBorders>
              <w:top w:val="single" w:sz="6" w:space="0" w:color="auto"/>
              <w:left w:val="nil"/>
              <w:right w:val="nil"/>
            </w:tcBorders>
            <w:shd w:val="clear" w:color="auto" w:fill="auto"/>
            <w:noWrap/>
            <w:vAlign w:val="center"/>
            <w:hideMark/>
          </w:tcPr>
          <w:p w14:paraId="1AFF7131"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0.05 to 10 nM</w:t>
            </w:r>
          </w:p>
        </w:tc>
        <w:tc>
          <w:tcPr>
            <w:tcW w:w="1559" w:type="dxa"/>
            <w:tcBorders>
              <w:top w:val="single" w:sz="6" w:space="0" w:color="auto"/>
              <w:left w:val="nil"/>
              <w:right w:val="nil"/>
            </w:tcBorders>
            <w:shd w:val="clear" w:color="auto" w:fill="auto"/>
            <w:vAlign w:val="center"/>
            <w:hideMark/>
          </w:tcPr>
          <w:p w14:paraId="54A62C5B"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0.02nM</w:t>
            </w:r>
          </w:p>
        </w:tc>
        <w:tc>
          <w:tcPr>
            <w:tcW w:w="1721" w:type="dxa"/>
            <w:tcBorders>
              <w:top w:val="single" w:sz="6" w:space="0" w:color="auto"/>
              <w:left w:val="nil"/>
              <w:right w:val="nil"/>
            </w:tcBorders>
            <w:shd w:val="clear" w:color="auto" w:fill="auto"/>
            <w:vAlign w:val="center"/>
            <w:hideMark/>
          </w:tcPr>
          <w:p w14:paraId="06008ACF"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SPE</w:t>
            </w:r>
          </w:p>
        </w:tc>
        <w:tc>
          <w:tcPr>
            <w:tcW w:w="1984" w:type="dxa"/>
            <w:tcBorders>
              <w:top w:val="single" w:sz="6" w:space="0" w:color="auto"/>
              <w:left w:val="nil"/>
              <w:right w:val="nil"/>
            </w:tcBorders>
            <w:shd w:val="clear" w:color="auto" w:fill="auto"/>
            <w:noWrap/>
            <w:vAlign w:val="center"/>
            <w:hideMark/>
          </w:tcPr>
          <w:p w14:paraId="5DD9E251"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Human red blood cells</w:t>
            </w:r>
          </w:p>
        </w:tc>
        <w:tc>
          <w:tcPr>
            <w:tcW w:w="1027" w:type="dxa"/>
            <w:tcBorders>
              <w:top w:val="single" w:sz="6" w:space="0" w:color="auto"/>
              <w:left w:val="nil"/>
            </w:tcBorders>
            <w:shd w:val="clear" w:color="auto" w:fill="auto"/>
            <w:vAlign w:val="center"/>
            <w:hideMark/>
          </w:tcPr>
          <w:p w14:paraId="0ACC2355" w14:textId="67125BF4" w:rsidR="00136824" w:rsidRPr="003C543F" w:rsidRDefault="00136824" w:rsidP="00691234">
            <w:pPr>
              <w:jc w:val="center"/>
              <w:rPr>
                <w:rFonts w:ascii="Times New Roman" w:eastAsia="DengXian" w:hAnsi="Times New Roman" w:cs="Times New Roman"/>
                <w:color w:val="000000"/>
                <w:sz w:val="18"/>
                <w:szCs w:val="18"/>
              </w:rPr>
            </w:pPr>
            <w:r>
              <w:rPr>
                <w:rFonts w:ascii="Times New Roman" w:eastAsia="DengXian" w:hAnsi="Times New Roman" w:cs="Times New Roman"/>
                <w:color w:val="000000"/>
                <w:sz w:val="18"/>
                <w:szCs w:val="18"/>
              </w:rPr>
              <w:t>3</w:t>
            </w:r>
          </w:p>
        </w:tc>
      </w:tr>
      <w:tr w:rsidR="00136824" w:rsidRPr="003C543F" w14:paraId="11174BA5" w14:textId="77777777" w:rsidTr="00691234">
        <w:trPr>
          <w:trHeight w:val="462"/>
        </w:trPr>
        <w:tc>
          <w:tcPr>
            <w:tcW w:w="2411" w:type="dxa"/>
            <w:tcBorders>
              <w:right w:val="nil"/>
            </w:tcBorders>
            <w:shd w:val="clear" w:color="auto" w:fill="auto"/>
            <w:vAlign w:val="center"/>
            <w:hideMark/>
          </w:tcPr>
          <w:p w14:paraId="07449DAA"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AChE activity</w:t>
            </w:r>
          </w:p>
        </w:tc>
        <w:tc>
          <w:tcPr>
            <w:tcW w:w="1418" w:type="dxa"/>
            <w:tcBorders>
              <w:left w:val="nil"/>
              <w:right w:val="nil"/>
            </w:tcBorders>
            <w:shd w:val="clear" w:color="auto" w:fill="auto"/>
            <w:noWrap/>
            <w:vAlign w:val="center"/>
            <w:hideMark/>
          </w:tcPr>
          <w:p w14:paraId="6E614092"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0.05 to 5 nM</w:t>
            </w:r>
          </w:p>
        </w:tc>
        <w:tc>
          <w:tcPr>
            <w:tcW w:w="1559" w:type="dxa"/>
            <w:tcBorders>
              <w:left w:val="nil"/>
              <w:right w:val="nil"/>
            </w:tcBorders>
            <w:shd w:val="clear" w:color="auto" w:fill="auto"/>
            <w:vAlign w:val="center"/>
            <w:hideMark/>
          </w:tcPr>
          <w:p w14:paraId="23F71BA0"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0.02 nM</w:t>
            </w:r>
          </w:p>
        </w:tc>
        <w:tc>
          <w:tcPr>
            <w:tcW w:w="1721" w:type="dxa"/>
            <w:tcBorders>
              <w:left w:val="nil"/>
              <w:right w:val="nil"/>
            </w:tcBorders>
            <w:shd w:val="clear" w:color="auto" w:fill="auto"/>
            <w:vAlign w:val="center"/>
            <w:hideMark/>
          </w:tcPr>
          <w:p w14:paraId="59EB82E5"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SPE</w:t>
            </w:r>
          </w:p>
        </w:tc>
        <w:tc>
          <w:tcPr>
            <w:tcW w:w="1984" w:type="dxa"/>
            <w:tcBorders>
              <w:left w:val="nil"/>
              <w:right w:val="nil"/>
            </w:tcBorders>
            <w:shd w:val="clear" w:color="auto" w:fill="auto"/>
            <w:noWrap/>
            <w:vAlign w:val="center"/>
            <w:hideMark/>
          </w:tcPr>
          <w:p w14:paraId="3B0966C1"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Human red blood cells</w:t>
            </w:r>
          </w:p>
        </w:tc>
        <w:tc>
          <w:tcPr>
            <w:tcW w:w="1027" w:type="dxa"/>
            <w:tcBorders>
              <w:left w:val="nil"/>
            </w:tcBorders>
            <w:shd w:val="clear" w:color="auto" w:fill="auto"/>
            <w:vAlign w:val="center"/>
            <w:hideMark/>
          </w:tcPr>
          <w:p w14:paraId="72B7D29A" w14:textId="33445FE3" w:rsidR="00136824" w:rsidRPr="003C543F" w:rsidRDefault="00136824" w:rsidP="00691234">
            <w:pPr>
              <w:jc w:val="center"/>
              <w:rPr>
                <w:rFonts w:ascii="Times New Roman" w:eastAsia="DengXian" w:hAnsi="Times New Roman" w:cs="Times New Roman"/>
                <w:color w:val="000000"/>
                <w:sz w:val="18"/>
                <w:szCs w:val="18"/>
              </w:rPr>
            </w:pPr>
            <w:r>
              <w:rPr>
                <w:rFonts w:ascii="Times New Roman" w:eastAsia="DengXian" w:hAnsi="Times New Roman" w:cs="Times New Roman"/>
                <w:color w:val="000000"/>
                <w:sz w:val="18"/>
                <w:szCs w:val="18"/>
              </w:rPr>
              <w:t>4</w:t>
            </w:r>
          </w:p>
        </w:tc>
      </w:tr>
      <w:tr w:rsidR="00136824" w:rsidRPr="003C543F" w14:paraId="33CBA863" w14:textId="77777777" w:rsidTr="00691234">
        <w:trPr>
          <w:trHeight w:val="520"/>
        </w:trPr>
        <w:tc>
          <w:tcPr>
            <w:tcW w:w="2411" w:type="dxa"/>
            <w:tcBorders>
              <w:right w:val="nil"/>
            </w:tcBorders>
            <w:shd w:val="clear" w:color="auto" w:fill="auto"/>
            <w:vAlign w:val="center"/>
            <w:hideMark/>
          </w:tcPr>
          <w:p w14:paraId="45BDA96C"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BChE activity and total amount of BChE</w:t>
            </w:r>
          </w:p>
        </w:tc>
        <w:tc>
          <w:tcPr>
            <w:tcW w:w="1418" w:type="dxa"/>
            <w:tcBorders>
              <w:left w:val="nil"/>
              <w:right w:val="nil"/>
            </w:tcBorders>
            <w:shd w:val="clear" w:color="auto" w:fill="auto"/>
            <w:noWrap/>
            <w:vAlign w:val="center"/>
            <w:hideMark/>
          </w:tcPr>
          <w:p w14:paraId="18195BB8"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0.1 to 20 nM</w:t>
            </w:r>
          </w:p>
        </w:tc>
        <w:tc>
          <w:tcPr>
            <w:tcW w:w="1559" w:type="dxa"/>
            <w:tcBorders>
              <w:left w:val="nil"/>
              <w:right w:val="nil"/>
            </w:tcBorders>
            <w:shd w:val="clear" w:color="auto" w:fill="auto"/>
            <w:noWrap/>
            <w:vAlign w:val="center"/>
            <w:hideMark/>
          </w:tcPr>
          <w:p w14:paraId="1FE06043"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0.05 nM</w:t>
            </w:r>
          </w:p>
        </w:tc>
        <w:tc>
          <w:tcPr>
            <w:tcW w:w="1721" w:type="dxa"/>
            <w:tcBorders>
              <w:left w:val="nil"/>
              <w:right w:val="nil"/>
            </w:tcBorders>
            <w:shd w:val="clear" w:color="auto" w:fill="auto"/>
            <w:vAlign w:val="center"/>
            <w:hideMark/>
          </w:tcPr>
          <w:p w14:paraId="7DD9A993"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SPE</w:t>
            </w:r>
          </w:p>
        </w:tc>
        <w:tc>
          <w:tcPr>
            <w:tcW w:w="1984" w:type="dxa"/>
            <w:tcBorders>
              <w:left w:val="nil"/>
              <w:right w:val="nil"/>
            </w:tcBorders>
            <w:shd w:val="clear" w:color="auto" w:fill="auto"/>
            <w:noWrap/>
            <w:vAlign w:val="center"/>
            <w:hideMark/>
          </w:tcPr>
          <w:p w14:paraId="224B784C"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Human Plasma Samples</w:t>
            </w:r>
          </w:p>
        </w:tc>
        <w:tc>
          <w:tcPr>
            <w:tcW w:w="1027" w:type="dxa"/>
            <w:tcBorders>
              <w:left w:val="nil"/>
            </w:tcBorders>
            <w:shd w:val="clear" w:color="auto" w:fill="auto"/>
            <w:vAlign w:val="center"/>
            <w:hideMark/>
          </w:tcPr>
          <w:p w14:paraId="4452B3E1" w14:textId="0CCAB4AA" w:rsidR="00136824" w:rsidRPr="003C543F" w:rsidRDefault="00136824" w:rsidP="00691234">
            <w:pPr>
              <w:jc w:val="center"/>
              <w:rPr>
                <w:rFonts w:ascii="Times New Roman" w:eastAsia="DengXian" w:hAnsi="Times New Roman" w:cs="Times New Roman"/>
                <w:color w:val="000000"/>
                <w:sz w:val="18"/>
                <w:szCs w:val="18"/>
              </w:rPr>
            </w:pPr>
            <w:r>
              <w:rPr>
                <w:rFonts w:ascii="Times New Roman" w:eastAsia="DengXian" w:hAnsi="Times New Roman" w:cs="Times New Roman"/>
                <w:color w:val="000000"/>
                <w:sz w:val="18"/>
                <w:szCs w:val="18"/>
              </w:rPr>
              <w:t>5</w:t>
            </w:r>
          </w:p>
        </w:tc>
      </w:tr>
      <w:tr w:rsidR="00136824" w:rsidRPr="003C543F" w14:paraId="4CF13486" w14:textId="77777777" w:rsidTr="00691234">
        <w:trPr>
          <w:trHeight w:val="360"/>
        </w:trPr>
        <w:tc>
          <w:tcPr>
            <w:tcW w:w="2411" w:type="dxa"/>
            <w:tcBorders>
              <w:bottom w:val="nil"/>
              <w:right w:val="nil"/>
            </w:tcBorders>
            <w:shd w:val="clear" w:color="auto" w:fill="auto"/>
            <w:noWrap/>
            <w:vAlign w:val="bottom"/>
            <w:hideMark/>
          </w:tcPr>
          <w:p w14:paraId="2707BC27"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AChE enzyme activity</w:t>
            </w:r>
          </w:p>
        </w:tc>
        <w:tc>
          <w:tcPr>
            <w:tcW w:w="1418" w:type="dxa"/>
            <w:tcBorders>
              <w:left w:val="nil"/>
              <w:bottom w:val="nil"/>
              <w:right w:val="nil"/>
            </w:tcBorders>
            <w:shd w:val="clear" w:color="auto" w:fill="auto"/>
            <w:noWrap/>
            <w:vAlign w:val="bottom"/>
            <w:hideMark/>
          </w:tcPr>
          <w:p w14:paraId="6EC9E401"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0.1 to 10 nM</w:t>
            </w:r>
          </w:p>
        </w:tc>
        <w:tc>
          <w:tcPr>
            <w:tcW w:w="1559" w:type="dxa"/>
            <w:tcBorders>
              <w:left w:val="nil"/>
              <w:bottom w:val="nil"/>
              <w:right w:val="nil"/>
            </w:tcBorders>
            <w:shd w:val="clear" w:color="auto" w:fill="auto"/>
            <w:vAlign w:val="center"/>
            <w:hideMark/>
          </w:tcPr>
          <w:p w14:paraId="523CF146"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not mentioned</w:t>
            </w:r>
          </w:p>
        </w:tc>
        <w:tc>
          <w:tcPr>
            <w:tcW w:w="1721" w:type="dxa"/>
            <w:tcBorders>
              <w:left w:val="nil"/>
              <w:bottom w:val="nil"/>
              <w:right w:val="nil"/>
            </w:tcBorders>
            <w:shd w:val="clear" w:color="auto" w:fill="auto"/>
            <w:vAlign w:val="center"/>
            <w:hideMark/>
          </w:tcPr>
          <w:p w14:paraId="0700EE76"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SPE</w:t>
            </w:r>
          </w:p>
        </w:tc>
        <w:tc>
          <w:tcPr>
            <w:tcW w:w="1984" w:type="dxa"/>
            <w:tcBorders>
              <w:left w:val="nil"/>
              <w:bottom w:val="nil"/>
              <w:right w:val="nil"/>
            </w:tcBorders>
            <w:shd w:val="clear" w:color="auto" w:fill="auto"/>
            <w:noWrap/>
            <w:vAlign w:val="center"/>
            <w:hideMark/>
          </w:tcPr>
          <w:p w14:paraId="49C8EB26"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Human red blood cells</w:t>
            </w:r>
          </w:p>
        </w:tc>
        <w:tc>
          <w:tcPr>
            <w:tcW w:w="1027" w:type="dxa"/>
            <w:tcBorders>
              <w:left w:val="nil"/>
              <w:bottom w:val="nil"/>
            </w:tcBorders>
            <w:shd w:val="clear" w:color="auto" w:fill="auto"/>
            <w:vAlign w:val="center"/>
            <w:hideMark/>
          </w:tcPr>
          <w:p w14:paraId="3BF1F92E" w14:textId="22F22259" w:rsidR="00136824" w:rsidRPr="003C543F" w:rsidRDefault="00136824" w:rsidP="00691234">
            <w:pPr>
              <w:jc w:val="center"/>
              <w:rPr>
                <w:rFonts w:ascii="Times New Roman" w:eastAsia="DengXian" w:hAnsi="Times New Roman" w:cs="Times New Roman"/>
                <w:color w:val="000000"/>
                <w:sz w:val="18"/>
                <w:szCs w:val="18"/>
              </w:rPr>
            </w:pPr>
            <w:r>
              <w:rPr>
                <w:rFonts w:ascii="Times New Roman" w:eastAsia="DengXian" w:hAnsi="Times New Roman" w:cs="Times New Roman"/>
                <w:color w:val="000000"/>
                <w:sz w:val="18"/>
                <w:szCs w:val="18"/>
              </w:rPr>
              <w:t>6</w:t>
            </w:r>
          </w:p>
        </w:tc>
      </w:tr>
      <w:tr w:rsidR="00136824" w:rsidRPr="003C543F" w14:paraId="10F7D37A" w14:textId="77777777" w:rsidTr="00691234">
        <w:trPr>
          <w:trHeight w:val="520"/>
        </w:trPr>
        <w:tc>
          <w:tcPr>
            <w:tcW w:w="2411" w:type="dxa"/>
            <w:tcBorders>
              <w:bottom w:val="single" w:sz="24" w:space="0" w:color="auto"/>
              <w:right w:val="nil"/>
            </w:tcBorders>
            <w:shd w:val="clear" w:color="auto" w:fill="auto"/>
            <w:vAlign w:val="center"/>
            <w:hideMark/>
          </w:tcPr>
          <w:p w14:paraId="5C78D836"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BChE activity and total amount of BChE</w:t>
            </w:r>
          </w:p>
        </w:tc>
        <w:tc>
          <w:tcPr>
            <w:tcW w:w="1418" w:type="dxa"/>
            <w:tcBorders>
              <w:left w:val="nil"/>
              <w:bottom w:val="single" w:sz="24" w:space="0" w:color="auto"/>
              <w:right w:val="nil"/>
            </w:tcBorders>
            <w:shd w:val="clear" w:color="auto" w:fill="auto"/>
            <w:vAlign w:val="center"/>
            <w:hideMark/>
          </w:tcPr>
          <w:p w14:paraId="230B8029"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0.22 to 3.58 nM</w:t>
            </w:r>
          </w:p>
        </w:tc>
        <w:tc>
          <w:tcPr>
            <w:tcW w:w="1559" w:type="dxa"/>
            <w:tcBorders>
              <w:left w:val="nil"/>
              <w:bottom w:val="single" w:sz="24" w:space="0" w:color="auto"/>
              <w:right w:val="nil"/>
            </w:tcBorders>
            <w:shd w:val="clear" w:color="auto" w:fill="auto"/>
            <w:vAlign w:val="center"/>
            <w:hideMark/>
          </w:tcPr>
          <w:p w14:paraId="0B4077FE"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0.1 nM</w:t>
            </w:r>
          </w:p>
        </w:tc>
        <w:tc>
          <w:tcPr>
            <w:tcW w:w="1721" w:type="dxa"/>
            <w:tcBorders>
              <w:left w:val="nil"/>
              <w:bottom w:val="single" w:sz="24" w:space="0" w:color="auto"/>
              <w:right w:val="nil"/>
            </w:tcBorders>
            <w:shd w:val="clear" w:color="auto" w:fill="auto"/>
            <w:vAlign w:val="center"/>
            <w:hideMark/>
          </w:tcPr>
          <w:p w14:paraId="43480F9C" w14:textId="77777777" w:rsidR="00136824"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Test Strip</w:t>
            </w:r>
            <w:r>
              <w:rPr>
                <w:rFonts w:ascii="Times New Roman" w:eastAsia="DengXian" w:hAnsi="Times New Roman" w:cs="Times New Roman" w:hint="eastAsia"/>
                <w:color w:val="000000"/>
                <w:sz w:val="18"/>
                <w:szCs w:val="18"/>
              </w:rPr>
              <w:t xml:space="preserve"> reader</w:t>
            </w:r>
          </w:p>
          <w:p w14:paraId="3E8BA053" w14:textId="77777777" w:rsidR="00136824" w:rsidRPr="003C543F" w:rsidRDefault="00136824" w:rsidP="00691234">
            <w:pPr>
              <w:jc w:val="center"/>
              <w:rPr>
                <w:rFonts w:ascii="Times New Roman" w:eastAsia="DengXian" w:hAnsi="Times New Roman" w:cs="Times New Roman"/>
                <w:color w:val="000000"/>
                <w:sz w:val="18"/>
                <w:szCs w:val="18"/>
              </w:rPr>
            </w:pPr>
            <w:r w:rsidRPr="003C543F">
              <w:rPr>
                <w:rFonts w:ascii="Times New Roman" w:eastAsia="DengXian" w:hAnsi="Times New Roman" w:cs="Times New Roman"/>
                <w:color w:val="000000"/>
                <w:sz w:val="18"/>
                <w:szCs w:val="18"/>
              </w:rPr>
              <w:t>/ Microplate Reader</w:t>
            </w:r>
          </w:p>
        </w:tc>
        <w:tc>
          <w:tcPr>
            <w:tcW w:w="1984" w:type="dxa"/>
            <w:tcBorders>
              <w:left w:val="nil"/>
              <w:bottom w:val="single" w:sz="24" w:space="0" w:color="auto"/>
              <w:right w:val="nil"/>
            </w:tcBorders>
            <w:shd w:val="clear" w:color="auto" w:fill="auto"/>
            <w:noWrap/>
            <w:vAlign w:val="center"/>
            <w:hideMark/>
          </w:tcPr>
          <w:p w14:paraId="0D926307" w14:textId="77777777" w:rsidR="00136824" w:rsidRPr="003C543F" w:rsidRDefault="00136824" w:rsidP="00691234">
            <w:pPr>
              <w:jc w:val="center"/>
              <w:rPr>
                <w:rFonts w:ascii="Times New Roman" w:eastAsia="DengXian" w:hAnsi="Times New Roman" w:cs="Times New Roman"/>
                <w:bCs/>
                <w:color w:val="000000"/>
                <w:sz w:val="18"/>
                <w:szCs w:val="18"/>
              </w:rPr>
            </w:pPr>
            <w:r w:rsidRPr="003C543F">
              <w:rPr>
                <w:rFonts w:ascii="Times New Roman" w:eastAsia="DengXian" w:hAnsi="Times New Roman" w:cs="Times New Roman"/>
                <w:bCs/>
                <w:color w:val="000000"/>
                <w:sz w:val="18"/>
                <w:szCs w:val="18"/>
              </w:rPr>
              <w:t>Human blood</w:t>
            </w:r>
          </w:p>
        </w:tc>
        <w:tc>
          <w:tcPr>
            <w:tcW w:w="1027" w:type="dxa"/>
            <w:tcBorders>
              <w:left w:val="nil"/>
              <w:bottom w:val="single" w:sz="24" w:space="0" w:color="auto"/>
            </w:tcBorders>
            <w:shd w:val="clear" w:color="auto" w:fill="auto"/>
            <w:vAlign w:val="center"/>
            <w:hideMark/>
          </w:tcPr>
          <w:p w14:paraId="43EDB2F9" w14:textId="77777777" w:rsidR="00136824" w:rsidRPr="003C543F" w:rsidRDefault="00136824" w:rsidP="00691234">
            <w:pPr>
              <w:jc w:val="center"/>
              <w:rPr>
                <w:rFonts w:ascii="Times New Roman" w:eastAsia="DengXian" w:hAnsi="Times New Roman" w:cs="Times New Roman"/>
                <w:color w:val="000000"/>
                <w:sz w:val="18"/>
                <w:szCs w:val="18"/>
              </w:rPr>
            </w:pPr>
            <w:r>
              <w:rPr>
                <w:rFonts w:ascii="Times New Roman" w:eastAsia="DengXian" w:hAnsi="Times New Roman" w:cs="Times New Roman"/>
                <w:color w:val="000000"/>
                <w:sz w:val="18"/>
                <w:szCs w:val="18"/>
              </w:rPr>
              <w:t>T</w:t>
            </w:r>
            <w:r>
              <w:rPr>
                <w:rFonts w:ascii="Times New Roman" w:eastAsia="DengXian" w:hAnsi="Times New Roman" w:cs="Times New Roman" w:hint="eastAsia"/>
                <w:color w:val="000000"/>
                <w:sz w:val="18"/>
                <w:szCs w:val="18"/>
              </w:rPr>
              <w:t>his paper</w:t>
            </w:r>
          </w:p>
        </w:tc>
      </w:tr>
    </w:tbl>
    <w:p w14:paraId="112C4547" w14:textId="77777777" w:rsidR="00136824" w:rsidRDefault="00136824"/>
    <w:p w14:paraId="43D3CBC0" w14:textId="77777777" w:rsidR="00136824" w:rsidRDefault="00136824" w:rsidP="00923D3B">
      <w:pPr>
        <w:pStyle w:val="EndNoteBibliography"/>
      </w:pPr>
    </w:p>
    <w:p w14:paraId="37A9F3B0" w14:textId="77777777" w:rsidR="00136824" w:rsidRDefault="00136824" w:rsidP="00923D3B">
      <w:pPr>
        <w:pStyle w:val="EndNoteBibliography"/>
      </w:pPr>
    </w:p>
    <w:p w14:paraId="421C41F8" w14:textId="77777777" w:rsidR="00136824" w:rsidRDefault="00136824" w:rsidP="00923D3B">
      <w:pPr>
        <w:pStyle w:val="EndNoteBibliography"/>
      </w:pPr>
    </w:p>
    <w:p w14:paraId="2B758872" w14:textId="77777777" w:rsidR="00136824" w:rsidRDefault="00136824" w:rsidP="00923D3B">
      <w:pPr>
        <w:pStyle w:val="EndNoteBibliography"/>
      </w:pPr>
    </w:p>
    <w:p w14:paraId="42B8AEF1" w14:textId="77777777" w:rsidR="00136824" w:rsidRDefault="00136824" w:rsidP="00923D3B">
      <w:pPr>
        <w:pStyle w:val="EndNoteBibliography"/>
      </w:pPr>
    </w:p>
    <w:p w14:paraId="51052699" w14:textId="77777777" w:rsidR="00085E58" w:rsidRDefault="00085E58" w:rsidP="00085E58">
      <w:pPr>
        <w:pStyle w:val="EndNoteBibliography"/>
      </w:pPr>
      <w:r>
        <w:t>(1) Ellman, G. L.; Courtney, K. D.; Andres, V., Jr.; Feather-Stone, R. M. Biochemical pharmacology 1961, 7, 88-95.</w:t>
      </w:r>
    </w:p>
    <w:p w14:paraId="4D317092" w14:textId="71E628AE" w:rsidR="00136824" w:rsidRDefault="00085E58" w:rsidP="00085E58">
      <w:pPr>
        <w:pStyle w:val="EndNoteBibliography"/>
      </w:pPr>
      <w:r>
        <w:t>(2) Horisberger, M.; Rosset, J.</w:t>
      </w:r>
      <w:r w:rsidR="00712020">
        <w:t xml:space="preserve"> </w:t>
      </w:r>
      <w:r>
        <w:t xml:space="preserve"> Journal of the Histochemistry Society 1977, 4, 295.</w:t>
      </w:r>
    </w:p>
    <w:p w14:paraId="6C694408" w14:textId="6D7C2627" w:rsidR="00085E58" w:rsidRDefault="00085E58" w:rsidP="00085E58">
      <w:pPr>
        <w:pStyle w:val="EndNoteBibliography"/>
      </w:pPr>
      <w:r>
        <w:t>(3) Du</w:t>
      </w:r>
      <w:r w:rsidR="00637C16">
        <w:t>,</w:t>
      </w:r>
      <w:r>
        <w:t xml:space="preserve"> D</w:t>
      </w:r>
      <w:r w:rsidR="00637C16">
        <w:t>.;</w:t>
      </w:r>
      <w:r>
        <w:t xml:space="preserve"> Wang</w:t>
      </w:r>
      <w:r w:rsidR="00637C16">
        <w:t>,</w:t>
      </w:r>
      <w:r>
        <w:t xml:space="preserve"> J</w:t>
      </w:r>
      <w:r w:rsidR="00637C16">
        <w:t>.;</w:t>
      </w:r>
      <w:r>
        <w:t xml:space="preserve"> Wang</w:t>
      </w:r>
      <w:r w:rsidR="00637C16">
        <w:t>,</w:t>
      </w:r>
      <w:r>
        <w:t xml:space="preserve"> L</w:t>
      </w:r>
      <w:r w:rsidR="00637C16">
        <w:t>.;</w:t>
      </w:r>
      <w:r w:rsidR="00712020">
        <w:t xml:space="preserve"> Lu, D.; Lin, Y. </w:t>
      </w:r>
      <w:r>
        <w:t xml:space="preserve"> Analytical Chemistry, 2012, 84(3):1380-5.</w:t>
      </w:r>
    </w:p>
    <w:p w14:paraId="1D63CEC2" w14:textId="1B803508" w:rsidR="00085E58" w:rsidRDefault="00085E58" w:rsidP="00085E58">
      <w:pPr>
        <w:pStyle w:val="EndNoteBibliography"/>
      </w:pPr>
      <w:r>
        <w:t>(4) Ge</w:t>
      </w:r>
      <w:r w:rsidR="00637C16">
        <w:t>,</w:t>
      </w:r>
      <w:r>
        <w:t xml:space="preserve"> X</w:t>
      </w:r>
      <w:r w:rsidR="00637C16">
        <w:t>.;</w:t>
      </w:r>
      <w:r>
        <w:t xml:space="preserve"> Tao</w:t>
      </w:r>
      <w:r w:rsidR="00637C16">
        <w:t>,</w:t>
      </w:r>
      <w:r>
        <w:t xml:space="preserve"> Y</w:t>
      </w:r>
      <w:r w:rsidR="00637C16">
        <w:t>.;</w:t>
      </w:r>
      <w:r>
        <w:t xml:space="preserve"> Zhang</w:t>
      </w:r>
      <w:r w:rsidR="00637C16">
        <w:t>,</w:t>
      </w:r>
      <w:r>
        <w:t xml:space="preserve"> A</w:t>
      </w:r>
      <w:r w:rsidR="00637C16">
        <w:t>.;</w:t>
      </w:r>
      <w:r>
        <w:t xml:space="preserve"> </w:t>
      </w:r>
      <w:r w:rsidR="00712020">
        <w:t>Lin</w:t>
      </w:r>
      <w:r w:rsidR="00B37AA9">
        <w:t xml:space="preserve">, Y.; Du, D. </w:t>
      </w:r>
      <w:r>
        <w:t>Analytical Chemistry, 2013, 85(20):9686-91.</w:t>
      </w:r>
    </w:p>
    <w:p w14:paraId="18FFB907" w14:textId="3E71D9FE" w:rsidR="00085E58" w:rsidRDefault="00085E58" w:rsidP="00085E58">
      <w:pPr>
        <w:pStyle w:val="EndNoteBibliography"/>
      </w:pPr>
      <w:r>
        <w:t>(5) Du</w:t>
      </w:r>
      <w:r w:rsidR="00637C16">
        <w:t>,</w:t>
      </w:r>
      <w:r>
        <w:t xml:space="preserve"> D</w:t>
      </w:r>
      <w:r w:rsidR="00637C16">
        <w:t>.;</w:t>
      </w:r>
      <w:r>
        <w:t xml:space="preserve"> Wang</w:t>
      </w:r>
      <w:r w:rsidR="00637C16">
        <w:t>,</w:t>
      </w:r>
      <w:r>
        <w:t xml:space="preserve"> J</w:t>
      </w:r>
      <w:r w:rsidR="00637C16">
        <w:t>.;</w:t>
      </w:r>
      <w:r>
        <w:t xml:space="preserve"> Wang</w:t>
      </w:r>
      <w:r w:rsidR="00637C16">
        <w:t>,</w:t>
      </w:r>
      <w:r>
        <w:t xml:space="preserve"> L</w:t>
      </w:r>
      <w:r w:rsidR="00637C16">
        <w:t>.</w:t>
      </w:r>
      <w:r w:rsidR="00EC18E1">
        <w:t xml:space="preserve">; Lu, D.; Smith, J.; Timchalk, C.; Lin, Y. </w:t>
      </w:r>
      <w:r>
        <w:t>Analytical Chemistry, 2011, 83(10):3770.</w:t>
      </w:r>
    </w:p>
    <w:p w14:paraId="16102C0E" w14:textId="37BD3F15" w:rsidR="007152FE" w:rsidRDefault="00085E58" w:rsidP="00085E58">
      <w:r>
        <w:t>(6) Chen</w:t>
      </w:r>
      <w:r w:rsidR="00637C16">
        <w:t>,</w:t>
      </w:r>
      <w:r>
        <w:t xml:space="preserve"> A</w:t>
      </w:r>
      <w:r w:rsidR="00637C16">
        <w:t>.;</w:t>
      </w:r>
      <w:r>
        <w:t xml:space="preserve"> Du</w:t>
      </w:r>
      <w:r w:rsidR="00637C16">
        <w:t>,</w:t>
      </w:r>
      <w:r>
        <w:t xml:space="preserve"> D</w:t>
      </w:r>
      <w:r w:rsidR="00637C16">
        <w:t>.;</w:t>
      </w:r>
      <w:r>
        <w:t xml:space="preserve"> Lin</w:t>
      </w:r>
      <w:r w:rsidR="00637C16">
        <w:t>,</w:t>
      </w:r>
      <w:r>
        <w:t xml:space="preserve"> Y</w:t>
      </w:r>
      <w:r w:rsidR="00637C16">
        <w:t xml:space="preserve">. </w:t>
      </w:r>
      <w:r>
        <w:t>Environmental Science &amp; Technology, 2012, 46(3):1828.</w:t>
      </w:r>
      <w:r w:rsidR="00622752">
        <w:fldChar w:fldCharType="begin"/>
      </w:r>
      <w:r w:rsidR="00622752">
        <w:instrText xml:space="preserve"> ADDIN EN.REFLIST </w:instrText>
      </w:r>
      <w:r w:rsidR="00622752">
        <w:fldChar w:fldCharType="end"/>
      </w:r>
    </w:p>
    <w:sectPr w:rsidR="007152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0CFF1" w14:textId="77777777" w:rsidR="0096560B" w:rsidRDefault="0096560B" w:rsidP="007152FE">
      <w:pPr>
        <w:spacing w:after="0" w:line="240" w:lineRule="auto"/>
      </w:pPr>
      <w:r>
        <w:separator/>
      </w:r>
    </w:p>
  </w:endnote>
  <w:endnote w:type="continuationSeparator" w:id="0">
    <w:p w14:paraId="56A996AB" w14:textId="77777777" w:rsidR="0096560B" w:rsidRDefault="0096560B" w:rsidP="0071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99DCA" w14:textId="77777777" w:rsidR="0096560B" w:rsidRDefault="0096560B" w:rsidP="007152FE">
      <w:pPr>
        <w:spacing w:after="0" w:line="240" w:lineRule="auto"/>
      </w:pPr>
      <w:r>
        <w:separator/>
      </w:r>
    </w:p>
  </w:footnote>
  <w:footnote w:type="continuationSeparator" w:id="0">
    <w:p w14:paraId="6A79CC86" w14:textId="77777777" w:rsidR="0096560B" w:rsidRDefault="0096560B" w:rsidP="00715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D187E"/>
    <w:multiLevelType w:val="hybridMultilevel"/>
    <w:tmpl w:val="2480CC76"/>
    <w:lvl w:ilvl="0" w:tplc="31FE2EEA">
      <w:start w:val="1"/>
      <w:numFmt w:val="lowerLetter"/>
      <w:lvlText w:val="(%1)"/>
      <w:lvlJc w:val="left"/>
      <w:pPr>
        <w:ind w:left="360" w:hanging="360"/>
      </w:pPr>
      <w:rPr>
        <w:rFonts w:ascii="Times New Roman" w:eastAsiaTheme="minorEastAsia" w:hAnsi="Times New Roman" w:cs="Times New Roman" w:hint="default"/>
        <w:color w:val="auto"/>
        <w:sz w:val="21"/>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alytical Che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0r0v9eprpew53exr0lpe0rbaepedzsvt50s&quot;&gt;My EndNote Library&lt;record-ids&gt;&lt;item&gt;2611&lt;/item&gt;&lt;/record-ids&gt;&lt;/item&gt;&lt;/Libraries&gt;"/>
  </w:docVars>
  <w:rsids>
    <w:rsidRoot w:val="00A65E9E"/>
    <w:rsid w:val="00085E58"/>
    <w:rsid w:val="000C5153"/>
    <w:rsid w:val="00136824"/>
    <w:rsid w:val="00187FB2"/>
    <w:rsid w:val="00197C11"/>
    <w:rsid w:val="002E4C17"/>
    <w:rsid w:val="00386D08"/>
    <w:rsid w:val="003B1180"/>
    <w:rsid w:val="0041143C"/>
    <w:rsid w:val="00427925"/>
    <w:rsid w:val="00483ECF"/>
    <w:rsid w:val="004B1480"/>
    <w:rsid w:val="00547434"/>
    <w:rsid w:val="00550641"/>
    <w:rsid w:val="005A302E"/>
    <w:rsid w:val="00622752"/>
    <w:rsid w:val="00631D90"/>
    <w:rsid w:val="00637C16"/>
    <w:rsid w:val="00656512"/>
    <w:rsid w:val="00712020"/>
    <w:rsid w:val="007152FE"/>
    <w:rsid w:val="00753EC7"/>
    <w:rsid w:val="007D67DA"/>
    <w:rsid w:val="00846978"/>
    <w:rsid w:val="008573C3"/>
    <w:rsid w:val="008723AC"/>
    <w:rsid w:val="00873F7E"/>
    <w:rsid w:val="008C1AFF"/>
    <w:rsid w:val="00923D3B"/>
    <w:rsid w:val="00951702"/>
    <w:rsid w:val="009604BD"/>
    <w:rsid w:val="0096560B"/>
    <w:rsid w:val="009D0BD1"/>
    <w:rsid w:val="009F4E27"/>
    <w:rsid w:val="00A10FFD"/>
    <w:rsid w:val="00A65E9E"/>
    <w:rsid w:val="00AF536A"/>
    <w:rsid w:val="00B26C1B"/>
    <w:rsid w:val="00B26D15"/>
    <w:rsid w:val="00B37AA9"/>
    <w:rsid w:val="00B534F5"/>
    <w:rsid w:val="00B824A3"/>
    <w:rsid w:val="00C50EA9"/>
    <w:rsid w:val="00D91C7B"/>
    <w:rsid w:val="00D91F42"/>
    <w:rsid w:val="00EC18E1"/>
    <w:rsid w:val="00F533C9"/>
    <w:rsid w:val="00F60A9E"/>
    <w:rsid w:val="00FB5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AAC62"/>
  <w15:chartTrackingRefBased/>
  <w15:docId w15:val="{79EF985D-DA1B-416F-AA08-32493E1F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2F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152FE"/>
    <w:rPr>
      <w:sz w:val="18"/>
      <w:szCs w:val="18"/>
    </w:rPr>
  </w:style>
  <w:style w:type="paragraph" w:styleId="Footer">
    <w:name w:val="footer"/>
    <w:basedOn w:val="Normal"/>
    <w:link w:val="FooterChar"/>
    <w:uiPriority w:val="99"/>
    <w:unhideWhenUsed/>
    <w:rsid w:val="007152F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152FE"/>
    <w:rPr>
      <w:sz w:val="18"/>
      <w:szCs w:val="18"/>
    </w:rPr>
  </w:style>
  <w:style w:type="paragraph" w:customStyle="1" w:styleId="EndNoteBibliographyTitle">
    <w:name w:val="EndNote Bibliography Title"/>
    <w:basedOn w:val="Normal"/>
    <w:link w:val="EndNoteBibliographyTitle0"/>
    <w:rsid w:val="00923D3B"/>
    <w:pPr>
      <w:spacing w:after="0"/>
      <w:jc w:val="center"/>
    </w:pPr>
    <w:rPr>
      <w:rFonts w:ascii="Calibri" w:hAnsi="Calibri"/>
      <w:noProof/>
    </w:rPr>
  </w:style>
  <w:style w:type="character" w:customStyle="1" w:styleId="EndNoteBibliographyTitle0">
    <w:name w:val="EndNote Bibliography Title 字符"/>
    <w:basedOn w:val="DefaultParagraphFont"/>
    <w:link w:val="EndNoteBibliographyTitle"/>
    <w:rsid w:val="00923D3B"/>
    <w:rPr>
      <w:rFonts w:ascii="Calibri" w:hAnsi="Calibri"/>
      <w:noProof/>
    </w:rPr>
  </w:style>
  <w:style w:type="paragraph" w:customStyle="1" w:styleId="EndNoteBibliography">
    <w:name w:val="EndNote Bibliography"/>
    <w:basedOn w:val="Normal"/>
    <w:link w:val="EndNoteBibliography0"/>
    <w:rsid w:val="00923D3B"/>
    <w:pPr>
      <w:spacing w:line="240" w:lineRule="auto"/>
    </w:pPr>
    <w:rPr>
      <w:rFonts w:ascii="Calibri" w:hAnsi="Calibri"/>
      <w:noProof/>
    </w:rPr>
  </w:style>
  <w:style w:type="character" w:customStyle="1" w:styleId="EndNoteBibliography0">
    <w:name w:val="EndNote Bibliography 字符"/>
    <w:basedOn w:val="DefaultParagraphFont"/>
    <w:link w:val="EndNoteBibliography"/>
    <w:rsid w:val="00923D3B"/>
    <w:rPr>
      <w:rFonts w:ascii="Calibri" w:hAnsi="Calibri"/>
      <w:noProof/>
    </w:rPr>
  </w:style>
  <w:style w:type="character" w:styleId="Hyperlink">
    <w:name w:val="Hyperlink"/>
    <w:basedOn w:val="DefaultParagraphFont"/>
    <w:uiPriority w:val="99"/>
    <w:unhideWhenUsed/>
    <w:rsid w:val="00923D3B"/>
    <w:rPr>
      <w:color w:val="0000FF" w:themeColor="hyperlink"/>
      <w:u w:val="single"/>
    </w:rPr>
  </w:style>
  <w:style w:type="character" w:customStyle="1" w:styleId="1">
    <w:name w:val="未处理的提及1"/>
    <w:basedOn w:val="DefaultParagraphFont"/>
    <w:uiPriority w:val="99"/>
    <w:semiHidden/>
    <w:unhideWhenUsed/>
    <w:rsid w:val="00923D3B"/>
    <w:rPr>
      <w:color w:val="808080"/>
      <w:shd w:val="clear" w:color="auto" w:fill="E6E6E6"/>
    </w:rPr>
  </w:style>
  <w:style w:type="paragraph" w:styleId="ListParagraph">
    <w:name w:val="List Paragraph"/>
    <w:basedOn w:val="Normal"/>
    <w:uiPriority w:val="34"/>
    <w:qFormat/>
    <w:rsid w:val="00873F7E"/>
    <w:pPr>
      <w:widowControl w:val="0"/>
      <w:spacing w:after="0" w:line="240" w:lineRule="auto"/>
      <w:ind w:firstLineChars="200" w:firstLine="420"/>
      <w:jc w:val="both"/>
    </w:pPr>
    <w:rPr>
      <w:kern w:val="2"/>
      <w:sz w:val="21"/>
    </w:rPr>
  </w:style>
  <w:style w:type="paragraph" w:styleId="BalloonText">
    <w:name w:val="Balloon Text"/>
    <w:basedOn w:val="Normal"/>
    <w:link w:val="BalloonTextChar"/>
    <w:uiPriority w:val="99"/>
    <w:semiHidden/>
    <w:unhideWhenUsed/>
    <w:rsid w:val="00483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Yuting</dc:creator>
  <cp:keywords/>
  <dc:description/>
  <cp:lastModifiedBy>Annie</cp:lastModifiedBy>
  <cp:revision>2</cp:revision>
  <dcterms:created xsi:type="dcterms:W3CDTF">2018-01-20T00:39:00Z</dcterms:created>
  <dcterms:modified xsi:type="dcterms:W3CDTF">2018-01-20T00:39:00Z</dcterms:modified>
</cp:coreProperties>
</file>