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64" w:rsidRPr="00394574" w:rsidRDefault="007D7864" w:rsidP="00167D86">
      <w:pPr>
        <w:spacing w:after="0"/>
      </w:pPr>
      <w:r>
        <w:rPr>
          <w:b/>
        </w:rPr>
        <w:t>Supplementary</w:t>
      </w:r>
      <w:r>
        <w:rPr>
          <w:b/>
        </w:rPr>
        <w:t xml:space="preserve"> Table</w:t>
      </w:r>
      <w:r w:rsidRPr="00890DC6">
        <w:rPr>
          <w:b/>
        </w:rPr>
        <w:t>.</w:t>
      </w:r>
      <w:r>
        <w:t xml:space="preserve">  Molecular diagnostic techniques used to detect respiratory viruses in the Influenza Incidence Surveillance Project (IISP).</w:t>
      </w:r>
    </w:p>
    <w:tbl>
      <w:tblPr>
        <w:tblStyle w:val="TableGrid"/>
        <w:tblpPr w:leftFromText="180" w:rightFromText="180" w:vertAnchor="page" w:horzAnchor="margin" w:tblpY="2095"/>
        <w:tblW w:w="9476" w:type="dxa"/>
        <w:tblLook w:val="04A0" w:firstRow="1" w:lastRow="0" w:firstColumn="1" w:lastColumn="0" w:noHBand="0" w:noVBand="1"/>
      </w:tblPr>
      <w:tblGrid>
        <w:gridCol w:w="1420"/>
        <w:gridCol w:w="1304"/>
        <w:gridCol w:w="1698"/>
        <w:gridCol w:w="1641"/>
        <w:gridCol w:w="3413"/>
      </w:tblGrid>
      <w:tr w:rsidR="007D7864" w:rsidRPr="00F96390" w:rsidTr="007D7864">
        <w:trPr>
          <w:trHeight w:val="228"/>
        </w:trPr>
        <w:tc>
          <w:tcPr>
            <w:tcW w:w="1420" w:type="dxa"/>
            <w:tcBorders>
              <w:bottom w:val="single" w:sz="12" w:space="0" w:color="auto"/>
            </w:tcBorders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96390">
              <w:rPr>
                <w:rFonts w:asciiTheme="minorHAnsi" w:hAnsiTheme="minorHAnsi" w:cstheme="minorHAnsi"/>
                <w:b/>
                <w:bCs/>
              </w:rPr>
              <w:t>Site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96390">
              <w:rPr>
                <w:rFonts w:asciiTheme="minorHAnsi" w:hAnsiTheme="minorHAnsi" w:cstheme="minorHAnsi"/>
                <w:b/>
                <w:bCs/>
              </w:rPr>
              <w:t>Influenza Test Method</w:t>
            </w:r>
          </w:p>
        </w:tc>
        <w:tc>
          <w:tcPr>
            <w:tcW w:w="1698" w:type="dxa"/>
            <w:tcBorders>
              <w:bottom w:val="single" w:sz="12" w:space="0" w:color="auto"/>
            </w:tcBorders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96390">
              <w:rPr>
                <w:rFonts w:asciiTheme="minorHAnsi" w:hAnsiTheme="minorHAnsi" w:cstheme="minorHAnsi"/>
                <w:b/>
                <w:bCs/>
              </w:rPr>
              <w:t>Influenza prescreening</w:t>
            </w:r>
            <w:r>
              <w:rPr>
                <w:rFonts w:asciiTheme="minorHAnsi" w:hAnsiTheme="minorHAnsi" w:cstheme="minorHAnsi"/>
                <w:b/>
                <w:bCs/>
              </w:rPr>
              <w:t>*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96390">
              <w:rPr>
                <w:rFonts w:asciiTheme="minorHAnsi" w:hAnsiTheme="minorHAnsi" w:cstheme="minorHAnsi"/>
                <w:b/>
                <w:bCs/>
              </w:rPr>
              <w:t>Respiratory virus test method</w:t>
            </w:r>
          </w:p>
        </w:tc>
        <w:tc>
          <w:tcPr>
            <w:tcW w:w="3413" w:type="dxa"/>
            <w:tcBorders>
              <w:bottom w:val="single" w:sz="12" w:space="0" w:color="auto"/>
            </w:tcBorders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96390">
              <w:rPr>
                <w:rFonts w:asciiTheme="minorHAnsi" w:hAnsiTheme="minorHAnsi" w:cstheme="minorHAnsi"/>
                <w:b/>
                <w:bCs/>
              </w:rPr>
              <w:t>Viruses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in Test Panel</w:t>
            </w:r>
            <w:r>
              <w:rPr>
                <w:rFonts w:asciiTheme="minorHAnsi" w:hAnsiTheme="minorHAnsi" w:cstheme="minorHAnsi"/>
              </w:rPr>
              <w:t>†</w:t>
            </w:r>
          </w:p>
        </w:tc>
      </w:tr>
      <w:tr w:rsidR="007D7864" w:rsidRPr="00F96390" w:rsidTr="007D7864">
        <w:trPr>
          <w:trHeight w:val="144"/>
        </w:trPr>
        <w:tc>
          <w:tcPr>
            <w:tcW w:w="1420" w:type="dxa"/>
            <w:tcBorders>
              <w:top w:val="single" w:sz="12" w:space="0" w:color="auto"/>
            </w:tcBorders>
            <w:vAlign w:val="center"/>
            <w:hideMark/>
          </w:tcPr>
          <w:p w:rsidR="007D7864" w:rsidRPr="00950BDE" w:rsidRDefault="007D7864" w:rsidP="00167D8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Florida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96390">
              <w:rPr>
                <w:rFonts w:asciiTheme="minorHAnsi" w:hAnsiTheme="minorHAnsi" w:cstheme="minorHAnsi"/>
              </w:rPr>
              <w:t xml:space="preserve">CDC </w:t>
            </w:r>
            <w:r>
              <w:rPr>
                <w:rFonts w:asciiTheme="minorHAnsi" w:hAnsiTheme="minorHAnsi" w:cstheme="minorHAnsi"/>
              </w:rPr>
              <w:t xml:space="preserve">influenza-specific </w:t>
            </w:r>
            <w:r>
              <w:rPr>
                <w:rFonts w:asciiTheme="minorHAnsi" w:hAnsiTheme="minorHAnsi" w:cstheme="minorHAnsi"/>
              </w:rPr>
              <w:br/>
              <w:t>RT-PCR</w:t>
            </w: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1641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96390">
              <w:rPr>
                <w:rFonts w:asciiTheme="minorHAnsi" w:hAnsiTheme="minorHAnsi" w:cstheme="minorHAnsi"/>
              </w:rPr>
              <w:t xml:space="preserve">Virus-specific </w:t>
            </w:r>
            <w:r w:rsidRPr="00F96390">
              <w:rPr>
                <w:rFonts w:asciiTheme="minorHAnsi" w:hAnsiTheme="minorHAnsi" w:cstheme="minorHAnsi"/>
              </w:rPr>
              <w:br/>
              <w:t>RT-PCR</w:t>
            </w:r>
          </w:p>
        </w:tc>
        <w:tc>
          <w:tcPr>
            <w:tcW w:w="3413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96390">
              <w:rPr>
                <w:rFonts w:asciiTheme="minorHAnsi" w:hAnsiTheme="minorHAnsi" w:cstheme="minorHAnsi"/>
              </w:rPr>
              <w:t>Influenza, RSV, RV/EV, ADV, PIV</w:t>
            </w:r>
            <w:r>
              <w:rPr>
                <w:rFonts w:asciiTheme="minorHAnsi" w:hAnsiTheme="minorHAnsi" w:cstheme="minorHAnsi"/>
              </w:rPr>
              <w:t>-</w:t>
            </w:r>
            <w:r w:rsidRPr="00F96390">
              <w:rPr>
                <w:rFonts w:asciiTheme="minorHAnsi" w:hAnsiTheme="minorHAnsi" w:cstheme="minorHAnsi"/>
              </w:rPr>
              <w:t>1-3, HMPV</w:t>
            </w:r>
          </w:p>
        </w:tc>
      </w:tr>
      <w:tr w:rsidR="007D7864" w:rsidRPr="00F96390" w:rsidTr="007D7864">
        <w:trPr>
          <w:trHeight w:val="144"/>
        </w:trPr>
        <w:tc>
          <w:tcPr>
            <w:tcW w:w="1420" w:type="dxa"/>
            <w:vAlign w:val="center"/>
            <w:hideMark/>
          </w:tcPr>
          <w:p w:rsidR="007D7864" w:rsidRPr="00950BDE" w:rsidRDefault="007D7864" w:rsidP="00167D8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Oregon</w:t>
            </w:r>
          </w:p>
        </w:tc>
        <w:tc>
          <w:tcPr>
            <w:tcW w:w="1304" w:type="dxa"/>
            <w:vMerge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1641" w:type="dxa"/>
            <w:vMerge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3" w:type="dxa"/>
            <w:vMerge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864" w:rsidRPr="00F96390" w:rsidTr="007D7864">
        <w:trPr>
          <w:trHeight w:val="169"/>
        </w:trPr>
        <w:tc>
          <w:tcPr>
            <w:tcW w:w="1420" w:type="dxa"/>
            <w:vAlign w:val="center"/>
            <w:hideMark/>
          </w:tcPr>
          <w:p w:rsidR="007D7864" w:rsidRPr="00950BDE" w:rsidRDefault="007D7864" w:rsidP="00167D8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50BDE">
              <w:rPr>
                <w:rFonts w:asciiTheme="minorHAnsi" w:hAnsiTheme="minorHAnsi" w:cstheme="minorHAnsi"/>
                <w:bCs/>
              </w:rPr>
              <w:t>Philadelphia</w:t>
            </w:r>
          </w:p>
        </w:tc>
        <w:tc>
          <w:tcPr>
            <w:tcW w:w="1304" w:type="dxa"/>
            <w:vMerge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96390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641" w:type="dxa"/>
            <w:vMerge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3" w:type="dxa"/>
            <w:vMerge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864" w:rsidRPr="00F96390" w:rsidTr="007D7864">
        <w:trPr>
          <w:trHeight w:val="144"/>
        </w:trPr>
        <w:tc>
          <w:tcPr>
            <w:tcW w:w="1420" w:type="dxa"/>
            <w:vAlign w:val="center"/>
            <w:hideMark/>
          </w:tcPr>
          <w:p w:rsidR="007D7864" w:rsidRPr="00950BDE" w:rsidRDefault="007D7864" w:rsidP="00167D8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Iowa</w:t>
            </w:r>
          </w:p>
        </w:tc>
        <w:tc>
          <w:tcPr>
            <w:tcW w:w="1304" w:type="dxa"/>
            <w:vMerge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641" w:type="dxa"/>
            <w:vMerge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3" w:type="dxa"/>
            <w:vMerge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864" w:rsidRPr="00F96390" w:rsidTr="007D7864">
        <w:trPr>
          <w:trHeight w:val="144"/>
        </w:trPr>
        <w:tc>
          <w:tcPr>
            <w:tcW w:w="1420" w:type="dxa"/>
            <w:vAlign w:val="center"/>
            <w:hideMark/>
          </w:tcPr>
          <w:p w:rsidR="007D7864" w:rsidRPr="00950BDE" w:rsidRDefault="007D7864" w:rsidP="00167D8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Minnesota</w:t>
            </w:r>
          </w:p>
        </w:tc>
        <w:tc>
          <w:tcPr>
            <w:tcW w:w="1304" w:type="dxa"/>
            <w:vMerge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96390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1641" w:type="dxa"/>
            <w:vMerge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3" w:type="dxa"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96390">
              <w:rPr>
                <w:rFonts w:asciiTheme="minorHAnsi" w:hAnsiTheme="minorHAnsi" w:cstheme="minorHAnsi"/>
              </w:rPr>
              <w:t>Influenza, RSV, RV/EV, ADV, PIV</w:t>
            </w:r>
            <w:r>
              <w:rPr>
                <w:rFonts w:asciiTheme="minorHAnsi" w:hAnsiTheme="minorHAnsi" w:cstheme="minorHAnsi"/>
              </w:rPr>
              <w:t>-</w:t>
            </w:r>
            <w:r w:rsidRPr="00F96390">
              <w:rPr>
                <w:rFonts w:asciiTheme="minorHAnsi" w:hAnsiTheme="minorHAnsi" w:cstheme="minorHAnsi"/>
              </w:rPr>
              <w:t>1-3, HMPV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PIV-</w:t>
            </w:r>
            <w:r w:rsidRPr="00F96390">
              <w:rPr>
                <w:rFonts w:asciiTheme="minorHAnsi" w:hAnsiTheme="minorHAnsi" w:cstheme="minorHAnsi"/>
                <w:b/>
                <w:bCs/>
              </w:rPr>
              <w:t>4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 w:rsidRPr="00F96390">
              <w:rPr>
                <w:rFonts w:asciiTheme="minorHAnsi" w:hAnsiTheme="minorHAnsi" w:cstheme="minorHAnsi"/>
                <w:b/>
                <w:bCs/>
              </w:rPr>
              <w:t>CoV</w:t>
            </w:r>
            <w:proofErr w:type="spellEnd"/>
          </w:p>
        </w:tc>
      </w:tr>
      <w:tr w:rsidR="007D7864" w:rsidRPr="00F96390" w:rsidTr="007D7864">
        <w:trPr>
          <w:trHeight w:val="247"/>
        </w:trPr>
        <w:tc>
          <w:tcPr>
            <w:tcW w:w="1420" w:type="dxa"/>
            <w:vAlign w:val="center"/>
            <w:hideMark/>
          </w:tcPr>
          <w:p w:rsidR="007D7864" w:rsidRPr="00950BDE" w:rsidRDefault="007D7864" w:rsidP="00167D8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Utah</w:t>
            </w:r>
          </w:p>
        </w:tc>
        <w:tc>
          <w:tcPr>
            <w:tcW w:w="1304" w:type="dxa"/>
            <w:vMerge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1641" w:type="dxa"/>
            <w:vMerge w:val="restart"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96390">
              <w:rPr>
                <w:rFonts w:asciiTheme="minorHAnsi" w:hAnsiTheme="minorHAnsi" w:cstheme="minorHAnsi"/>
              </w:rPr>
              <w:t>ResPlex</w:t>
            </w:r>
            <w:proofErr w:type="spellEnd"/>
            <w:r w:rsidRPr="00F96390">
              <w:rPr>
                <w:rFonts w:asciiTheme="minorHAnsi" w:hAnsiTheme="minorHAnsi" w:cstheme="minorHAnsi"/>
              </w:rPr>
              <w:t xml:space="preserve"> II</w:t>
            </w:r>
          </w:p>
        </w:tc>
        <w:tc>
          <w:tcPr>
            <w:tcW w:w="3413" w:type="dxa"/>
            <w:vMerge w:val="restart"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96390">
              <w:rPr>
                <w:rFonts w:asciiTheme="minorHAnsi" w:hAnsiTheme="minorHAnsi" w:cstheme="minorHAnsi"/>
              </w:rPr>
              <w:t>Influenza, RSV, RV/EV, ADV, PIV1-3, HMPV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</w:rPr>
              <w:t>PIV-</w:t>
            </w:r>
            <w:r w:rsidRPr="00F96390">
              <w:rPr>
                <w:rFonts w:asciiTheme="minorHAnsi" w:hAnsiTheme="minorHAnsi" w:cstheme="minorHAnsi"/>
                <w:b/>
                <w:bCs/>
              </w:rPr>
              <w:t xml:space="preserve">4, </w:t>
            </w:r>
            <w:proofErr w:type="spellStart"/>
            <w:r w:rsidRPr="00F96390">
              <w:rPr>
                <w:rFonts w:asciiTheme="minorHAnsi" w:hAnsiTheme="minorHAnsi" w:cstheme="minorHAnsi"/>
                <w:b/>
                <w:bCs/>
              </w:rPr>
              <w:t>CoV</w:t>
            </w:r>
            <w:proofErr w:type="spellEnd"/>
            <w:r w:rsidRPr="00F96390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HBoV</w:t>
            </w:r>
            <w:proofErr w:type="spellEnd"/>
          </w:p>
        </w:tc>
      </w:tr>
      <w:tr w:rsidR="007D7864" w:rsidRPr="00F96390" w:rsidTr="007D7864">
        <w:trPr>
          <w:trHeight w:val="256"/>
        </w:trPr>
        <w:tc>
          <w:tcPr>
            <w:tcW w:w="1420" w:type="dxa"/>
            <w:vAlign w:val="center"/>
            <w:hideMark/>
          </w:tcPr>
          <w:p w:rsidR="007D7864" w:rsidRPr="00950BDE" w:rsidRDefault="007D7864" w:rsidP="00167D8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Wisconsin</w:t>
            </w:r>
          </w:p>
        </w:tc>
        <w:tc>
          <w:tcPr>
            <w:tcW w:w="1304" w:type="dxa"/>
            <w:vMerge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96390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1641" w:type="dxa"/>
            <w:vMerge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3" w:type="dxa"/>
            <w:vMerge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864" w:rsidRPr="00F96390" w:rsidTr="007D7864">
        <w:trPr>
          <w:trHeight w:val="149"/>
        </w:trPr>
        <w:tc>
          <w:tcPr>
            <w:tcW w:w="1420" w:type="dxa"/>
            <w:vAlign w:val="center"/>
          </w:tcPr>
          <w:p w:rsidR="007D7864" w:rsidRPr="00950BDE" w:rsidRDefault="007D7864" w:rsidP="00167D86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950BDE">
              <w:rPr>
                <w:rFonts w:asciiTheme="minorHAnsi" w:hAnsiTheme="minorHAnsi" w:cstheme="minorHAnsi"/>
                <w:bCs/>
              </w:rPr>
              <w:t>Los Angeles</w:t>
            </w:r>
          </w:p>
        </w:tc>
        <w:tc>
          <w:tcPr>
            <w:tcW w:w="1304" w:type="dxa"/>
            <w:vMerge/>
            <w:vAlign w:val="center"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vAlign w:val="center"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1641" w:type="dxa"/>
            <w:vMerge w:val="restart"/>
            <w:vAlign w:val="center"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96390">
              <w:rPr>
                <w:rFonts w:asciiTheme="minorHAnsi" w:hAnsiTheme="minorHAnsi" w:cstheme="minorHAnsi"/>
              </w:rPr>
              <w:t>xTAG</w:t>
            </w:r>
            <w:proofErr w:type="spellEnd"/>
            <w:r w:rsidRPr="00F96390">
              <w:rPr>
                <w:rFonts w:asciiTheme="minorHAnsi" w:hAnsiTheme="minorHAnsi" w:cstheme="minorHAnsi"/>
              </w:rPr>
              <w:t xml:space="preserve"> RVP</w:t>
            </w:r>
          </w:p>
        </w:tc>
        <w:tc>
          <w:tcPr>
            <w:tcW w:w="3413" w:type="dxa"/>
            <w:vMerge w:val="restart"/>
            <w:vAlign w:val="center"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96390">
              <w:rPr>
                <w:rFonts w:asciiTheme="minorHAnsi" w:hAnsiTheme="minorHAnsi" w:cstheme="minorHAnsi"/>
              </w:rPr>
              <w:t>Influenza, RSV, RV/EV, ADV, PIV</w:t>
            </w:r>
            <w:r>
              <w:rPr>
                <w:rFonts w:asciiTheme="minorHAnsi" w:hAnsiTheme="minorHAnsi" w:cstheme="minorHAnsi"/>
              </w:rPr>
              <w:t>-</w:t>
            </w:r>
            <w:r w:rsidRPr="00F96390">
              <w:rPr>
                <w:rFonts w:asciiTheme="minorHAnsi" w:hAnsiTheme="minorHAnsi" w:cstheme="minorHAnsi"/>
              </w:rPr>
              <w:t>1-3, HMPV</w:t>
            </w:r>
          </w:p>
        </w:tc>
      </w:tr>
      <w:tr w:rsidR="007D7864" w:rsidRPr="00F96390" w:rsidTr="007D7864">
        <w:trPr>
          <w:trHeight w:val="149"/>
        </w:trPr>
        <w:tc>
          <w:tcPr>
            <w:tcW w:w="1420" w:type="dxa"/>
            <w:vAlign w:val="center"/>
            <w:hideMark/>
          </w:tcPr>
          <w:p w:rsidR="007D7864" w:rsidRPr="00950BDE" w:rsidRDefault="007D7864" w:rsidP="00167D8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50BDE">
              <w:rPr>
                <w:rFonts w:asciiTheme="minorHAnsi" w:hAnsiTheme="minorHAnsi" w:cstheme="minorHAnsi"/>
                <w:bCs/>
              </w:rPr>
              <w:t>New York City</w:t>
            </w:r>
          </w:p>
        </w:tc>
        <w:tc>
          <w:tcPr>
            <w:tcW w:w="1304" w:type="dxa"/>
            <w:vMerge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96390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641" w:type="dxa"/>
            <w:vMerge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3" w:type="dxa"/>
            <w:vMerge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864" w:rsidRPr="00F96390" w:rsidTr="007D7864">
        <w:trPr>
          <w:trHeight w:val="144"/>
        </w:trPr>
        <w:tc>
          <w:tcPr>
            <w:tcW w:w="1420" w:type="dxa"/>
            <w:vAlign w:val="center"/>
            <w:hideMark/>
          </w:tcPr>
          <w:p w:rsidR="007D7864" w:rsidRPr="00950BDE" w:rsidRDefault="007D7864" w:rsidP="00167D8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New Jersey</w:t>
            </w:r>
          </w:p>
        </w:tc>
        <w:tc>
          <w:tcPr>
            <w:tcW w:w="1304" w:type="dxa"/>
            <w:vMerge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96390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641" w:type="dxa"/>
            <w:vMerge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3" w:type="dxa"/>
            <w:vMerge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864" w:rsidRPr="00F96390" w:rsidTr="007D7864">
        <w:trPr>
          <w:trHeight w:val="144"/>
        </w:trPr>
        <w:tc>
          <w:tcPr>
            <w:tcW w:w="1420" w:type="dxa"/>
            <w:vAlign w:val="center"/>
            <w:hideMark/>
          </w:tcPr>
          <w:p w:rsidR="007D7864" w:rsidRPr="00950BDE" w:rsidRDefault="007D7864" w:rsidP="00167D8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North Dakota</w:t>
            </w:r>
          </w:p>
        </w:tc>
        <w:tc>
          <w:tcPr>
            <w:tcW w:w="1304" w:type="dxa"/>
            <w:vMerge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96390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641" w:type="dxa"/>
            <w:vMerge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3" w:type="dxa"/>
            <w:vMerge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864" w:rsidRPr="00F96390" w:rsidTr="007D7864">
        <w:trPr>
          <w:trHeight w:val="144"/>
        </w:trPr>
        <w:tc>
          <w:tcPr>
            <w:tcW w:w="1420" w:type="dxa"/>
            <w:vAlign w:val="center"/>
            <w:hideMark/>
          </w:tcPr>
          <w:p w:rsidR="007D7864" w:rsidRPr="00950BDE" w:rsidRDefault="007D7864" w:rsidP="00167D86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Virginia</w:t>
            </w:r>
          </w:p>
        </w:tc>
        <w:tc>
          <w:tcPr>
            <w:tcW w:w="1304" w:type="dxa"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F96390">
              <w:rPr>
                <w:rFonts w:asciiTheme="minorHAnsi" w:hAnsiTheme="minorHAnsi" w:cstheme="minorHAnsi"/>
              </w:rPr>
              <w:t>xTAG</w:t>
            </w:r>
            <w:proofErr w:type="spellEnd"/>
            <w:r w:rsidRPr="00F96390">
              <w:rPr>
                <w:rFonts w:asciiTheme="minorHAnsi" w:hAnsiTheme="minorHAnsi" w:cstheme="minorHAnsi"/>
              </w:rPr>
              <w:t xml:space="preserve"> RVP</w:t>
            </w:r>
            <w:r>
              <w:rPr>
                <w:rFonts w:cs="Calibri"/>
                <w:sz w:val="18"/>
              </w:rPr>
              <w:t>‡</w:t>
            </w:r>
          </w:p>
        </w:tc>
        <w:tc>
          <w:tcPr>
            <w:tcW w:w="1698" w:type="dxa"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96390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1641" w:type="dxa"/>
            <w:vMerge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13" w:type="dxa"/>
            <w:vMerge/>
            <w:vAlign w:val="center"/>
            <w:hideMark/>
          </w:tcPr>
          <w:p w:rsidR="007D7864" w:rsidRPr="00F96390" w:rsidRDefault="007D7864" w:rsidP="00167D86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D7864" w:rsidRPr="006F4A76" w:rsidRDefault="007D7864" w:rsidP="00167D86">
      <w:pPr>
        <w:spacing w:after="0"/>
        <w:rPr>
          <w:rFonts w:asciiTheme="minorHAnsi" w:hAnsiTheme="minorHAnsi" w:cstheme="minorHAnsi"/>
          <w:sz w:val="18"/>
          <w:szCs w:val="18"/>
        </w:rPr>
      </w:pPr>
      <w:r w:rsidRPr="006F4A76">
        <w:rPr>
          <w:rFonts w:asciiTheme="minorHAnsi" w:hAnsiTheme="minorHAnsi" w:cstheme="minorHAnsi"/>
          <w:sz w:val="18"/>
          <w:szCs w:val="18"/>
        </w:rPr>
        <w:t>*Sites testing first for influenza, then only further testing negative specimens for other respiratory viruses were designated as “prescreening.”</w:t>
      </w:r>
    </w:p>
    <w:p w:rsidR="007D7864" w:rsidRPr="006F4A76" w:rsidRDefault="007D7864" w:rsidP="00167D86">
      <w:pPr>
        <w:spacing w:after="0"/>
        <w:rPr>
          <w:rFonts w:asciiTheme="minorHAnsi" w:hAnsiTheme="minorHAnsi" w:cstheme="minorHAnsi"/>
          <w:sz w:val="18"/>
          <w:szCs w:val="18"/>
        </w:rPr>
      </w:pPr>
      <w:r w:rsidRPr="006F4A76">
        <w:rPr>
          <w:rFonts w:asciiTheme="minorHAnsi" w:hAnsiTheme="minorHAnsi" w:cstheme="minorHAnsi"/>
          <w:sz w:val="18"/>
          <w:szCs w:val="18"/>
        </w:rPr>
        <w:t xml:space="preserve">†Virus acronyms:  respiratory syncytial virus [RSV], rhinovirus and </w:t>
      </w:r>
      <w:proofErr w:type="spellStart"/>
      <w:r w:rsidRPr="006F4A76">
        <w:rPr>
          <w:rFonts w:asciiTheme="minorHAnsi" w:hAnsiTheme="minorHAnsi" w:cstheme="minorHAnsi"/>
          <w:sz w:val="18"/>
          <w:szCs w:val="18"/>
        </w:rPr>
        <w:t>enterovirus</w:t>
      </w:r>
      <w:proofErr w:type="spellEnd"/>
      <w:r w:rsidRPr="006F4A76">
        <w:rPr>
          <w:rFonts w:asciiTheme="minorHAnsi" w:hAnsiTheme="minorHAnsi" w:cstheme="minorHAnsi"/>
          <w:sz w:val="18"/>
          <w:szCs w:val="18"/>
        </w:rPr>
        <w:t xml:space="preserve"> [RV/EV], adenovirus [</w:t>
      </w:r>
      <w:proofErr w:type="spellStart"/>
      <w:r w:rsidRPr="006F4A76">
        <w:rPr>
          <w:rFonts w:asciiTheme="minorHAnsi" w:hAnsiTheme="minorHAnsi" w:cstheme="minorHAnsi"/>
          <w:sz w:val="18"/>
          <w:szCs w:val="18"/>
        </w:rPr>
        <w:t>AdV</w:t>
      </w:r>
      <w:proofErr w:type="spellEnd"/>
      <w:r w:rsidRPr="006F4A76">
        <w:rPr>
          <w:rFonts w:asciiTheme="minorHAnsi" w:hAnsiTheme="minorHAnsi" w:cstheme="minorHAnsi"/>
          <w:sz w:val="18"/>
          <w:szCs w:val="18"/>
        </w:rPr>
        <w:t xml:space="preserve">], </w:t>
      </w:r>
      <w:proofErr w:type="spellStart"/>
      <w:r w:rsidRPr="006F4A76">
        <w:rPr>
          <w:rFonts w:asciiTheme="minorHAnsi" w:hAnsiTheme="minorHAnsi" w:cstheme="minorHAnsi"/>
          <w:sz w:val="18"/>
          <w:szCs w:val="18"/>
        </w:rPr>
        <w:t>parainfluenzavirus</w:t>
      </w:r>
      <w:proofErr w:type="spellEnd"/>
      <w:r w:rsidRPr="006F4A76">
        <w:rPr>
          <w:rFonts w:asciiTheme="minorHAnsi" w:hAnsiTheme="minorHAnsi" w:cstheme="minorHAnsi"/>
          <w:sz w:val="18"/>
          <w:szCs w:val="18"/>
        </w:rPr>
        <w:t xml:space="preserve"> [PIV], human </w:t>
      </w:r>
      <w:proofErr w:type="spellStart"/>
      <w:r w:rsidRPr="006F4A76">
        <w:rPr>
          <w:rFonts w:asciiTheme="minorHAnsi" w:hAnsiTheme="minorHAnsi" w:cstheme="minorHAnsi"/>
          <w:sz w:val="18"/>
          <w:szCs w:val="18"/>
        </w:rPr>
        <w:t>metapneumovirus</w:t>
      </w:r>
      <w:proofErr w:type="spellEnd"/>
      <w:r w:rsidRPr="006F4A76">
        <w:rPr>
          <w:rFonts w:asciiTheme="minorHAnsi" w:hAnsiTheme="minorHAnsi" w:cstheme="minorHAnsi"/>
          <w:sz w:val="18"/>
          <w:szCs w:val="18"/>
        </w:rPr>
        <w:t xml:space="preserve"> [MPV], coronavirus [</w:t>
      </w:r>
      <w:proofErr w:type="spellStart"/>
      <w:r w:rsidRPr="006F4A76">
        <w:rPr>
          <w:rFonts w:asciiTheme="minorHAnsi" w:hAnsiTheme="minorHAnsi" w:cstheme="minorHAnsi"/>
          <w:sz w:val="18"/>
          <w:szCs w:val="18"/>
        </w:rPr>
        <w:t>CoV</w:t>
      </w:r>
      <w:proofErr w:type="spellEnd"/>
      <w:r w:rsidRPr="006F4A76">
        <w:rPr>
          <w:rFonts w:asciiTheme="minorHAnsi" w:hAnsiTheme="minorHAnsi" w:cstheme="minorHAnsi"/>
          <w:sz w:val="18"/>
          <w:szCs w:val="18"/>
        </w:rPr>
        <w:t xml:space="preserve">], and human </w:t>
      </w:r>
      <w:proofErr w:type="spellStart"/>
      <w:r w:rsidRPr="006F4A76">
        <w:rPr>
          <w:rFonts w:asciiTheme="minorHAnsi" w:hAnsiTheme="minorHAnsi" w:cstheme="minorHAnsi"/>
          <w:sz w:val="18"/>
          <w:szCs w:val="18"/>
        </w:rPr>
        <w:t>bocavirus</w:t>
      </w:r>
      <w:proofErr w:type="spellEnd"/>
      <w:r w:rsidRPr="006F4A76">
        <w:rPr>
          <w:rFonts w:asciiTheme="minorHAnsi" w:hAnsiTheme="minorHAnsi" w:cstheme="minorHAnsi"/>
          <w:sz w:val="18"/>
          <w:szCs w:val="18"/>
        </w:rPr>
        <w:t xml:space="preserve"> [</w:t>
      </w:r>
      <w:proofErr w:type="spellStart"/>
      <w:r w:rsidRPr="006F4A76">
        <w:rPr>
          <w:rFonts w:asciiTheme="minorHAnsi" w:hAnsiTheme="minorHAnsi" w:cstheme="minorHAnsi"/>
          <w:sz w:val="18"/>
          <w:szCs w:val="18"/>
        </w:rPr>
        <w:t>HBoV</w:t>
      </w:r>
      <w:proofErr w:type="spellEnd"/>
      <w:r w:rsidRPr="006F4A76">
        <w:rPr>
          <w:rFonts w:asciiTheme="minorHAnsi" w:hAnsiTheme="minorHAnsi" w:cstheme="minorHAnsi"/>
          <w:sz w:val="18"/>
          <w:szCs w:val="18"/>
        </w:rPr>
        <w:t>] (none detected).</w:t>
      </w:r>
    </w:p>
    <w:p w:rsidR="007D7864" w:rsidRDefault="007D7864" w:rsidP="00167D86">
      <w:pPr>
        <w:rPr>
          <w:rFonts w:asciiTheme="minorHAnsi" w:hAnsiTheme="minorHAnsi" w:cstheme="minorHAnsi"/>
          <w:b/>
        </w:rPr>
      </w:pPr>
      <w:r w:rsidRPr="006F4A76">
        <w:rPr>
          <w:rFonts w:cs="Calibri"/>
          <w:sz w:val="18"/>
          <w:szCs w:val="18"/>
        </w:rPr>
        <w:t>‡</w:t>
      </w:r>
      <w:r w:rsidRPr="006F4A76">
        <w:rPr>
          <w:rFonts w:asciiTheme="minorHAnsi" w:hAnsiTheme="minorHAnsi" w:cstheme="minorHAnsi"/>
          <w:sz w:val="18"/>
          <w:szCs w:val="18"/>
        </w:rPr>
        <w:t>Respiratory virus panel (RVP)</w:t>
      </w:r>
    </w:p>
    <w:p w:rsidR="0014465B" w:rsidRDefault="00167D86" w:rsidP="00167D86"/>
    <w:p w:rsidR="00C65653" w:rsidRDefault="00C65653" w:rsidP="00167D86">
      <w:r>
        <w:br w:type="page"/>
      </w:r>
    </w:p>
    <w:p w:rsidR="007D7864" w:rsidRPr="007D7864" w:rsidRDefault="00C65653" w:rsidP="00167D86">
      <w:r w:rsidRPr="00C65653">
        <w:rPr>
          <w:b/>
        </w:rPr>
        <w:lastRenderedPageBreak/>
        <w:t>Supplementary</w:t>
      </w:r>
      <w:r w:rsidR="007D7864" w:rsidRPr="00C65653">
        <w:rPr>
          <w:b/>
        </w:rPr>
        <w:t xml:space="preserve"> Figure 1</w:t>
      </w:r>
      <w:r w:rsidRPr="00C65653">
        <w:rPr>
          <w:b/>
        </w:rPr>
        <w:t>.</w:t>
      </w:r>
      <w:r>
        <w:t xml:space="preserve">  P</w:t>
      </w:r>
      <w:r>
        <w:rPr>
          <w:rFonts w:asciiTheme="minorHAnsi" w:hAnsiTheme="minorHAnsi" w:cstheme="minorHAnsi"/>
        </w:rPr>
        <w:t>roportion</w:t>
      </w:r>
      <w:r>
        <w:t xml:space="preserve"> </w:t>
      </w:r>
      <w:r>
        <w:rPr>
          <w:rFonts w:asciiTheme="minorHAnsi" w:hAnsiTheme="minorHAnsi" w:cstheme="minorHAnsi"/>
        </w:rPr>
        <w:t>of outpatient visits for acute respiratory infections</w:t>
      </w:r>
      <w:r w:rsidRPr="001E1B5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1E1B58">
        <w:rPr>
          <w:rFonts w:asciiTheme="minorHAnsi" w:hAnsiTheme="minorHAnsi" w:cstheme="minorHAnsi"/>
        </w:rPr>
        <w:t>ARI</w:t>
      </w:r>
      <w:r>
        <w:rPr>
          <w:rFonts w:asciiTheme="minorHAnsi" w:hAnsiTheme="minorHAnsi" w:cstheme="minorHAnsi"/>
        </w:rPr>
        <w:t>)</w:t>
      </w:r>
      <w:r>
        <w:t xml:space="preserve"> and </w:t>
      </w:r>
      <w:r w:rsidRPr="001E1B58">
        <w:rPr>
          <w:rFonts w:asciiTheme="minorHAnsi" w:hAnsiTheme="minorHAnsi" w:cstheme="minorHAnsi"/>
        </w:rPr>
        <w:t>influenz</w:t>
      </w:r>
      <w:r>
        <w:rPr>
          <w:rFonts w:asciiTheme="minorHAnsi" w:hAnsiTheme="minorHAnsi" w:cstheme="minorHAnsi"/>
        </w:rPr>
        <w:t>a-like illnesses (ILI)</w:t>
      </w:r>
      <w:r>
        <w:t xml:space="preserve"> </w:t>
      </w:r>
      <w:r>
        <w:rPr>
          <w:rFonts w:asciiTheme="minorHAnsi" w:hAnsiTheme="minorHAnsi" w:cstheme="minorHAnsi"/>
        </w:rPr>
        <w:t xml:space="preserve">in the Influenza Incidence Surveillance Project, August 2010 through July 2011.  </w:t>
      </w:r>
    </w:p>
    <w:p w:rsidR="007D7864" w:rsidRDefault="007D7864" w:rsidP="00167D86">
      <w:r>
        <w:rPr>
          <w:noProof/>
        </w:rPr>
        <w:drawing>
          <wp:inline distT="0" distB="0" distL="0" distR="0" wp14:anchorId="26040FC7" wp14:editId="04DE1086">
            <wp:extent cx="6090285" cy="3578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57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5653" w:rsidRDefault="00C65653" w:rsidP="00167D86"/>
    <w:p w:rsidR="00C65653" w:rsidRDefault="00C65653" w:rsidP="00167D86">
      <w:r>
        <w:br w:type="page"/>
      </w:r>
    </w:p>
    <w:p w:rsidR="00C65653" w:rsidRDefault="00C65653" w:rsidP="00167D86">
      <w:pPr>
        <w:rPr>
          <w:rFonts w:asciiTheme="minorHAnsi" w:hAnsiTheme="minorHAnsi" w:cstheme="minorHAnsi"/>
        </w:rPr>
      </w:pPr>
      <w:r w:rsidRPr="00C65653">
        <w:rPr>
          <w:b/>
        </w:rPr>
        <w:lastRenderedPageBreak/>
        <w:t xml:space="preserve">Supplementary Figure 2.  </w:t>
      </w:r>
      <w:r>
        <w:rPr>
          <w:rFonts w:asciiTheme="minorHAnsi" w:hAnsiTheme="minorHAnsi" w:cstheme="minorHAnsi"/>
        </w:rPr>
        <w:t>Seasonal distribution of</w:t>
      </w:r>
      <w:r w:rsidRPr="00C854B9">
        <w:rPr>
          <w:rFonts w:asciiTheme="minorHAnsi" w:hAnsiTheme="minorHAnsi" w:cstheme="minorHAnsi"/>
        </w:rPr>
        <w:t xml:space="preserve"> respiratory viruses </w:t>
      </w:r>
      <w:r>
        <w:rPr>
          <w:rFonts w:asciiTheme="minorHAnsi" w:hAnsiTheme="minorHAnsi" w:cstheme="minorHAnsi"/>
        </w:rPr>
        <w:t>detected by RT-PCR among patients</w:t>
      </w:r>
      <w:r>
        <w:rPr>
          <w:rFonts w:asciiTheme="minorHAnsi" w:hAnsiTheme="minorHAnsi" w:cstheme="minorHAnsi"/>
        </w:rPr>
        <w:t xml:space="preserve"> with acute respiratory infections (who did not meet the influenza-like illness case definitions)</w:t>
      </w:r>
      <w:r w:rsidRPr="00C854B9">
        <w:rPr>
          <w:rFonts w:asciiTheme="minorHAnsi" w:hAnsiTheme="minorHAnsi" w:cstheme="minorHAnsi"/>
        </w:rPr>
        <w:t xml:space="preserve">, </w:t>
      </w:r>
      <w:r w:rsidRPr="00C854B9">
        <w:t xml:space="preserve">Influenza Incidence Surveillance Project </w:t>
      </w:r>
      <w:r w:rsidRPr="00C854B9">
        <w:rPr>
          <w:rFonts w:asciiTheme="minorHAnsi" w:hAnsiTheme="minorHAnsi" w:cstheme="minorHAnsi"/>
        </w:rPr>
        <w:t>August 2010 through July 2011.</w:t>
      </w:r>
      <w:r>
        <w:rPr>
          <w:rFonts w:asciiTheme="minorHAnsi" w:hAnsiTheme="minorHAnsi" w:cstheme="minorHAnsi"/>
        </w:rPr>
        <w:t xml:space="preserve">  The bars indicate the number of viral detections and the lines indicate the percentage of ILI patients who tested positive.</w:t>
      </w:r>
    </w:p>
    <w:p w:rsidR="00167D86" w:rsidRPr="00C854B9" w:rsidRDefault="00167D86" w:rsidP="00167D86">
      <w:pPr>
        <w:rPr>
          <w:rFonts w:ascii="Times New Roman" w:eastAsia="Times New Roman" w:hAnsi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65653" w:rsidRDefault="00167D86" w:rsidP="00167D86">
      <w:bookmarkStart w:id="0" w:name="_GoBack"/>
      <w:r>
        <w:rPr>
          <w:noProof/>
        </w:rPr>
        <w:drawing>
          <wp:inline distT="0" distB="0" distL="0" distR="0" wp14:anchorId="562CA63E" wp14:editId="09F26FE5">
            <wp:extent cx="5663565" cy="6755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675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65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64"/>
    <w:rsid w:val="00167D86"/>
    <w:rsid w:val="00567B63"/>
    <w:rsid w:val="007D7864"/>
    <w:rsid w:val="00C65653"/>
    <w:rsid w:val="00F1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8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8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Fowlkes, Ashley C. (CDC/OID/NCIRD)</dc:creator>
  <cp:lastModifiedBy>Fowlkes, Ashley C. (CDC/OID/NCIRD)</cp:lastModifiedBy>
  <cp:revision>1</cp:revision>
  <dcterms:created xsi:type="dcterms:W3CDTF">2014-01-15T15:19:00Z</dcterms:created>
  <dcterms:modified xsi:type="dcterms:W3CDTF">2014-01-15T15:36:00Z</dcterms:modified>
</cp:coreProperties>
</file>