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C3" w:rsidRPr="00394574" w:rsidRDefault="00412CC3" w:rsidP="006C26BC">
      <w:pPr>
        <w:spacing w:after="0" w:line="480" w:lineRule="auto"/>
      </w:pPr>
      <w:r>
        <w:rPr>
          <w:b/>
        </w:rPr>
        <w:t>Supplemental Table</w:t>
      </w:r>
      <w:r w:rsidRPr="00890DC6">
        <w:rPr>
          <w:b/>
        </w:rPr>
        <w:t>.</w:t>
      </w:r>
      <w:r>
        <w:t xml:space="preserve">  Molecular diagnostic techniques used to detect respiratory viruses in the Influenza Incidence Surveillance Project (IISP).</w:t>
      </w:r>
    </w:p>
    <w:tbl>
      <w:tblPr>
        <w:tblpPr w:leftFromText="180" w:rightFromText="180" w:vertAnchor="page" w:horzAnchor="margin" w:tblpY="3506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304"/>
        <w:gridCol w:w="1698"/>
        <w:gridCol w:w="1641"/>
        <w:gridCol w:w="3413"/>
      </w:tblGrid>
      <w:tr w:rsidR="00412CC3" w:rsidRPr="00F96390" w:rsidTr="00032DB4">
        <w:trPr>
          <w:trHeight w:val="228"/>
        </w:trPr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b/>
                <w:bCs/>
                <w:sz w:val="20"/>
                <w:szCs w:val="20"/>
              </w:rPr>
              <w:t>Influenza Test Method</w:t>
            </w: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b/>
                <w:bCs/>
                <w:sz w:val="20"/>
                <w:szCs w:val="20"/>
              </w:rPr>
              <w:t>Influenza prescreening*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b/>
                <w:bCs/>
                <w:sz w:val="20"/>
                <w:szCs w:val="20"/>
              </w:rPr>
              <w:t>Respiratory virus test method</w:t>
            </w:r>
          </w:p>
        </w:tc>
        <w:tc>
          <w:tcPr>
            <w:tcW w:w="3413" w:type="dxa"/>
            <w:tcBorders>
              <w:bottom w:val="single" w:sz="12" w:space="0" w:color="auto"/>
            </w:tcBorders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b/>
                <w:bCs/>
                <w:sz w:val="20"/>
                <w:szCs w:val="20"/>
              </w:rPr>
              <w:t>Viruses in Test Panel</w:t>
            </w:r>
            <w:r w:rsidRPr="00032DB4">
              <w:rPr>
                <w:rFonts w:cs="Calibri"/>
                <w:sz w:val="20"/>
                <w:szCs w:val="20"/>
              </w:rPr>
              <w:t>†</w:t>
            </w:r>
          </w:p>
        </w:tc>
      </w:tr>
      <w:tr w:rsidR="00412CC3" w:rsidRPr="00F96390" w:rsidTr="00032DB4">
        <w:trPr>
          <w:trHeight w:val="144"/>
        </w:trPr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032DB4">
                  <w:rPr>
                    <w:rFonts w:cs="Calibri"/>
                    <w:bCs/>
                    <w:sz w:val="20"/>
                    <w:szCs w:val="20"/>
                  </w:rPr>
                  <w:t>Florida</w:t>
                </w:r>
              </w:smartTag>
            </w:smartTag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 xml:space="preserve">CDC influenza-specific </w:t>
            </w:r>
            <w:r w:rsidRPr="00032DB4">
              <w:rPr>
                <w:rFonts w:cs="Calibri"/>
                <w:sz w:val="20"/>
                <w:szCs w:val="20"/>
              </w:rPr>
              <w:br/>
              <w:t>RT-PCR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</w:tcBorders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 xml:space="preserve">Virus-specific </w:t>
            </w:r>
            <w:r w:rsidRPr="00032DB4">
              <w:rPr>
                <w:rFonts w:cs="Calibri"/>
                <w:sz w:val="20"/>
                <w:szCs w:val="20"/>
              </w:rPr>
              <w:br/>
              <w:t>RT-PCR</w:t>
            </w:r>
          </w:p>
        </w:tc>
        <w:tc>
          <w:tcPr>
            <w:tcW w:w="3413" w:type="dxa"/>
            <w:vMerge w:val="restart"/>
            <w:tcBorders>
              <w:top w:val="single" w:sz="12" w:space="0" w:color="auto"/>
            </w:tcBorders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Influenza, RSV, RV/EV, ADV, PIV-1-3, HMPV</w:t>
            </w:r>
          </w:p>
        </w:tc>
      </w:tr>
      <w:tr w:rsidR="00412CC3" w:rsidRPr="00F96390" w:rsidTr="00032DB4">
        <w:trPr>
          <w:trHeight w:val="144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032DB4">
                  <w:rPr>
                    <w:rFonts w:cs="Calibri"/>
                    <w:bCs/>
                    <w:sz w:val="20"/>
                    <w:szCs w:val="20"/>
                  </w:rPr>
                  <w:t>Oregon</w:t>
                </w:r>
              </w:smartTag>
            </w:smartTag>
          </w:p>
        </w:tc>
        <w:tc>
          <w:tcPr>
            <w:tcW w:w="1304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641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CC3" w:rsidRPr="00F96390" w:rsidTr="00032DB4">
        <w:trPr>
          <w:trHeight w:val="169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32DB4">
                  <w:rPr>
                    <w:rFonts w:cs="Calibri"/>
                    <w:bCs/>
                    <w:sz w:val="20"/>
                    <w:szCs w:val="20"/>
                  </w:rPr>
                  <w:t>Philadelphia</w:t>
                </w:r>
              </w:smartTag>
            </w:smartTag>
          </w:p>
        </w:tc>
        <w:tc>
          <w:tcPr>
            <w:tcW w:w="1304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Y</w:t>
            </w:r>
          </w:p>
        </w:tc>
        <w:tc>
          <w:tcPr>
            <w:tcW w:w="1641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CC3" w:rsidRPr="00F96390" w:rsidTr="00032DB4">
        <w:trPr>
          <w:trHeight w:val="144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032DB4">
                  <w:rPr>
                    <w:rFonts w:cs="Calibri"/>
                    <w:bCs/>
                    <w:sz w:val="20"/>
                    <w:szCs w:val="20"/>
                  </w:rPr>
                  <w:t>Iowa</w:t>
                </w:r>
              </w:smartTag>
            </w:smartTag>
          </w:p>
        </w:tc>
        <w:tc>
          <w:tcPr>
            <w:tcW w:w="1304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Y</w:t>
            </w:r>
          </w:p>
        </w:tc>
        <w:tc>
          <w:tcPr>
            <w:tcW w:w="1641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CC3" w:rsidRPr="00F96390" w:rsidTr="00032DB4">
        <w:trPr>
          <w:trHeight w:val="144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032DB4">
                  <w:rPr>
                    <w:rFonts w:cs="Calibri"/>
                    <w:bCs/>
                    <w:sz w:val="20"/>
                    <w:szCs w:val="20"/>
                  </w:rPr>
                  <w:t>Minnesota</w:t>
                </w:r>
              </w:smartTag>
            </w:smartTag>
          </w:p>
        </w:tc>
        <w:tc>
          <w:tcPr>
            <w:tcW w:w="1304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641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 xml:space="preserve">Influenza, RSV, RV/EV, ADV, PIV-1-3, HMPV, </w:t>
            </w:r>
            <w:r w:rsidRPr="00032DB4">
              <w:rPr>
                <w:rFonts w:cs="Calibri"/>
                <w:b/>
                <w:bCs/>
                <w:sz w:val="20"/>
                <w:szCs w:val="20"/>
              </w:rPr>
              <w:t xml:space="preserve"> PIV-4, CoV</w:t>
            </w:r>
          </w:p>
        </w:tc>
      </w:tr>
      <w:tr w:rsidR="00412CC3" w:rsidRPr="00F96390" w:rsidTr="00032DB4">
        <w:trPr>
          <w:trHeight w:val="247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032DB4">
                  <w:rPr>
                    <w:rFonts w:cs="Calibri"/>
                    <w:bCs/>
                    <w:sz w:val="20"/>
                    <w:szCs w:val="20"/>
                  </w:rPr>
                  <w:t>Utah</w:t>
                </w:r>
              </w:smartTag>
            </w:smartTag>
          </w:p>
        </w:tc>
        <w:tc>
          <w:tcPr>
            <w:tcW w:w="1304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641" w:type="dxa"/>
            <w:vMerge w:val="restart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ResPlex II</w:t>
            </w:r>
          </w:p>
        </w:tc>
        <w:tc>
          <w:tcPr>
            <w:tcW w:w="3413" w:type="dxa"/>
            <w:vMerge w:val="restart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 xml:space="preserve">Influenza, RSV, RV/EV, ADV, PIV1-3, HMPV, </w:t>
            </w:r>
            <w:r w:rsidRPr="00032DB4">
              <w:rPr>
                <w:rFonts w:cs="Calibri"/>
                <w:b/>
                <w:bCs/>
                <w:sz w:val="20"/>
                <w:szCs w:val="20"/>
              </w:rPr>
              <w:t>PIV-4, CoV, HBoV</w:t>
            </w:r>
          </w:p>
        </w:tc>
      </w:tr>
      <w:tr w:rsidR="00412CC3" w:rsidRPr="00F96390" w:rsidTr="00032DB4">
        <w:trPr>
          <w:trHeight w:val="256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032DB4">
                  <w:rPr>
                    <w:rFonts w:cs="Calibri"/>
                    <w:bCs/>
                    <w:sz w:val="20"/>
                    <w:szCs w:val="20"/>
                  </w:rPr>
                  <w:t>Wisconsin</w:t>
                </w:r>
              </w:smartTag>
            </w:smartTag>
          </w:p>
        </w:tc>
        <w:tc>
          <w:tcPr>
            <w:tcW w:w="1304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641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CC3" w:rsidRPr="00F96390" w:rsidTr="00032DB4">
        <w:trPr>
          <w:trHeight w:val="149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32DB4">
                  <w:rPr>
                    <w:rFonts w:cs="Calibri"/>
                    <w:bCs/>
                    <w:sz w:val="20"/>
                    <w:szCs w:val="20"/>
                  </w:rPr>
                  <w:t>Los Angeles</w:t>
                </w:r>
              </w:smartTag>
            </w:smartTag>
          </w:p>
        </w:tc>
        <w:tc>
          <w:tcPr>
            <w:tcW w:w="1304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641" w:type="dxa"/>
            <w:vMerge w:val="restart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xTAG RVP</w:t>
            </w:r>
          </w:p>
        </w:tc>
        <w:tc>
          <w:tcPr>
            <w:tcW w:w="3413" w:type="dxa"/>
            <w:vMerge w:val="restart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Influenza, RSV, RV/EV, ADV, PIV-1-3, HMPV</w:t>
            </w:r>
          </w:p>
        </w:tc>
      </w:tr>
      <w:tr w:rsidR="00412CC3" w:rsidRPr="00F96390" w:rsidTr="00032DB4">
        <w:trPr>
          <w:trHeight w:val="149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32DB4">
                  <w:rPr>
                    <w:rFonts w:cs="Calibri"/>
                    <w:bCs/>
                    <w:sz w:val="20"/>
                    <w:szCs w:val="20"/>
                  </w:rPr>
                  <w:t>New York City</w:t>
                </w:r>
              </w:smartTag>
            </w:smartTag>
          </w:p>
        </w:tc>
        <w:tc>
          <w:tcPr>
            <w:tcW w:w="1304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Y</w:t>
            </w:r>
          </w:p>
        </w:tc>
        <w:tc>
          <w:tcPr>
            <w:tcW w:w="1641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CC3" w:rsidRPr="00F96390" w:rsidTr="00032DB4">
        <w:trPr>
          <w:trHeight w:val="144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032DB4">
                  <w:rPr>
                    <w:rFonts w:cs="Calibri"/>
                    <w:bCs/>
                    <w:sz w:val="20"/>
                    <w:szCs w:val="20"/>
                  </w:rPr>
                  <w:t>New Jersey</w:t>
                </w:r>
              </w:smartTag>
            </w:smartTag>
          </w:p>
        </w:tc>
        <w:tc>
          <w:tcPr>
            <w:tcW w:w="1304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Y</w:t>
            </w:r>
          </w:p>
        </w:tc>
        <w:tc>
          <w:tcPr>
            <w:tcW w:w="1641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CC3" w:rsidRPr="00F96390" w:rsidTr="00032DB4">
        <w:trPr>
          <w:trHeight w:val="144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032DB4">
                  <w:rPr>
                    <w:rFonts w:cs="Calibri"/>
                    <w:bCs/>
                    <w:sz w:val="20"/>
                    <w:szCs w:val="20"/>
                  </w:rPr>
                  <w:t>North Dakota</w:t>
                </w:r>
              </w:smartTag>
            </w:smartTag>
          </w:p>
        </w:tc>
        <w:tc>
          <w:tcPr>
            <w:tcW w:w="1304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Y</w:t>
            </w:r>
          </w:p>
        </w:tc>
        <w:tc>
          <w:tcPr>
            <w:tcW w:w="1641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CC3" w:rsidRPr="00F96390" w:rsidTr="00032DB4">
        <w:trPr>
          <w:trHeight w:val="144"/>
        </w:trPr>
        <w:tc>
          <w:tcPr>
            <w:tcW w:w="1420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rPr>
                <w:rFonts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032DB4">
                  <w:rPr>
                    <w:rFonts w:cs="Calibri"/>
                    <w:bCs/>
                    <w:sz w:val="20"/>
                    <w:szCs w:val="20"/>
                  </w:rPr>
                  <w:t>Virginia</w:t>
                </w:r>
              </w:smartTag>
            </w:smartTag>
          </w:p>
        </w:tc>
        <w:tc>
          <w:tcPr>
            <w:tcW w:w="1304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xTAG RVP</w:t>
            </w:r>
            <w:r w:rsidRPr="00032DB4">
              <w:rPr>
                <w:rFonts w:cs="Calibri"/>
                <w:sz w:val="18"/>
                <w:szCs w:val="20"/>
              </w:rPr>
              <w:t>‡</w:t>
            </w:r>
          </w:p>
        </w:tc>
        <w:tc>
          <w:tcPr>
            <w:tcW w:w="1698" w:type="dxa"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032DB4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641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412CC3" w:rsidRPr="00032DB4" w:rsidRDefault="00412CC3" w:rsidP="00032DB4">
            <w:pPr>
              <w:spacing w:after="0" w:line="48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412CC3" w:rsidRPr="006F4A76" w:rsidRDefault="00412CC3" w:rsidP="006C26BC">
      <w:pPr>
        <w:spacing w:after="0" w:line="480" w:lineRule="auto"/>
        <w:rPr>
          <w:rFonts w:cs="Calibri"/>
          <w:sz w:val="18"/>
          <w:szCs w:val="18"/>
        </w:rPr>
      </w:pPr>
      <w:r w:rsidRPr="006F4A76">
        <w:rPr>
          <w:rFonts w:cs="Calibri"/>
          <w:sz w:val="18"/>
          <w:szCs w:val="18"/>
        </w:rPr>
        <w:t>*Sites testing first for influenza, then only further testing negative specimens for other respiratory viruses were designated as “prescreening.”</w:t>
      </w:r>
    </w:p>
    <w:p w:rsidR="00412CC3" w:rsidRPr="006F4A76" w:rsidRDefault="00412CC3" w:rsidP="006C26BC">
      <w:pPr>
        <w:spacing w:after="0" w:line="480" w:lineRule="auto"/>
        <w:rPr>
          <w:rFonts w:cs="Calibri"/>
          <w:sz w:val="18"/>
          <w:szCs w:val="18"/>
        </w:rPr>
      </w:pPr>
      <w:r w:rsidRPr="006F4A76">
        <w:rPr>
          <w:rFonts w:cs="Calibri"/>
          <w:sz w:val="18"/>
          <w:szCs w:val="18"/>
        </w:rPr>
        <w:t>†Virus acronyms:  respiratory syncytial virus [RSV], rhinovirus and enterovirus [RV/EV], adenovirus [AdV], parainfluenzavirus [PIV], human metapneumovirus [MPV], coronavirus [CoV], and human bocavirus [HBoV] (none detected).</w:t>
      </w:r>
    </w:p>
    <w:p w:rsidR="00412CC3" w:rsidRDefault="00412CC3" w:rsidP="006C26BC">
      <w:pPr>
        <w:spacing w:line="480" w:lineRule="auto"/>
        <w:rPr>
          <w:rFonts w:cs="Calibri"/>
          <w:b/>
        </w:rPr>
      </w:pPr>
      <w:r w:rsidRPr="006F4A76">
        <w:rPr>
          <w:rFonts w:cs="Calibri"/>
          <w:sz w:val="18"/>
          <w:szCs w:val="18"/>
        </w:rPr>
        <w:t>‡Respiratory virus panel (RVP)</w:t>
      </w:r>
    </w:p>
    <w:p w:rsidR="00412CC3" w:rsidRDefault="00412CC3">
      <w:bookmarkStart w:id="0" w:name="_GoBack"/>
      <w:bookmarkEnd w:id="0"/>
      <w:r>
        <w:br w:type="column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388.5pt">
            <v:imagedata r:id="rId4" o:title=""/>
          </v:shape>
        </w:pict>
      </w:r>
    </w:p>
    <w:p w:rsidR="00412CC3" w:rsidRDefault="00412CC3">
      <w:r>
        <w:br w:type="column"/>
      </w:r>
      <w:r>
        <w:pict>
          <v:shape id="_x0000_i1026" type="#_x0000_t75" style="width:496.5pt;height:372.75pt">
            <v:imagedata r:id="rId5" o:title=""/>
          </v:shape>
        </w:pict>
      </w:r>
    </w:p>
    <w:sectPr w:rsidR="00412CC3" w:rsidSect="003F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6BC"/>
    <w:rsid w:val="00032DB4"/>
    <w:rsid w:val="002E155C"/>
    <w:rsid w:val="00394574"/>
    <w:rsid w:val="003F1517"/>
    <w:rsid w:val="00412CC3"/>
    <w:rsid w:val="00625708"/>
    <w:rsid w:val="006C26BC"/>
    <w:rsid w:val="006F4A76"/>
    <w:rsid w:val="00890DC6"/>
    <w:rsid w:val="00953C2C"/>
    <w:rsid w:val="00971881"/>
    <w:rsid w:val="00A85C97"/>
    <w:rsid w:val="00C12F02"/>
    <w:rsid w:val="00D1044D"/>
    <w:rsid w:val="00F53E4E"/>
    <w:rsid w:val="00F9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6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167</Words>
  <Characters>952</Characters>
  <Application>Microsoft Office Outlook</Application>
  <DocSecurity>0</DocSecurity>
  <Lines>0</Lines>
  <Paragraphs>0</Paragraphs>
  <ScaleCrop>false</ScaleCrop>
  <Company>Centers for Disease Control and Prevention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Fowlkes</dc:creator>
  <cp:keywords/>
  <dc:description/>
  <cp:lastModifiedBy>509</cp:lastModifiedBy>
  <cp:revision>2</cp:revision>
  <dcterms:created xsi:type="dcterms:W3CDTF">2013-08-22T15:36:00Z</dcterms:created>
  <dcterms:modified xsi:type="dcterms:W3CDTF">2013-12-13T07:13:00Z</dcterms:modified>
</cp:coreProperties>
</file>