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79B8E" w14:textId="11EC7832" w:rsidR="005C3212" w:rsidRDefault="00C57F5D" w:rsidP="001D3BD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5C3212" w:rsidRPr="00E9382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D3BD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C3212">
        <w:rPr>
          <w:rFonts w:ascii="Times New Roman" w:hAnsi="Times New Roman" w:cs="Times New Roman"/>
          <w:sz w:val="24"/>
          <w:szCs w:val="24"/>
        </w:rPr>
        <w:t>P</w:t>
      </w:r>
      <w:r w:rsidR="005C3212" w:rsidRPr="00E9382E">
        <w:rPr>
          <w:rFonts w:ascii="Times New Roman" w:hAnsi="Times New Roman" w:cs="Times New Roman"/>
          <w:sz w:val="24"/>
          <w:szCs w:val="24"/>
        </w:rPr>
        <w:t>reanalytical</w:t>
      </w:r>
      <w:proofErr w:type="spellEnd"/>
      <w:r w:rsidR="005C3212" w:rsidRPr="00E9382E">
        <w:rPr>
          <w:rFonts w:ascii="Times New Roman" w:hAnsi="Times New Roman" w:cs="Times New Roman"/>
          <w:sz w:val="24"/>
          <w:szCs w:val="24"/>
        </w:rPr>
        <w:t xml:space="preserve"> conditions required to obtain a valid sample for laboratory analysis</w:t>
      </w:r>
      <w:r w:rsidR="005C3212" w:rsidRPr="00F1027C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tbl>
      <w:tblPr>
        <w:tblStyle w:val="TableGrid"/>
        <w:tblW w:w="1310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3744"/>
        <w:gridCol w:w="3456"/>
        <w:gridCol w:w="4320"/>
      </w:tblGrid>
      <w:tr w:rsidR="005C3212" w14:paraId="0CE666EE" w14:textId="77777777" w:rsidTr="0074699E">
        <w:tc>
          <w:tcPr>
            <w:tcW w:w="1584" w:type="dxa"/>
            <w:tcBorders>
              <w:bottom w:val="single" w:sz="4" w:space="0" w:color="auto"/>
            </w:tcBorders>
          </w:tcPr>
          <w:p w14:paraId="7387980F" w14:textId="77777777" w:rsidR="005C3212" w:rsidRDefault="005C3212" w:rsidP="0074699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Indicator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33E172DB" w14:textId="77777777" w:rsidR="005C3212" w:rsidRDefault="005C3212" w:rsidP="0074699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Sample collection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14:paraId="6B001BB0" w14:textId="77777777" w:rsidR="005C3212" w:rsidRDefault="005C3212" w:rsidP="0074699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Sample processing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E3330DC" w14:textId="77777777" w:rsidR="005C3212" w:rsidRDefault="005C3212" w:rsidP="0074699E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Sample storage</w:t>
            </w:r>
          </w:p>
        </w:tc>
      </w:tr>
      <w:tr w:rsidR="005C3212" w14:paraId="47867E1A" w14:textId="77777777" w:rsidTr="0074699E">
        <w:trPr>
          <w:trHeight w:val="1340"/>
        </w:trPr>
        <w:tc>
          <w:tcPr>
            <w:tcW w:w="1584" w:type="dxa"/>
            <w:tcBorders>
              <w:bottom w:val="nil"/>
            </w:tcBorders>
          </w:tcPr>
          <w:p w14:paraId="7E076770" w14:textId="77777777" w:rsidR="005C3212" w:rsidRPr="00E9382E" w:rsidRDefault="005C3212" w:rsidP="0074699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SF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sTfR</w:t>
            </w:r>
            <w:proofErr w:type="spellEnd"/>
          </w:p>
        </w:tc>
        <w:tc>
          <w:tcPr>
            <w:tcW w:w="3744" w:type="dxa"/>
            <w:tcBorders>
              <w:bottom w:val="nil"/>
            </w:tcBorders>
          </w:tcPr>
          <w:p w14:paraId="7D182F9E" w14:textId="26704E23" w:rsidR="005C3212" w:rsidRPr="00E9382E" w:rsidRDefault="005C3212" w:rsidP="00F668CC">
            <w:pPr>
              <w:pStyle w:val="NormalWeb"/>
              <w:spacing w:before="0" w:beforeAutospacing="0" w:after="120" w:afterAutospacing="0"/>
              <w:rPr>
                <w:szCs w:val="36"/>
              </w:rPr>
            </w:pPr>
            <w:r w:rsidRPr="00E9382E">
              <w:rPr>
                <w:bCs/>
                <w:kern w:val="24"/>
                <w:szCs w:val="28"/>
              </w:rPr>
              <w:t>Venous and capillary samples comparable but higher variability with capillary samples</w:t>
            </w:r>
            <w:r w:rsidR="00F668CC">
              <w:rPr>
                <w:bCs/>
                <w:kern w:val="24"/>
                <w:szCs w:val="28"/>
              </w:rPr>
              <w:t xml:space="preserve"> (1)</w:t>
            </w:r>
          </w:p>
        </w:tc>
        <w:tc>
          <w:tcPr>
            <w:tcW w:w="3456" w:type="dxa"/>
            <w:tcBorders>
              <w:bottom w:val="nil"/>
            </w:tcBorders>
          </w:tcPr>
          <w:p w14:paraId="23E7AB06" w14:textId="775E9C83" w:rsidR="005C3212" w:rsidRPr="00E9382E" w:rsidRDefault="005C3212" w:rsidP="00347C73">
            <w:pPr>
              <w:pStyle w:val="NormalWeb"/>
              <w:spacing w:before="0" w:beforeAutospacing="0" w:after="120" w:afterAutospacing="0"/>
              <w:rPr>
                <w:szCs w:val="36"/>
              </w:rPr>
            </w:pPr>
            <w:r w:rsidRPr="00E9382E">
              <w:rPr>
                <w:bCs/>
                <w:kern w:val="24"/>
                <w:szCs w:val="28"/>
              </w:rPr>
              <w:t>Prepare serum within 1</w:t>
            </w:r>
            <w:r>
              <w:rPr>
                <w:bCs/>
                <w:kern w:val="24"/>
                <w:szCs w:val="28"/>
              </w:rPr>
              <w:t>–3</w:t>
            </w:r>
            <w:r w:rsidRPr="00E9382E">
              <w:rPr>
                <w:bCs/>
                <w:kern w:val="24"/>
                <w:szCs w:val="28"/>
              </w:rPr>
              <w:t xml:space="preserve"> d</w:t>
            </w:r>
            <w:r>
              <w:rPr>
                <w:bCs/>
                <w:kern w:val="24"/>
                <w:szCs w:val="28"/>
              </w:rPr>
              <w:t xml:space="preserve"> </w:t>
            </w:r>
            <w:r w:rsidRPr="00E9382E">
              <w:rPr>
                <w:bCs/>
                <w:kern w:val="24"/>
                <w:szCs w:val="28"/>
              </w:rPr>
              <w:t>of blood collection</w:t>
            </w:r>
            <w:r w:rsidR="00347C73">
              <w:rPr>
                <w:bCs/>
                <w:kern w:val="24"/>
                <w:szCs w:val="28"/>
              </w:rPr>
              <w:t xml:space="preserve"> (2)</w:t>
            </w:r>
            <w:r w:rsidRPr="00E9382E">
              <w:rPr>
                <w:bCs/>
                <w:kern w:val="24"/>
                <w:szCs w:val="28"/>
              </w:rPr>
              <w:t xml:space="preserve">; </w:t>
            </w:r>
            <w:r w:rsidR="00491FAE">
              <w:rPr>
                <w:bCs/>
                <w:kern w:val="24"/>
                <w:szCs w:val="28"/>
              </w:rPr>
              <w:t>avoid exposure to elevated temperature</w:t>
            </w:r>
            <w:r w:rsidR="00F668CC">
              <w:rPr>
                <w:bCs/>
                <w:kern w:val="24"/>
                <w:szCs w:val="28"/>
              </w:rPr>
              <w:t xml:space="preserve"> (</w:t>
            </w:r>
            <w:r w:rsidR="00491FAE">
              <w:rPr>
                <w:bCs/>
                <w:kern w:val="24"/>
                <w:szCs w:val="28"/>
              </w:rPr>
              <w:t>3;</w:t>
            </w:r>
            <w:r w:rsidR="00F668CC">
              <w:rPr>
                <w:bCs/>
                <w:kern w:val="24"/>
                <w:szCs w:val="28"/>
              </w:rPr>
              <w:t>4)</w:t>
            </w:r>
          </w:p>
        </w:tc>
        <w:tc>
          <w:tcPr>
            <w:tcW w:w="4320" w:type="dxa"/>
            <w:tcBorders>
              <w:bottom w:val="nil"/>
            </w:tcBorders>
          </w:tcPr>
          <w:p w14:paraId="0998CAF1" w14:textId="03A75524" w:rsidR="005C3212" w:rsidRPr="00E9382E" w:rsidRDefault="005C3212" w:rsidP="0074699E">
            <w:pPr>
              <w:pStyle w:val="NormalWeb"/>
              <w:spacing w:before="0" w:beforeAutospacing="0" w:after="120" w:afterAutospacing="0"/>
              <w:rPr>
                <w:szCs w:val="36"/>
              </w:rPr>
            </w:pPr>
            <w:r w:rsidRPr="00E9382E">
              <w:rPr>
                <w:bCs/>
                <w:kern w:val="24"/>
                <w:szCs w:val="28"/>
              </w:rPr>
              <w:t>Stable for ≤14 d at 4°C</w:t>
            </w:r>
            <w:r w:rsidR="00F26CC2">
              <w:rPr>
                <w:bCs/>
                <w:kern w:val="24"/>
                <w:szCs w:val="28"/>
              </w:rPr>
              <w:t xml:space="preserve"> (4)</w:t>
            </w:r>
            <w:r w:rsidRPr="00E9382E">
              <w:rPr>
                <w:bCs/>
                <w:kern w:val="24"/>
                <w:szCs w:val="28"/>
              </w:rPr>
              <w:t>; stable for</w:t>
            </w:r>
            <w:r w:rsidR="00F26CC2">
              <w:rPr>
                <w:bCs/>
                <w:kern w:val="24"/>
                <w:szCs w:val="28"/>
              </w:rPr>
              <w:t xml:space="preserve"> at least 1</w:t>
            </w:r>
            <w:r w:rsidRPr="00E9382E">
              <w:rPr>
                <w:bCs/>
                <w:kern w:val="24"/>
                <w:szCs w:val="28"/>
              </w:rPr>
              <w:t xml:space="preserve"> year at ≤-20°C</w:t>
            </w:r>
            <w:r w:rsidR="00F26CC2">
              <w:rPr>
                <w:bCs/>
                <w:kern w:val="24"/>
                <w:szCs w:val="28"/>
              </w:rPr>
              <w:t xml:space="preserve"> (5)</w:t>
            </w:r>
          </w:p>
          <w:p w14:paraId="45AE3726" w14:textId="685FA86D" w:rsidR="005C3212" w:rsidRPr="00E9382E" w:rsidRDefault="005C3212" w:rsidP="0074699E">
            <w:pPr>
              <w:pStyle w:val="NormalWeb"/>
              <w:spacing w:before="0" w:beforeAutospacing="0" w:after="120" w:afterAutospacing="0"/>
              <w:rPr>
                <w:szCs w:val="36"/>
              </w:rPr>
            </w:pPr>
            <w:r w:rsidRPr="00E9382E">
              <w:rPr>
                <w:bCs/>
                <w:kern w:val="24"/>
                <w:szCs w:val="28"/>
              </w:rPr>
              <w:t>Stable for at least 3 freeze/thaw</w:t>
            </w:r>
            <w:r>
              <w:rPr>
                <w:bCs/>
                <w:kern w:val="24"/>
                <w:szCs w:val="28"/>
              </w:rPr>
              <w:t>ing</w:t>
            </w:r>
            <w:r w:rsidRPr="00E9382E">
              <w:rPr>
                <w:bCs/>
                <w:kern w:val="24"/>
                <w:szCs w:val="28"/>
              </w:rPr>
              <w:t xml:space="preserve"> cycles</w:t>
            </w:r>
            <w:r w:rsidR="00491FAE">
              <w:rPr>
                <w:bCs/>
                <w:kern w:val="24"/>
                <w:szCs w:val="28"/>
              </w:rPr>
              <w:t xml:space="preserve"> (4)</w:t>
            </w:r>
          </w:p>
        </w:tc>
      </w:tr>
      <w:tr w:rsidR="005C3212" w14:paraId="15D7ACC1" w14:textId="77777777" w:rsidTr="0074699E">
        <w:tc>
          <w:tcPr>
            <w:tcW w:w="1584" w:type="dxa"/>
            <w:tcBorders>
              <w:top w:val="nil"/>
              <w:bottom w:val="nil"/>
            </w:tcBorders>
          </w:tcPr>
          <w:p w14:paraId="0DA0885C" w14:textId="77777777" w:rsidR="005C3212" w:rsidRPr="00E9382E" w:rsidRDefault="005C3212" w:rsidP="0074699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</w:p>
        </w:tc>
        <w:tc>
          <w:tcPr>
            <w:tcW w:w="3744" w:type="dxa"/>
            <w:tcBorders>
              <w:top w:val="nil"/>
              <w:bottom w:val="nil"/>
            </w:tcBorders>
          </w:tcPr>
          <w:p w14:paraId="629BEDE3" w14:textId="710BE96A" w:rsidR="005C3212" w:rsidRPr="00E9382E" w:rsidRDefault="005C3212" w:rsidP="00F668CC">
            <w:pPr>
              <w:pStyle w:val="NormalWeb"/>
              <w:spacing w:before="0" w:beforeAutospacing="0" w:after="120" w:afterAutospacing="0"/>
              <w:rPr>
                <w:szCs w:val="36"/>
              </w:rPr>
            </w:pPr>
            <w:r>
              <w:rPr>
                <w:szCs w:val="36"/>
              </w:rPr>
              <w:t xml:space="preserve">Venous samples </w:t>
            </w:r>
            <w:r w:rsidR="00F668CC">
              <w:rPr>
                <w:szCs w:val="36"/>
              </w:rPr>
              <w:t>are typically used because capillary samples do not</w:t>
            </w:r>
            <w:r>
              <w:rPr>
                <w:szCs w:val="36"/>
              </w:rPr>
              <w:t xml:space="preserve"> provide sufficient sample volume for clinical analyzer</w:t>
            </w:r>
          </w:p>
        </w:tc>
        <w:tc>
          <w:tcPr>
            <w:tcW w:w="3456" w:type="dxa"/>
            <w:tcBorders>
              <w:top w:val="nil"/>
              <w:bottom w:val="nil"/>
            </w:tcBorders>
          </w:tcPr>
          <w:p w14:paraId="13020DB6" w14:textId="7976ACDF" w:rsidR="005C3212" w:rsidRPr="00E9382E" w:rsidRDefault="005C3212" w:rsidP="00347C73">
            <w:pPr>
              <w:pStyle w:val="NormalWeb"/>
              <w:spacing w:before="0" w:beforeAutospacing="0" w:after="120" w:afterAutospacing="0"/>
              <w:rPr>
                <w:szCs w:val="36"/>
              </w:rPr>
            </w:pPr>
            <w:r w:rsidRPr="00E9382E">
              <w:rPr>
                <w:kern w:val="24"/>
                <w:szCs w:val="28"/>
              </w:rPr>
              <w:t xml:space="preserve">Prepare serum </w:t>
            </w:r>
            <w:r w:rsidR="00347C73">
              <w:rPr>
                <w:kern w:val="24"/>
                <w:szCs w:val="28"/>
              </w:rPr>
              <w:t>same day as collected (6)</w:t>
            </w:r>
            <w:r w:rsidRPr="00E9382E">
              <w:rPr>
                <w:kern w:val="24"/>
                <w:szCs w:val="28"/>
              </w:rPr>
              <w:t xml:space="preserve">; </w:t>
            </w:r>
            <w:r w:rsidR="00491FAE">
              <w:rPr>
                <w:kern w:val="24"/>
                <w:szCs w:val="28"/>
              </w:rPr>
              <w:t>avoid exposure to elevated temperature (3)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14:paraId="50D4B657" w14:textId="2D05C5DA" w:rsidR="005C3212" w:rsidRPr="00E9382E" w:rsidRDefault="005C3212" w:rsidP="0074699E">
            <w:pPr>
              <w:pStyle w:val="NormalWeb"/>
              <w:spacing w:before="0" w:beforeAutospacing="0" w:after="120" w:afterAutospacing="0"/>
              <w:rPr>
                <w:szCs w:val="36"/>
              </w:rPr>
            </w:pPr>
            <w:r w:rsidRPr="00E9382E">
              <w:rPr>
                <w:kern w:val="24"/>
                <w:szCs w:val="28"/>
              </w:rPr>
              <w:t xml:space="preserve">Stable for </w:t>
            </w:r>
            <w:r w:rsidR="009136E6" w:rsidRPr="00E9382E">
              <w:rPr>
                <w:bCs/>
                <w:kern w:val="24"/>
                <w:szCs w:val="28"/>
              </w:rPr>
              <w:t>≤</w:t>
            </w:r>
            <w:r w:rsidR="009136E6">
              <w:rPr>
                <w:bCs/>
                <w:kern w:val="24"/>
                <w:szCs w:val="28"/>
              </w:rPr>
              <w:t>7</w:t>
            </w:r>
            <w:r w:rsidR="009136E6" w:rsidRPr="00E9382E">
              <w:rPr>
                <w:bCs/>
                <w:kern w:val="24"/>
                <w:szCs w:val="28"/>
              </w:rPr>
              <w:t xml:space="preserve"> d </w:t>
            </w:r>
            <w:r w:rsidRPr="00E9382E">
              <w:rPr>
                <w:kern w:val="24"/>
                <w:szCs w:val="28"/>
              </w:rPr>
              <w:t>at 4°C</w:t>
            </w:r>
            <w:r w:rsidR="009136E6">
              <w:rPr>
                <w:kern w:val="24"/>
                <w:szCs w:val="28"/>
              </w:rPr>
              <w:t xml:space="preserve"> (7)</w:t>
            </w:r>
            <w:r>
              <w:rPr>
                <w:kern w:val="24"/>
                <w:szCs w:val="28"/>
              </w:rPr>
              <w:t>; stable</w:t>
            </w:r>
            <w:r w:rsidRPr="00E9382E">
              <w:rPr>
                <w:kern w:val="24"/>
                <w:szCs w:val="28"/>
              </w:rPr>
              <w:t xml:space="preserve"> for </w:t>
            </w:r>
            <w:r w:rsidR="00CD6496">
              <w:rPr>
                <w:kern w:val="24"/>
                <w:szCs w:val="28"/>
              </w:rPr>
              <w:t xml:space="preserve">at least 1 </w:t>
            </w:r>
            <w:r w:rsidRPr="00E9382E">
              <w:rPr>
                <w:kern w:val="24"/>
                <w:szCs w:val="28"/>
              </w:rPr>
              <w:t>year at ≤-20°C</w:t>
            </w:r>
            <w:r w:rsidR="00CD6496">
              <w:rPr>
                <w:kern w:val="24"/>
                <w:szCs w:val="28"/>
              </w:rPr>
              <w:t xml:space="preserve"> (5)</w:t>
            </w:r>
          </w:p>
          <w:p w14:paraId="0B63FC6E" w14:textId="41C384ED" w:rsidR="005C3212" w:rsidRPr="00E9382E" w:rsidRDefault="005C3212" w:rsidP="0074699E">
            <w:pPr>
              <w:pStyle w:val="NormalWeb"/>
              <w:spacing w:before="0" w:beforeAutospacing="0" w:after="120" w:afterAutospacing="0"/>
              <w:rPr>
                <w:szCs w:val="36"/>
              </w:rPr>
            </w:pPr>
            <w:r w:rsidRPr="00E9382E">
              <w:rPr>
                <w:kern w:val="24"/>
                <w:szCs w:val="28"/>
              </w:rPr>
              <w:t>Stable for at least 3 freeze/thaw</w:t>
            </w:r>
            <w:r>
              <w:rPr>
                <w:kern w:val="24"/>
                <w:szCs w:val="28"/>
              </w:rPr>
              <w:t>ing</w:t>
            </w:r>
            <w:r w:rsidRPr="00E9382E">
              <w:rPr>
                <w:kern w:val="24"/>
                <w:szCs w:val="28"/>
              </w:rPr>
              <w:t xml:space="preserve"> cycles</w:t>
            </w:r>
            <w:r w:rsidR="00F06642">
              <w:rPr>
                <w:kern w:val="24"/>
                <w:szCs w:val="28"/>
              </w:rPr>
              <w:t xml:space="preserve"> (in-house data)</w:t>
            </w:r>
          </w:p>
        </w:tc>
      </w:tr>
      <w:tr w:rsidR="005C3212" w14:paraId="7B7C37E8" w14:textId="77777777" w:rsidTr="0074699E">
        <w:tc>
          <w:tcPr>
            <w:tcW w:w="1584" w:type="dxa"/>
            <w:tcBorders>
              <w:top w:val="nil"/>
              <w:bottom w:val="nil"/>
            </w:tcBorders>
          </w:tcPr>
          <w:p w14:paraId="0E0B22B6" w14:textId="77777777" w:rsidR="005C3212" w:rsidRPr="00E9382E" w:rsidRDefault="005C3212" w:rsidP="0074699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</w:t>
            </w:r>
          </w:p>
        </w:tc>
        <w:tc>
          <w:tcPr>
            <w:tcW w:w="3744" w:type="dxa"/>
            <w:tcBorders>
              <w:top w:val="nil"/>
              <w:bottom w:val="nil"/>
            </w:tcBorders>
          </w:tcPr>
          <w:p w14:paraId="5C3F553D" w14:textId="7A7B674A" w:rsidR="005C3212" w:rsidRPr="00E9382E" w:rsidRDefault="005C3212" w:rsidP="00F06642">
            <w:pPr>
              <w:pStyle w:val="NormalWeb"/>
              <w:spacing w:before="0" w:beforeAutospacing="0" w:after="120" w:afterAutospacing="0"/>
              <w:rPr>
                <w:szCs w:val="36"/>
              </w:rPr>
            </w:pPr>
            <w:r w:rsidRPr="00E9382E">
              <w:rPr>
                <w:kern w:val="24"/>
                <w:szCs w:val="28"/>
              </w:rPr>
              <w:t>Venous and capillary samples comparable; avoid partially clotted samples</w:t>
            </w:r>
            <w:r w:rsidR="00F668CC">
              <w:rPr>
                <w:kern w:val="24"/>
                <w:szCs w:val="28"/>
              </w:rPr>
              <w:t xml:space="preserve"> (</w:t>
            </w:r>
            <w:r w:rsidR="00F06642">
              <w:rPr>
                <w:kern w:val="24"/>
                <w:szCs w:val="28"/>
              </w:rPr>
              <w:t>8</w:t>
            </w:r>
            <w:r w:rsidR="00F668CC">
              <w:rPr>
                <w:kern w:val="24"/>
                <w:szCs w:val="28"/>
              </w:rPr>
              <w:t>)</w:t>
            </w:r>
          </w:p>
        </w:tc>
        <w:tc>
          <w:tcPr>
            <w:tcW w:w="3456" w:type="dxa"/>
            <w:tcBorders>
              <w:top w:val="nil"/>
              <w:bottom w:val="nil"/>
            </w:tcBorders>
          </w:tcPr>
          <w:p w14:paraId="04B5FD0D" w14:textId="5190A7AB" w:rsidR="005C3212" w:rsidRPr="00E9382E" w:rsidRDefault="005C3212" w:rsidP="0074699E">
            <w:pPr>
              <w:pStyle w:val="NormalWeb"/>
              <w:spacing w:before="0" w:beforeAutospacing="0" w:after="120" w:afterAutospacing="0"/>
              <w:rPr>
                <w:szCs w:val="36"/>
              </w:rPr>
            </w:pPr>
            <w:r w:rsidRPr="00E9382E">
              <w:rPr>
                <w:kern w:val="24"/>
                <w:szCs w:val="28"/>
              </w:rPr>
              <w:t>Protect sample from</w:t>
            </w:r>
            <w:r w:rsidR="00EA3DF8">
              <w:rPr>
                <w:kern w:val="24"/>
                <w:szCs w:val="28"/>
              </w:rPr>
              <w:t xml:space="preserve"> UV</w:t>
            </w:r>
            <w:r w:rsidRPr="00E9382E">
              <w:rPr>
                <w:kern w:val="24"/>
                <w:szCs w:val="28"/>
              </w:rPr>
              <w:t xml:space="preserve"> light</w:t>
            </w:r>
            <w:r w:rsidR="00EA3DF8">
              <w:rPr>
                <w:kern w:val="24"/>
                <w:szCs w:val="28"/>
              </w:rPr>
              <w:t xml:space="preserve"> (8)</w:t>
            </w:r>
            <w:r w:rsidRPr="00E9382E">
              <w:rPr>
                <w:kern w:val="24"/>
                <w:szCs w:val="28"/>
              </w:rPr>
              <w:t>; avoid contamination with fluorescent interferences</w:t>
            </w:r>
            <w:r w:rsidR="00EA3DF8">
              <w:rPr>
                <w:kern w:val="24"/>
                <w:szCs w:val="28"/>
              </w:rPr>
              <w:t xml:space="preserve"> (9;10)</w:t>
            </w:r>
            <w:r w:rsidRPr="00E9382E">
              <w:rPr>
                <w:kern w:val="24"/>
                <w:szCs w:val="28"/>
              </w:rPr>
              <w:t>; fresh vs. frozen blood depends on method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14:paraId="54B980D0" w14:textId="5183FF55" w:rsidR="005C3212" w:rsidRPr="00E9382E" w:rsidRDefault="005C3212" w:rsidP="0074699E">
            <w:pPr>
              <w:pStyle w:val="NormalWeb"/>
              <w:spacing w:before="0" w:beforeAutospacing="0" w:after="120" w:afterAutospacing="0"/>
              <w:rPr>
                <w:szCs w:val="36"/>
              </w:rPr>
            </w:pPr>
            <w:r w:rsidRPr="00E9382E">
              <w:rPr>
                <w:kern w:val="24"/>
                <w:szCs w:val="28"/>
              </w:rPr>
              <w:t>Stable for ≤10 d at 4°C</w:t>
            </w:r>
            <w:r w:rsidR="00EA3DF8">
              <w:rPr>
                <w:kern w:val="24"/>
                <w:szCs w:val="28"/>
              </w:rPr>
              <w:t xml:space="preserve"> if protected from UV light (8)</w:t>
            </w:r>
            <w:r>
              <w:rPr>
                <w:kern w:val="24"/>
                <w:szCs w:val="28"/>
              </w:rPr>
              <w:t>; stable</w:t>
            </w:r>
            <w:r w:rsidRPr="00E9382E">
              <w:rPr>
                <w:kern w:val="24"/>
                <w:szCs w:val="28"/>
              </w:rPr>
              <w:t xml:space="preserve"> for </w:t>
            </w:r>
            <w:r w:rsidR="00EA3DF8">
              <w:rPr>
                <w:kern w:val="24"/>
                <w:szCs w:val="28"/>
              </w:rPr>
              <w:t>months</w:t>
            </w:r>
            <w:r w:rsidR="00EA3DF8" w:rsidRPr="00E9382E">
              <w:rPr>
                <w:kern w:val="24"/>
                <w:szCs w:val="28"/>
              </w:rPr>
              <w:t xml:space="preserve"> </w:t>
            </w:r>
            <w:r w:rsidRPr="00E9382E">
              <w:rPr>
                <w:kern w:val="24"/>
                <w:szCs w:val="28"/>
              </w:rPr>
              <w:t>at ≤-20°C</w:t>
            </w:r>
            <w:r w:rsidR="00EA3DF8">
              <w:rPr>
                <w:kern w:val="24"/>
                <w:szCs w:val="28"/>
              </w:rPr>
              <w:t xml:space="preserve"> (8)</w:t>
            </w:r>
          </w:p>
          <w:p w14:paraId="6B8F8207" w14:textId="2EAA76D2" w:rsidR="005C3212" w:rsidRPr="00E9382E" w:rsidRDefault="005C3212" w:rsidP="0074699E">
            <w:pPr>
              <w:pStyle w:val="NormalWeb"/>
              <w:spacing w:before="0" w:beforeAutospacing="0" w:after="120" w:afterAutospacing="0"/>
              <w:rPr>
                <w:szCs w:val="36"/>
              </w:rPr>
            </w:pPr>
            <w:r w:rsidRPr="00E9382E">
              <w:rPr>
                <w:kern w:val="24"/>
                <w:szCs w:val="28"/>
              </w:rPr>
              <w:t>Stable for at least 3 freeze/thaw</w:t>
            </w:r>
            <w:r>
              <w:rPr>
                <w:kern w:val="24"/>
                <w:szCs w:val="28"/>
              </w:rPr>
              <w:t>ing</w:t>
            </w:r>
            <w:r w:rsidRPr="00E9382E">
              <w:rPr>
                <w:kern w:val="24"/>
                <w:szCs w:val="28"/>
              </w:rPr>
              <w:t xml:space="preserve"> cycles</w:t>
            </w:r>
            <w:r w:rsidR="00EA3DF8">
              <w:rPr>
                <w:kern w:val="24"/>
                <w:szCs w:val="28"/>
              </w:rPr>
              <w:t xml:space="preserve"> (in-house data)</w:t>
            </w:r>
          </w:p>
        </w:tc>
      </w:tr>
      <w:tr w:rsidR="005C3212" w14:paraId="13052001" w14:textId="77777777" w:rsidTr="0074699E">
        <w:tc>
          <w:tcPr>
            <w:tcW w:w="1584" w:type="dxa"/>
            <w:tcBorders>
              <w:top w:val="nil"/>
            </w:tcBorders>
          </w:tcPr>
          <w:p w14:paraId="6779B8BD" w14:textId="77777777" w:rsidR="005C3212" w:rsidRPr="00E9382E" w:rsidRDefault="005C3212" w:rsidP="0074699E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Hb</w:t>
            </w:r>
            <w:proofErr w:type="spellEnd"/>
          </w:p>
        </w:tc>
        <w:tc>
          <w:tcPr>
            <w:tcW w:w="3744" w:type="dxa"/>
            <w:tcBorders>
              <w:top w:val="nil"/>
            </w:tcBorders>
          </w:tcPr>
          <w:p w14:paraId="43B1156F" w14:textId="20287ADA" w:rsidR="005C3212" w:rsidRPr="00845D57" w:rsidRDefault="005C3212" w:rsidP="0074699E">
            <w:pPr>
              <w:pStyle w:val="NormalWeb"/>
              <w:spacing w:before="0" w:beforeAutospacing="0" w:after="120" w:afterAutospacing="0"/>
              <w:rPr>
                <w:szCs w:val="36"/>
              </w:rPr>
            </w:pPr>
            <w:r w:rsidRPr="00E9382E">
              <w:rPr>
                <w:bCs/>
                <w:kern w:val="24"/>
                <w:szCs w:val="28"/>
              </w:rPr>
              <w:t>Venous and capillary samples comparable but higher variability with capillary samples</w:t>
            </w:r>
            <w:r w:rsidR="00EA3DF8">
              <w:rPr>
                <w:bCs/>
                <w:kern w:val="24"/>
                <w:szCs w:val="28"/>
              </w:rPr>
              <w:t xml:space="preserve"> (11;12)</w:t>
            </w:r>
          </w:p>
        </w:tc>
        <w:tc>
          <w:tcPr>
            <w:tcW w:w="3456" w:type="dxa"/>
            <w:tcBorders>
              <w:top w:val="nil"/>
            </w:tcBorders>
          </w:tcPr>
          <w:p w14:paraId="7B9016F1" w14:textId="77777777" w:rsidR="005C3212" w:rsidRPr="00E9382E" w:rsidRDefault="005C3212" w:rsidP="0074699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processing needed; intact whole blood is analyzed</w:t>
            </w:r>
          </w:p>
        </w:tc>
        <w:tc>
          <w:tcPr>
            <w:tcW w:w="4320" w:type="dxa"/>
            <w:tcBorders>
              <w:top w:val="nil"/>
            </w:tcBorders>
          </w:tcPr>
          <w:p w14:paraId="61CD10A9" w14:textId="732E2A11" w:rsidR="005C3212" w:rsidRPr="00E9382E" w:rsidRDefault="005C3212" w:rsidP="006A7C3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Stable for </w:t>
            </w:r>
            <w:r>
              <w:rPr>
                <w:rFonts w:ascii="Times New Roman" w:hAnsi="Times New Roman" w:cs="Times New Roman"/>
                <w:kern w:val="24"/>
                <w:sz w:val="24"/>
                <w:szCs w:val="28"/>
              </w:rPr>
              <w:t>1</w:t>
            </w:r>
            <w:r>
              <w:t>–</w:t>
            </w:r>
            <w:r>
              <w:rPr>
                <w:rFonts w:ascii="Times New Roman" w:hAnsi="Times New Roman" w:cs="Times New Roman"/>
                <w:kern w:val="24"/>
                <w:sz w:val="24"/>
                <w:szCs w:val="28"/>
              </w:rPr>
              <w:t>2</w:t>
            </w:r>
            <w:r w:rsidRPr="00E9382E">
              <w:rPr>
                <w:rFonts w:ascii="Times New Roman" w:hAnsi="Times New Roman" w:cs="Times New Roman"/>
                <w:kern w:val="24"/>
                <w:sz w:val="24"/>
                <w:szCs w:val="28"/>
              </w:rPr>
              <w:t xml:space="preserve"> days at 4°C</w:t>
            </w:r>
            <w:r w:rsidR="006A7C39">
              <w:rPr>
                <w:rFonts w:ascii="Times New Roman" w:hAnsi="Times New Roman" w:cs="Times New Roman"/>
                <w:kern w:val="24"/>
                <w:sz w:val="24"/>
                <w:szCs w:val="28"/>
              </w:rPr>
              <w:t xml:space="preserve"> (11)</w:t>
            </w:r>
          </w:p>
        </w:tc>
      </w:tr>
    </w:tbl>
    <w:p w14:paraId="1EAD8CF6" w14:textId="1983997D" w:rsidR="00F668CC" w:rsidRDefault="005C3212" w:rsidP="001D3BD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027C">
        <w:rPr>
          <w:rFonts w:ascii="Times New Roman" w:hAnsi="Times New Roman" w:cs="Times New Roman"/>
          <w:sz w:val="24"/>
          <w:vertAlign w:val="superscript"/>
        </w:rPr>
        <w:t>1</w:t>
      </w:r>
      <w:r w:rsidRPr="00F1027C">
        <w:rPr>
          <w:rFonts w:ascii="Times New Roman" w:hAnsi="Times New Roman" w:cs="Times New Roman"/>
          <w:sz w:val="24"/>
        </w:rPr>
        <w:t xml:space="preserve"> EP, erythrocyte </w:t>
      </w:r>
      <w:proofErr w:type="spellStart"/>
      <w:r w:rsidRPr="00F1027C">
        <w:rPr>
          <w:rFonts w:ascii="Times New Roman" w:hAnsi="Times New Roman" w:cs="Times New Roman"/>
          <w:sz w:val="24"/>
        </w:rPr>
        <w:t>protoporphyrin</w:t>
      </w:r>
      <w:proofErr w:type="spellEnd"/>
      <w:r w:rsidRPr="00F1027C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F1027C">
        <w:rPr>
          <w:rFonts w:ascii="Times New Roman" w:hAnsi="Times New Roman" w:cs="Times New Roman"/>
          <w:sz w:val="24"/>
        </w:rPr>
        <w:t>Hb</w:t>
      </w:r>
      <w:proofErr w:type="spellEnd"/>
      <w:r w:rsidRPr="00F1027C">
        <w:rPr>
          <w:rFonts w:ascii="Times New Roman" w:hAnsi="Times New Roman" w:cs="Times New Roman"/>
          <w:sz w:val="24"/>
        </w:rPr>
        <w:t xml:space="preserve">, hemoglobin; SF, serum ferritin; </w:t>
      </w:r>
      <w:proofErr w:type="spellStart"/>
      <w:r w:rsidRPr="00F1027C">
        <w:rPr>
          <w:rFonts w:ascii="Times New Roman" w:hAnsi="Times New Roman" w:cs="Times New Roman"/>
          <w:sz w:val="24"/>
        </w:rPr>
        <w:t>sTfR</w:t>
      </w:r>
      <w:proofErr w:type="spellEnd"/>
      <w:r w:rsidRPr="00F1027C">
        <w:rPr>
          <w:rFonts w:ascii="Times New Roman" w:hAnsi="Times New Roman" w:cs="Times New Roman"/>
          <w:sz w:val="24"/>
        </w:rPr>
        <w:t>, soluble transferrin receptor</w:t>
      </w:r>
      <w:r w:rsidR="002A6F79">
        <w:rPr>
          <w:rFonts w:ascii="Times New Roman" w:hAnsi="Times New Roman" w:cs="Times New Roman"/>
          <w:sz w:val="24"/>
        </w:rPr>
        <w:t>.</w:t>
      </w:r>
      <w:r w:rsidRPr="00E938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A40695" w14:textId="77777777" w:rsidR="001D3BD5" w:rsidRDefault="001D3BD5" w:rsidP="001D3B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6EA7592" w14:textId="77777777" w:rsidR="00F668CC" w:rsidRPr="001D3BD5" w:rsidRDefault="00F668CC" w:rsidP="001D3B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3BD5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12349B66" w14:textId="4E5977E9" w:rsidR="00F668CC" w:rsidRPr="001D3BD5" w:rsidRDefault="00F668CC" w:rsidP="00F26CC2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1D3BD5">
        <w:rPr>
          <w:rFonts w:ascii="Times New Roman" w:hAnsi="Times New Roman" w:cs="Times New Roman"/>
          <w:sz w:val="24"/>
          <w:szCs w:val="24"/>
        </w:rPr>
        <w:t xml:space="preserve">Cooper MJ, </w:t>
      </w:r>
      <w:proofErr w:type="spellStart"/>
      <w:r w:rsidRPr="001D3BD5">
        <w:rPr>
          <w:rFonts w:ascii="Times New Roman" w:hAnsi="Times New Roman" w:cs="Times New Roman"/>
          <w:sz w:val="24"/>
          <w:szCs w:val="24"/>
        </w:rPr>
        <w:t>Zlotkin</w:t>
      </w:r>
      <w:proofErr w:type="spellEnd"/>
      <w:r w:rsidRPr="001D3BD5">
        <w:rPr>
          <w:rFonts w:ascii="Times New Roman" w:hAnsi="Times New Roman" w:cs="Times New Roman"/>
          <w:sz w:val="24"/>
          <w:szCs w:val="24"/>
        </w:rPr>
        <w:t xml:space="preserve"> SH. Day-to-day variation of transferrin receptor and ferritin in healthy men and women. Am J </w:t>
      </w:r>
      <w:proofErr w:type="spellStart"/>
      <w:r w:rsidRPr="001D3BD5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1D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D5">
        <w:rPr>
          <w:rFonts w:ascii="Times New Roman" w:hAnsi="Times New Roman" w:cs="Times New Roman"/>
          <w:sz w:val="24"/>
          <w:szCs w:val="24"/>
        </w:rPr>
        <w:t>Nutr</w:t>
      </w:r>
      <w:proofErr w:type="spellEnd"/>
      <w:r w:rsidRPr="001D3BD5">
        <w:rPr>
          <w:rFonts w:ascii="Times New Roman" w:hAnsi="Times New Roman" w:cs="Times New Roman"/>
          <w:sz w:val="24"/>
          <w:szCs w:val="24"/>
        </w:rPr>
        <w:t>. 1996</w:t>
      </w:r>
      <w:proofErr w:type="gramStart"/>
      <w:r w:rsidRPr="001D3BD5">
        <w:rPr>
          <w:rFonts w:ascii="Times New Roman" w:hAnsi="Times New Roman" w:cs="Times New Roman"/>
          <w:sz w:val="24"/>
          <w:szCs w:val="24"/>
        </w:rPr>
        <w:t>;64:738</w:t>
      </w:r>
      <w:proofErr w:type="gramEnd"/>
      <w:r w:rsidRPr="001D3BD5">
        <w:rPr>
          <w:rFonts w:ascii="Times New Roman" w:hAnsi="Times New Roman" w:cs="Times New Roman"/>
          <w:sz w:val="24"/>
          <w:szCs w:val="24"/>
        </w:rPr>
        <w:t>–42.</w:t>
      </w:r>
    </w:p>
    <w:p w14:paraId="64CC16EB" w14:textId="57277CF1" w:rsidR="00F668CC" w:rsidRPr="001D3BD5" w:rsidRDefault="00F668CC" w:rsidP="00F26CC2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1D3BD5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1D3BD5">
        <w:rPr>
          <w:rFonts w:ascii="Times New Roman" w:hAnsi="Times New Roman" w:cs="Times New Roman"/>
          <w:sz w:val="24"/>
          <w:szCs w:val="24"/>
        </w:rPr>
        <w:t>Eijsden</w:t>
      </w:r>
      <w:proofErr w:type="spellEnd"/>
      <w:r w:rsidRPr="001D3BD5">
        <w:rPr>
          <w:rFonts w:ascii="Times New Roman" w:hAnsi="Times New Roman" w:cs="Times New Roman"/>
          <w:sz w:val="24"/>
          <w:szCs w:val="24"/>
        </w:rPr>
        <w:t xml:space="preserve"> M, van der </w:t>
      </w:r>
      <w:proofErr w:type="spellStart"/>
      <w:r w:rsidRPr="001D3BD5">
        <w:rPr>
          <w:rFonts w:ascii="Times New Roman" w:hAnsi="Times New Roman" w:cs="Times New Roman"/>
          <w:sz w:val="24"/>
          <w:szCs w:val="24"/>
        </w:rPr>
        <w:t>Wal</w:t>
      </w:r>
      <w:proofErr w:type="spellEnd"/>
      <w:r w:rsidRPr="001D3BD5">
        <w:rPr>
          <w:rFonts w:ascii="Times New Roman" w:hAnsi="Times New Roman" w:cs="Times New Roman"/>
          <w:sz w:val="24"/>
          <w:szCs w:val="24"/>
        </w:rPr>
        <w:t xml:space="preserve"> MF, </w:t>
      </w:r>
      <w:proofErr w:type="spellStart"/>
      <w:r w:rsidRPr="001D3BD5">
        <w:rPr>
          <w:rFonts w:ascii="Times New Roman" w:hAnsi="Times New Roman" w:cs="Times New Roman"/>
          <w:sz w:val="24"/>
          <w:szCs w:val="24"/>
        </w:rPr>
        <w:t>Hornstra</w:t>
      </w:r>
      <w:proofErr w:type="spellEnd"/>
      <w:r w:rsidRPr="001D3BD5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1D3BD5">
        <w:rPr>
          <w:rFonts w:ascii="Times New Roman" w:hAnsi="Times New Roman" w:cs="Times New Roman"/>
          <w:sz w:val="24"/>
          <w:szCs w:val="24"/>
        </w:rPr>
        <w:t>Bonsel</w:t>
      </w:r>
      <w:proofErr w:type="spellEnd"/>
      <w:r w:rsidRPr="001D3BD5">
        <w:rPr>
          <w:rFonts w:ascii="Times New Roman" w:hAnsi="Times New Roman" w:cs="Times New Roman"/>
          <w:sz w:val="24"/>
          <w:szCs w:val="24"/>
        </w:rPr>
        <w:t xml:space="preserve"> GJ. Can whole-blood samples be stored over 24 hours without compromising stability of C-reactive protein, retinol, ferritin, folic acid, and fatty acids in epidemiologic research? </w:t>
      </w:r>
      <w:proofErr w:type="spellStart"/>
      <w:r w:rsidRPr="001D3BD5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1D3BD5">
        <w:rPr>
          <w:rFonts w:ascii="Times New Roman" w:hAnsi="Times New Roman" w:cs="Times New Roman"/>
          <w:sz w:val="24"/>
          <w:szCs w:val="24"/>
        </w:rPr>
        <w:t xml:space="preserve"> Chem. 2005</w:t>
      </w:r>
      <w:proofErr w:type="gramStart"/>
      <w:r w:rsidRPr="001D3BD5">
        <w:rPr>
          <w:rFonts w:ascii="Times New Roman" w:hAnsi="Times New Roman" w:cs="Times New Roman"/>
          <w:sz w:val="24"/>
          <w:szCs w:val="24"/>
        </w:rPr>
        <w:t>;51:230</w:t>
      </w:r>
      <w:proofErr w:type="gramEnd"/>
      <w:r w:rsidRPr="001D3BD5">
        <w:rPr>
          <w:rFonts w:ascii="Times New Roman" w:hAnsi="Times New Roman" w:cs="Times New Roman"/>
          <w:sz w:val="24"/>
          <w:szCs w:val="24"/>
        </w:rPr>
        <w:t>–2.</w:t>
      </w:r>
    </w:p>
    <w:p w14:paraId="03A6FA0A" w14:textId="7507A196" w:rsidR="00F668CC" w:rsidRPr="001D3BD5" w:rsidRDefault="00F668CC" w:rsidP="00F26CC2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1D3BD5">
        <w:rPr>
          <w:rFonts w:ascii="Times New Roman" w:hAnsi="Times New Roman" w:cs="Times New Roman"/>
          <w:sz w:val="24"/>
          <w:szCs w:val="24"/>
        </w:rPr>
        <w:lastRenderedPageBreak/>
        <w:t xml:space="preserve">Zhang DJ, </w:t>
      </w:r>
      <w:proofErr w:type="spellStart"/>
      <w:r w:rsidRPr="001D3BD5">
        <w:rPr>
          <w:rFonts w:ascii="Times New Roman" w:hAnsi="Times New Roman" w:cs="Times New Roman"/>
          <w:sz w:val="24"/>
          <w:szCs w:val="24"/>
        </w:rPr>
        <w:t>Elswick</w:t>
      </w:r>
      <w:proofErr w:type="spellEnd"/>
      <w:r w:rsidRPr="001D3BD5">
        <w:rPr>
          <w:rFonts w:ascii="Times New Roman" w:hAnsi="Times New Roman" w:cs="Times New Roman"/>
          <w:sz w:val="24"/>
          <w:szCs w:val="24"/>
        </w:rPr>
        <w:t xml:space="preserve"> RK, Miller G, Bailey JL. Effect of serum-clot contact time on clinical chemistry laboratory results. </w:t>
      </w:r>
      <w:proofErr w:type="spellStart"/>
      <w:r w:rsidRPr="001D3BD5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1D3BD5">
        <w:rPr>
          <w:rFonts w:ascii="Times New Roman" w:hAnsi="Times New Roman" w:cs="Times New Roman"/>
          <w:sz w:val="24"/>
          <w:szCs w:val="24"/>
        </w:rPr>
        <w:t xml:space="preserve"> Chem. 1998</w:t>
      </w:r>
      <w:proofErr w:type="gramStart"/>
      <w:r w:rsidRPr="001D3BD5">
        <w:rPr>
          <w:rFonts w:ascii="Times New Roman" w:hAnsi="Times New Roman" w:cs="Times New Roman"/>
          <w:sz w:val="24"/>
          <w:szCs w:val="24"/>
        </w:rPr>
        <w:t>;44</w:t>
      </w:r>
      <w:proofErr w:type="gramEnd"/>
      <w:r w:rsidRPr="001D3BD5">
        <w:rPr>
          <w:rFonts w:ascii="Times New Roman" w:hAnsi="Times New Roman" w:cs="Times New Roman"/>
          <w:sz w:val="24"/>
          <w:szCs w:val="24"/>
        </w:rPr>
        <w:t>: 1325–33.</w:t>
      </w:r>
    </w:p>
    <w:p w14:paraId="40CEDF45" w14:textId="1B2E1CFB" w:rsidR="00F668CC" w:rsidRPr="001D3BD5" w:rsidRDefault="00F668CC" w:rsidP="00F26CC2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1D3BD5">
        <w:rPr>
          <w:rFonts w:ascii="Times New Roman" w:hAnsi="Times New Roman" w:cs="Times New Roman"/>
          <w:sz w:val="24"/>
          <w:szCs w:val="24"/>
        </w:rPr>
        <w:t xml:space="preserve">Drammeh BS, Schleicher RL, Pfeiffer CM, Jain RB, Zhang M, Nguyen PH. Effects of delayed sample processing and freezing on serum concentrations of selected nutritional indicators. </w:t>
      </w:r>
      <w:proofErr w:type="spellStart"/>
      <w:r w:rsidRPr="001D3BD5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1D3BD5">
        <w:rPr>
          <w:rFonts w:ascii="Times New Roman" w:hAnsi="Times New Roman" w:cs="Times New Roman"/>
          <w:sz w:val="24"/>
          <w:szCs w:val="24"/>
        </w:rPr>
        <w:t xml:space="preserve"> Chem. 2008</w:t>
      </w:r>
      <w:proofErr w:type="gramStart"/>
      <w:r w:rsidRPr="001D3BD5">
        <w:rPr>
          <w:rFonts w:ascii="Times New Roman" w:hAnsi="Times New Roman" w:cs="Times New Roman"/>
          <w:sz w:val="24"/>
          <w:szCs w:val="24"/>
        </w:rPr>
        <w:t>;54:1883</w:t>
      </w:r>
      <w:proofErr w:type="gramEnd"/>
      <w:r w:rsidRPr="001D3BD5">
        <w:rPr>
          <w:rFonts w:ascii="Times New Roman" w:hAnsi="Times New Roman" w:cs="Times New Roman"/>
          <w:sz w:val="24"/>
          <w:szCs w:val="24"/>
        </w:rPr>
        <w:t>–91.</w:t>
      </w:r>
    </w:p>
    <w:p w14:paraId="72ECF482" w14:textId="2192729A" w:rsidR="00F668CC" w:rsidRPr="001D3BD5" w:rsidRDefault="00F26CC2" w:rsidP="00F26CC2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1D3BD5">
        <w:rPr>
          <w:rFonts w:ascii="Times New Roman" w:hAnsi="Times New Roman" w:cs="Times New Roman"/>
          <w:sz w:val="24"/>
          <w:szCs w:val="24"/>
        </w:rPr>
        <w:t xml:space="preserve">Jansen EHJM, </w:t>
      </w:r>
      <w:proofErr w:type="spellStart"/>
      <w:r w:rsidRPr="001D3BD5">
        <w:rPr>
          <w:rFonts w:ascii="Times New Roman" w:hAnsi="Times New Roman" w:cs="Times New Roman"/>
          <w:sz w:val="24"/>
          <w:szCs w:val="24"/>
        </w:rPr>
        <w:t>Beekhof</w:t>
      </w:r>
      <w:proofErr w:type="spellEnd"/>
      <w:r w:rsidRPr="001D3BD5">
        <w:rPr>
          <w:rFonts w:ascii="Times New Roman" w:hAnsi="Times New Roman" w:cs="Times New Roman"/>
          <w:sz w:val="24"/>
          <w:szCs w:val="24"/>
        </w:rPr>
        <w:t xml:space="preserve"> PK, Schenk E. Long-term stability of biomarkers of the iron status in human serum and plasma. Biomarkers</w:t>
      </w:r>
      <w:r w:rsidR="001D3BD5">
        <w:rPr>
          <w:rFonts w:ascii="Times New Roman" w:hAnsi="Times New Roman" w:cs="Times New Roman"/>
          <w:sz w:val="24"/>
          <w:szCs w:val="24"/>
        </w:rPr>
        <w:t>.</w:t>
      </w:r>
      <w:r w:rsidRPr="001D3BD5">
        <w:rPr>
          <w:rFonts w:ascii="Times New Roman" w:hAnsi="Times New Roman" w:cs="Times New Roman"/>
          <w:sz w:val="24"/>
          <w:szCs w:val="24"/>
        </w:rPr>
        <w:t xml:space="preserve"> 2013</w:t>
      </w:r>
      <w:proofErr w:type="gramStart"/>
      <w:r w:rsidRPr="001D3BD5">
        <w:rPr>
          <w:rFonts w:ascii="Times New Roman" w:hAnsi="Times New Roman" w:cs="Times New Roman"/>
          <w:sz w:val="24"/>
          <w:szCs w:val="24"/>
        </w:rPr>
        <w:t>;18:365</w:t>
      </w:r>
      <w:proofErr w:type="gramEnd"/>
      <w:r w:rsidRPr="001D3BD5">
        <w:rPr>
          <w:rFonts w:ascii="Times New Roman" w:hAnsi="Times New Roman" w:cs="Times New Roman"/>
          <w:sz w:val="24"/>
          <w:szCs w:val="24"/>
        </w:rPr>
        <w:t>–8.</w:t>
      </w:r>
    </w:p>
    <w:p w14:paraId="41DF6C82" w14:textId="3C76782D" w:rsidR="00F26CC2" w:rsidRPr="001D3BD5" w:rsidRDefault="00347C73" w:rsidP="00F26CC2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1D3BD5">
        <w:rPr>
          <w:rFonts w:ascii="Times New Roman" w:hAnsi="Times New Roman" w:cs="Times New Roman"/>
          <w:sz w:val="24"/>
          <w:szCs w:val="24"/>
        </w:rPr>
        <w:t xml:space="preserve">Pearce CJ, Bosomworth MP. Storage of heparinized blood. Ann </w:t>
      </w:r>
      <w:proofErr w:type="spellStart"/>
      <w:r w:rsidRPr="001D3BD5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1D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D5">
        <w:rPr>
          <w:rFonts w:ascii="Times New Roman" w:hAnsi="Times New Roman" w:cs="Times New Roman"/>
          <w:sz w:val="24"/>
          <w:szCs w:val="24"/>
        </w:rPr>
        <w:t>Biochem</w:t>
      </w:r>
      <w:proofErr w:type="spellEnd"/>
      <w:r w:rsidR="00EA3DF8" w:rsidRPr="001D3BD5">
        <w:rPr>
          <w:rFonts w:ascii="Times New Roman" w:hAnsi="Times New Roman" w:cs="Times New Roman"/>
          <w:sz w:val="24"/>
          <w:szCs w:val="24"/>
        </w:rPr>
        <w:t>.</w:t>
      </w:r>
      <w:r w:rsidRPr="001D3BD5">
        <w:rPr>
          <w:rFonts w:ascii="Times New Roman" w:hAnsi="Times New Roman" w:cs="Times New Roman"/>
          <w:sz w:val="24"/>
          <w:szCs w:val="24"/>
        </w:rPr>
        <w:t xml:space="preserve"> 1991</w:t>
      </w:r>
      <w:proofErr w:type="gramStart"/>
      <w:r w:rsidRPr="001D3BD5">
        <w:rPr>
          <w:rFonts w:ascii="Times New Roman" w:hAnsi="Times New Roman" w:cs="Times New Roman"/>
          <w:sz w:val="24"/>
          <w:szCs w:val="24"/>
        </w:rPr>
        <w:t>;28:112</w:t>
      </w:r>
      <w:proofErr w:type="gramEnd"/>
      <w:r w:rsidRPr="001D3BD5">
        <w:rPr>
          <w:rFonts w:ascii="Times New Roman" w:hAnsi="Times New Roman" w:cs="Times New Roman"/>
          <w:sz w:val="24"/>
          <w:szCs w:val="24"/>
        </w:rPr>
        <w:t>.</w:t>
      </w:r>
    </w:p>
    <w:p w14:paraId="2EC1189D" w14:textId="33240812" w:rsidR="00347C73" w:rsidRPr="001D3BD5" w:rsidRDefault="009136E6" w:rsidP="00F26CC2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1D3BD5">
        <w:rPr>
          <w:rFonts w:ascii="Times New Roman" w:hAnsi="Times New Roman" w:cs="Times New Roman"/>
          <w:sz w:val="24"/>
          <w:szCs w:val="24"/>
        </w:rPr>
        <w:t xml:space="preserve">Wilding P, </w:t>
      </w:r>
      <w:proofErr w:type="spellStart"/>
      <w:r w:rsidRPr="001D3BD5">
        <w:rPr>
          <w:rFonts w:ascii="Times New Roman" w:hAnsi="Times New Roman" w:cs="Times New Roman"/>
          <w:sz w:val="24"/>
          <w:szCs w:val="24"/>
        </w:rPr>
        <w:t>Zilva</w:t>
      </w:r>
      <w:proofErr w:type="spellEnd"/>
      <w:r w:rsidRPr="001D3BD5">
        <w:rPr>
          <w:rFonts w:ascii="Times New Roman" w:hAnsi="Times New Roman" w:cs="Times New Roman"/>
          <w:sz w:val="24"/>
          <w:szCs w:val="24"/>
        </w:rPr>
        <w:t xml:space="preserve"> JA, Wilde CE. Transport of specimens for clinical chemistry analysis. Ann </w:t>
      </w:r>
      <w:proofErr w:type="spellStart"/>
      <w:r w:rsidRPr="001D3BD5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1D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D5">
        <w:rPr>
          <w:rFonts w:ascii="Times New Roman" w:hAnsi="Times New Roman" w:cs="Times New Roman"/>
          <w:sz w:val="24"/>
          <w:szCs w:val="24"/>
        </w:rPr>
        <w:t>Biochem</w:t>
      </w:r>
      <w:proofErr w:type="spellEnd"/>
      <w:r w:rsidRPr="001D3BD5">
        <w:rPr>
          <w:rFonts w:ascii="Times New Roman" w:hAnsi="Times New Roman" w:cs="Times New Roman"/>
          <w:sz w:val="24"/>
          <w:szCs w:val="24"/>
        </w:rPr>
        <w:t>. 1977</w:t>
      </w:r>
      <w:proofErr w:type="gramStart"/>
      <w:r w:rsidRPr="001D3BD5">
        <w:rPr>
          <w:rFonts w:ascii="Times New Roman" w:hAnsi="Times New Roman" w:cs="Times New Roman"/>
          <w:sz w:val="24"/>
          <w:szCs w:val="24"/>
        </w:rPr>
        <w:t>;14:301</w:t>
      </w:r>
      <w:proofErr w:type="gramEnd"/>
      <w:r w:rsidRPr="001D3BD5">
        <w:rPr>
          <w:rFonts w:ascii="Times New Roman" w:hAnsi="Times New Roman" w:cs="Times New Roman"/>
          <w:sz w:val="24"/>
          <w:szCs w:val="24"/>
        </w:rPr>
        <w:t>–6.</w:t>
      </w:r>
    </w:p>
    <w:p w14:paraId="08565703" w14:textId="395BD042" w:rsidR="009136E6" w:rsidRPr="001D3BD5" w:rsidRDefault="00F06642" w:rsidP="00F26CC2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1D3BD5">
        <w:rPr>
          <w:rFonts w:ascii="Times New Roman" w:hAnsi="Times New Roman" w:cs="Times New Roman"/>
          <w:sz w:val="24"/>
          <w:szCs w:val="24"/>
        </w:rPr>
        <w:t>WHO, CDC. Assessing the iron status of populations: including literature reviews. Report of a Joint World Health Organization/Centers for Disease Control and Prevention Technical Consultation on the Assessment of Iron Status at the Population Level, Geneva, Switzerland, 6–8 April 2004. 2nd ed. Geneva: World Health Organization/ Centers for Disease Control and Prevention, 2007.</w:t>
      </w:r>
    </w:p>
    <w:p w14:paraId="485E7D9E" w14:textId="1C9287F5" w:rsidR="00F06642" w:rsidRPr="001D3BD5" w:rsidRDefault="00EA3DF8" w:rsidP="00F26CC2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D3BD5">
        <w:rPr>
          <w:rFonts w:ascii="Times New Roman" w:hAnsi="Times New Roman" w:cs="Times New Roman"/>
          <w:sz w:val="24"/>
          <w:szCs w:val="24"/>
        </w:rPr>
        <w:t>Hastka</w:t>
      </w:r>
      <w:proofErr w:type="spellEnd"/>
      <w:r w:rsidRPr="001D3BD5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1D3BD5">
        <w:rPr>
          <w:rFonts w:ascii="Times New Roman" w:hAnsi="Times New Roman" w:cs="Times New Roman"/>
          <w:sz w:val="24"/>
          <w:szCs w:val="24"/>
        </w:rPr>
        <w:t>Lasserre</w:t>
      </w:r>
      <w:proofErr w:type="spellEnd"/>
      <w:r w:rsidRPr="001D3BD5">
        <w:rPr>
          <w:rFonts w:ascii="Times New Roman" w:hAnsi="Times New Roman" w:cs="Times New Roman"/>
          <w:sz w:val="24"/>
          <w:szCs w:val="24"/>
        </w:rPr>
        <w:t xml:space="preserve"> JJ, </w:t>
      </w:r>
      <w:proofErr w:type="spellStart"/>
      <w:r w:rsidRPr="001D3BD5">
        <w:rPr>
          <w:rFonts w:ascii="Times New Roman" w:hAnsi="Times New Roman" w:cs="Times New Roman"/>
          <w:sz w:val="24"/>
          <w:szCs w:val="24"/>
        </w:rPr>
        <w:t>Schwarzbeck</w:t>
      </w:r>
      <w:proofErr w:type="spellEnd"/>
      <w:r w:rsidRPr="001D3BD5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1D3BD5">
        <w:rPr>
          <w:rFonts w:ascii="Times New Roman" w:hAnsi="Times New Roman" w:cs="Times New Roman"/>
          <w:sz w:val="24"/>
          <w:szCs w:val="24"/>
        </w:rPr>
        <w:t>Strauch</w:t>
      </w:r>
      <w:proofErr w:type="spellEnd"/>
      <w:r w:rsidRPr="001D3BD5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1D3BD5">
        <w:rPr>
          <w:rFonts w:ascii="Times New Roman" w:hAnsi="Times New Roman" w:cs="Times New Roman"/>
          <w:sz w:val="24"/>
          <w:szCs w:val="24"/>
        </w:rPr>
        <w:t>Hehlmann</w:t>
      </w:r>
      <w:proofErr w:type="spellEnd"/>
      <w:r w:rsidRPr="001D3BD5">
        <w:rPr>
          <w:rFonts w:ascii="Times New Roman" w:hAnsi="Times New Roman" w:cs="Times New Roman"/>
          <w:sz w:val="24"/>
          <w:szCs w:val="24"/>
        </w:rPr>
        <w:t xml:space="preserve"> R. Washing erythrocytes to remove </w:t>
      </w:r>
      <w:proofErr w:type="spellStart"/>
      <w:r w:rsidRPr="001D3BD5">
        <w:rPr>
          <w:rFonts w:ascii="Times New Roman" w:hAnsi="Times New Roman" w:cs="Times New Roman"/>
          <w:sz w:val="24"/>
          <w:szCs w:val="24"/>
        </w:rPr>
        <w:t>interferents</w:t>
      </w:r>
      <w:proofErr w:type="spellEnd"/>
      <w:r w:rsidRPr="001D3BD5">
        <w:rPr>
          <w:rFonts w:ascii="Times New Roman" w:hAnsi="Times New Roman" w:cs="Times New Roman"/>
          <w:sz w:val="24"/>
          <w:szCs w:val="24"/>
        </w:rPr>
        <w:t xml:space="preserve"> in measurements of zinc </w:t>
      </w:r>
      <w:proofErr w:type="spellStart"/>
      <w:r w:rsidRPr="001D3BD5">
        <w:rPr>
          <w:rFonts w:ascii="Times New Roman" w:hAnsi="Times New Roman" w:cs="Times New Roman"/>
          <w:sz w:val="24"/>
          <w:szCs w:val="24"/>
        </w:rPr>
        <w:t>protoporphyrin</w:t>
      </w:r>
      <w:proofErr w:type="spellEnd"/>
      <w:r w:rsidRPr="001D3BD5">
        <w:rPr>
          <w:rFonts w:ascii="Times New Roman" w:hAnsi="Times New Roman" w:cs="Times New Roman"/>
          <w:sz w:val="24"/>
          <w:szCs w:val="24"/>
        </w:rPr>
        <w:t xml:space="preserve"> by font-face </w:t>
      </w:r>
      <w:proofErr w:type="spellStart"/>
      <w:r w:rsidRPr="001D3BD5">
        <w:rPr>
          <w:rFonts w:ascii="Times New Roman" w:hAnsi="Times New Roman" w:cs="Times New Roman"/>
          <w:sz w:val="24"/>
          <w:szCs w:val="24"/>
        </w:rPr>
        <w:t>hematofluorometry</w:t>
      </w:r>
      <w:proofErr w:type="spellEnd"/>
      <w:r w:rsidRPr="001D3B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3BD5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1D3BD5">
        <w:rPr>
          <w:rFonts w:ascii="Times New Roman" w:hAnsi="Times New Roman" w:cs="Times New Roman"/>
          <w:sz w:val="24"/>
          <w:szCs w:val="24"/>
        </w:rPr>
        <w:t xml:space="preserve"> Chem. 1992</w:t>
      </w:r>
      <w:proofErr w:type="gramStart"/>
      <w:r w:rsidRPr="001D3BD5">
        <w:rPr>
          <w:rFonts w:ascii="Times New Roman" w:hAnsi="Times New Roman" w:cs="Times New Roman"/>
          <w:sz w:val="24"/>
          <w:szCs w:val="24"/>
        </w:rPr>
        <w:t>;38:2184</w:t>
      </w:r>
      <w:proofErr w:type="gramEnd"/>
      <w:r w:rsidRPr="001D3BD5">
        <w:rPr>
          <w:rFonts w:ascii="Times New Roman" w:hAnsi="Times New Roman" w:cs="Times New Roman"/>
          <w:sz w:val="24"/>
          <w:szCs w:val="24"/>
        </w:rPr>
        <w:t>–9.</w:t>
      </w:r>
    </w:p>
    <w:p w14:paraId="5565F347" w14:textId="0B2D3556" w:rsidR="00EA3DF8" w:rsidRPr="001D3BD5" w:rsidRDefault="00EA3DF8" w:rsidP="00F26CC2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1D3BD5">
        <w:rPr>
          <w:rFonts w:ascii="Times New Roman" w:hAnsi="Times New Roman" w:cs="Times New Roman"/>
          <w:sz w:val="24"/>
          <w:szCs w:val="24"/>
        </w:rPr>
        <w:t>Labb</w:t>
      </w:r>
      <w:r w:rsidR="00813A14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1D3BD5">
        <w:rPr>
          <w:rFonts w:ascii="Times New Roman" w:hAnsi="Times New Roman" w:cs="Times New Roman"/>
          <w:sz w:val="24"/>
          <w:szCs w:val="24"/>
        </w:rPr>
        <w:t xml:space="preserve"> RF, </w:t>
      </w:r>
      <w:proofErr w:type="spellStart"/>
      <w:r w:rsidRPr="001D3BD5">
        <w:rPr>
          <w:rFonts w:ascii="Times New Roman" w:hAnsi="Times New Roman" w:cs="Times New Roman"/>
          <w:sz w:val="24"/>
          <w:szCs w:val="24"/>
        </w:rPr>
        <w:t>Dewanji</w:t>
      </w:r>
      <w:proofErr w:type="spellEnd"/>
      <w:r w:rsidRPr="001D3BD5">
        <w:rPr>
          <w:rFonts w:ascii="Times New Roman" w:hAnsi="Times New Roman" w:cs="Times New Roman"/>
          <w:sz w:val="24"/>
          <w:szCs w:val="24"/>
        </w:rPr>
        <w:t xml:space="preserve"> A, McLaughlin K. Observations on zinc </w:t>
      </w:r>
      <w:proofErr w:type="spellStart"/>
      <w:r w:rsidRPr="001D3BD5">
        <w:rPr>
          <w:rFonts w:ascii="Times New Roman" w:hAnsi="Times New Roman" w:cs="Times New Roman"/>
          <w:sz w:val="24"/>
          <w:szCs w:val="24"/>
        </w:rPr>
        <w:t>protoporphyrin</w:t>
      </w:r>
      <w:proofErr w:type="spellEnd"/>
      <w:r w:rsidRPr="001D3B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D3BD5">
        <w:rPr>
          <w:rFonts w:ascii="Times New Roman" w:hAnsi="Times New Roman" w:cs="Times New Roman"/>
          <w:sz w:val="24"/>
          <w:szCs w:val="24"/>
        </w:rPr>
        <w:t>heme</w:t>
      </w:r>
      <w:proofErr w:type="spellEnd"/>
      <w:r w:rsidRPr="001D3BD5">
        <w:rPr>
          <w:rFonts w:ascii="Times New Roman" w:hAnsi="Times New Roman" w:cs="Times New Roman"/>
          <w:sz w:val="24"/>
          <w:szCs w:val="24"/>
        </w:rPr>
        <w:t xml:space="preserve"> ratio in whole blood. </w:t>
      </w:r>
      <w:proofErr w:type="spellStart"/>
      <w:r w:rsidRPr="001D3BD5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1D3BD5">
        <w:rPr>
          <w:rFonts w:ascii="Times New Roman" w:hAnsi="Times New Roman" w:cs="Times New Roman"/>
          <w:sz w:val="24"/>
          <w:szCs w:val="24"/>
        </w:rPr>
        <w:t xml:space="preserve"> Chem. 1999</w:t>
      </w:r>
      <w:proofErr w:type="gramStart"/>
      <w:r w:rsidRPr="001D3BD5">
        <w:rPr>
          <w:rFonts w:ascii="Times New Roman" w:hAnsi="Times New Roman" w:cs="Times New Roman"/>
          <w:sz w:val="24"/>
          <w:szCs w:val="24"/>
        </w:rPr>
        <w:t>;45:146</w:t>
      </w:r>
      <w:proofErr w:type="gramEnd"/>
      <w:r w:rsidRPr="001D3BD5">
        <w:rPr>
          <w:rFonts w:ascii="Times New Roman" w:hAnsi="Times New Roman" w:cs="Times New Roman"/>
          <w:sz w:val="24"/>
          <w:szCs w:val="24"/>
        </w:rPr>
        <w:t>–8.</w:t>
      </w:r>
    </w:p>
    <w:p w14:paraId="533E7D83" w14:textId="17490251" w:rsidR="00EA3DF8" w:rsidRPr="001D3BD5" w:rsidRDefault="00EA3DF8" w:rsidP="00F26CC2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1D3BD5">
        <w:rPr>
          <w:rFonts w:ascii="Times New Roman" w:hAnsi="Times New Roman" w:cs="Times New Roman"/>
          <w:sz w:val="24"/>
          <w:szCs w:val="24"/>
        </w:rPr>
        <w:t xml:space="preserve">Whitehead RD Jr, Zhang M, Sternberg MR, Schleicher RL, Drammeh B, Mapango C, Pfeiffer CM. Effects of </w:t>
      </w:r>
      <w:proofErr w:type="spellStart"/>
      <w:r w:rsidRPr="001D3BD5">
        <w:rPr>
          <w:rFonts w:ascii="Times New Roman" w:hAnsi="Times New Roman" w:cs="Times New Roman"/>
          <w:sz w:val="24"/>
          <w:szCs w:val="24"/>
        </w:rPr>
        <w:t>preanalytical</w:t>
      </w:r>
      <w:proofErr w:type="spellEnd"/>
      <w:r w:rsidRPr="001D3BD5">
        <w:rPr>
          <w:rFonts w:ascii="Times New Roman" w:hAnsi="Times New Roman" w:cs="Times New Roman"/>
          <w:sz w:val="24"/>
          <w:szCs w:val="24"/>
        </w:rPr>
        <w:t xml:space="preserve"> factors on hemoglobin measurement: a comparison of two </w:t>
      </w:r>
      <w:proofErr w:type="spellStart"/>
      <w:r w:rsidRPr="001D3BD5">
        <w:rPr>
          <w:rFonts w:ascii="Times New Roman" w:hAnsi="Times New Roman" w:cs="Times New Roman"/>
          <w:sz w:val="24"/>
          <w:szCs w:val="24"/>
        </w:rPr>
        <w:t>HemoCue</w:t>
      </w:r>
      <w:proofErr w:type="spellEnd"/>
      <w:r w:rsidRPr="001D3BD5">
        <w:rPr>
          <w:rFonts w:ascii="Times New Roman" w:hAnsi="Times New Roman" w:cs="Times New Roman"/>
          <w:sz w:val="24"/>
          <w:szCs w:val="24"/>
        </w:rPr>
        <w:t xml:space="preserve">® point-of-care analyzers. </w:t>
      </w:r>
      <w:proofErr w:type="spellStart"/>
      <w:r w:rsidR="006A7C39" w:rsidRPr="001D3BD5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="006A7C39" w:rsidRPr="001D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C39" w:rsidRPr="001D3BD5">
        <w:rPr>
          <w:rFonts w:ascii="Times New Roman" w:hAnsi="Times New Roman" w:cs="Times New Roman"/>
          <w:sz w:val="24"/>
          <w:szCs w:val="24"/>
        </w:rPr>
        <w:t>Biochem</w:t>
      </w:r>
      <w:proofErr w:type="spellEnd"/>
      <w:r w:rsidR="006A7C39" w:rsidRPr="001D3BD5">
        <w:rPr>
          <w:rFonts w:ascii="Times New Roman" w:hAnsi="Times New Roman" w:cs="Times New Roman"/>
          <w:sz w:val="24"/>
          <w:szCs w:val="24"/>
        </w:rPr>
        <w:t>. 2017</w:t>
      </w:r>
      <w:r w:rsidR="00E43BBC">
        <w:rPr>
          <w:rFonts w:ascii="Times New Roman" w:hAnsi="Times New Roman" w:cs="Times New Roman"/>
          <w:sz w:val="24"/>
          <w:szCs w:val="24"/>
        </w:rPr>
        <w:t>; http://dx.doi.org/10.1016.j.clinbiochem.2017.04.006.</w:t>
      </w:r>
    </w:p>
    <w:p w14:paraId="6714328B" w14:textId="0B53947C" w:rsidR="006A7C39" w:rsidRPr="001D3BD5" w:rsidRDefault="006A7C39" w:rsidP="00F26CC2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1D3BD5">
        <w:rPr>
          <w:rFonts w:ascii="Times New Roman" w:hAnsi="Times New Roman" w:cs="Times New Roman"/>
          <w:sz w:val="24"/>
          <w:szCs w:val="24"/>
        </w:rPr>
        <w:t xml:space="preserve">Conway AM, </w:t>
      </w:r>
      <w:proofErr w:type="spellStart"/>
      <w:r w:rsidRPr="001D3BD5">
        <w:rPr>
          <w:rFonts w:ascii="Times New Roman" w:hAnsi="Times New Roman" w:cs="Times New Roman"/>
          <w:sz w:val="24"/>
          <w:szCs w:val="24"/>
        </w:rPr>
        <w:t>Hichliffe</w:t>
      </w:r>
      <w:proofErr w:type="spellEnd"/>
      <w:r w:rsidRPr="001D3BD5">
        <w:rPr>
          <w:rFonts w:ascii="Times New Roman" w:hAnsi="Times New Roman" w:cs="Times New Roman"/>
          <w:sz w:val="24"/>
          <w:szCs w:val="24"/>
        </w:rPr>
        <w:t xml:space="preserve"> RF, </w:t>
      </w:r>
      <w:proofErr w:type="spellStart"/>
      <w:r w:rsidRPr="001D3BD5">
        <w:rPr>
          <w:rFonts w:ascii="Times New Roman" w:hAnsi="Times New Roman" w:cs="Times New Roman"/>
          <w:sz w:val="24"/>
          <w:szCs w:val="24"/>
        </w:rPr>
        <w:t>Earland</w:t>
      </w:r>
      <w:proofErr w:type="spellEnd"/>
      <w:r w:rsidRPr="001D3BD5">
        <w:rPr>
          <w:rFonts w:ascii="Times New Roman" w:hAnsi="Times New Roman" w:cs="Times New Roman"/>
          <w:sz w:val="24"/>
          <w:szCs w:val="24"/>
        </w:rPr>
        <w:t xml:space="preserve"> J, Anderson LM. Measurement of </w:t>
      </w:r>
      <w:proofErr w:type="spellStart"/>
      <w:r w:rsidRPr="001D3BD5">
        <w:rPr>
          <w:rFonts w:ascii="Times New Roman" w:hAnsi="Times New Roman" w:cs="Times New Roman"/>
          <w:sz w:val="24"/>
          <w:szCs w:val="24"/>
        </w:rPr>
        <w:t>haemoglobin</w:t>
      </w:r>
      <w:proofErr w:type="spellEnd"/>
      <w:r w:rsidRPr="001D3BD5">
        <w:rPr>
          <w:rFonts w:ascii="Times New Roman" w:hAnsi="Times New Roman" w:cs="Times New Roman"/>
          <w:sz w:val="24"/>
          <w:szCs w:val="24"/>
        </w:rPr>
        <w:t xml:space="preserve"> using single drop of skin puncture blood: is precision acceptable? J </w:t>
      </w:r>
      <w:proofErr w:type="spellStart"/>
      <w:r w:rsidRPr="001D3BD5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1D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BD5">
        <w:rPr>
          <w:rFonts w:ascii="Times New Roman" w:hAnsi="Times New Roman" w:cs="Times New Roman"/>
          <w:sz w:val="24"/>
          <w:szCs w:val="24"/>
        </w:rPr>
        <w:t>Pathol</w:t>
      </w:r>
      <w:proofErr w:type="spellEnd"/>
      <w:r w:rsidRPr="001D3BD5">
        <w:rPr>
          <w:rFonts w:ascii="Times New Roman" w:hAnsi="Times New Roman" w:cs="Times New Roman"/>
          <w:sz w:val="24"/>
          <w:szCs w:val="24"/>
        </w:rPr>
        <w:t>. 1998</w:t>
      </w:r>
      <w:proofErr w:type="gramStart"/>
      <w:r w:rsidRPr="001D3BD5">
        <w:rPr>
          <w:rFonts w:ascii="Times New Roman" w:hAnsi="Times New Roman" w:cs="Times New Roman"/>
          <w:sz w:val="24"/>
          <w:szCs w:val="24"/>
        </w:rPr>
        <w:t>;51:248</w:t>
      </w:r>
      <w:proofErr w:type="gramEnd"/>
      <w:r w:rsidRPr="001D3BD5">
        <w:rPr>
          <w:rFonts w:ascii="Times New Roman" w:hAnsi="Times New Roman" w:cs="Times New Roman"/>
          <w:sz w:val="24"/>
          <w:szCs w:val="24"/>
        </w:rPr>
        <w:t>–50.</w:t>
      </w:r>
    </w:p>
    <w:p w14:paraId="4E9F9916" w14:textId="77777777" w:rsidR="006A7C39" w:rsidRPr="009260F6" w:rsidRDefault="006A7C39" w:rsidP="009260F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6A97C76" w14:textId="04981FB3" w:rsidR="005C3212" w:rsidRPr="00F668CC" w:rsidRDefault="005C3212" w:rsidP="00F668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668CC">
        <w:rPr>
          <w:rFonts w:ascii="Times New Roman" w:hAnsi="Times New Roman" w:cs="Times New Roman"/>
          <w:sz w:val="24"/>
          <w:szCs w:val="24"/>
        </w:rPr>
        <w:br w:type="page"/>
      </w:r>
    </w:p>
    <w:p w14:paraId="6F189A40" w14:textId="34B0201A" w:rsidR="005C3212" w:rsidRDefault="00C57F5D" w:rsidP="005C3212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Supplemental </w:t>
      </w:r>
      <w:r w:rsidR="005C3212" w:rsidRPr="004E4944">
        <w:rPr>
          <w:rFonts w:ascii="Times New Roman" w:hAnsi="Times New Roman" w:cs="Times New Roman"/>
          <w:b/>
          <w:sz w:val="24"/>
        </w:rPr>
        <w:t xml:space="preserve">Table </w:t>
      </w:r>
      <w:r>
        <w:rPr>
          <w:rFonts w:ascii="Times New Roman" w:hAnsi="Times New Roman" w:cs="Times New Roman"/>
          <w:b/>
          <w:sz w:val="24"/>
        </w:rPr>
        <w:t>2</w:t>
      </w:r>
      <w:r w:rsidR="002A6F79">
        <w:rPr>
          <w:rFonts w:ascii="Times New Roman" w:hAnsi="Times New Roman" w:cs="Times New Roman"/>
          <w:b/>
          <w:sz w:val="24"/>
        </w:rPr>
        <w:t xml:space="preserve">. </w:t>
      </w:r>
      <w:r w:rsidR="005C3212">
        <w:rPr>
          <w:rFonts w:ascii="Times New Roman" w:hAnsi="Times New Roman" w:cs="Times New Roman"/>
          <w:sz w:val="24"/>
        </w:rPr>
        <w:t>Less common analytical methods to measure biochemical iron status indicators</w:t>
      </w:r>
      <w:r w:rsidR="005C3212" w:rsidRPr="00D31EF1">
        <w:rPr>
          <w:rFonts w:ascii="Times New Roman" w:hAnsi="Times New Roman" w:cs="Times New Roman"/>
          <w:kern w:val="24"/>
          <w:sz w:val="24"/>
          <w:szCs w:val="24"/>
          <w:vertAlign w:val="superscript"/>
        </w:rPr>
        <w:t>1</w:t>
      </w:r>
    </w:p>
    <w:tbl>
      <w:tblPr>
        <w:tblStyle w:val="TableGrid"/>
        <w:tblW w:w="1324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2304"/>
        <w:gridCol w:w="4176"/>
        <w:gridCol w:w="5472"/>
      </w:tblGrid>
      <w:tr w:rsidR="005C3212" w14:paraId="39E7E3A6" w14:textId="77777777" w:rsidTr="0074699E"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1DE26BDC" w14:textId="77777777" w:rsidR="005C3212" w:rsidRPr="004E4944" w:rsidRDefault="005C3212" w:rsidP="0074699E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Indicator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14:paraId="12508BE6" w14:textId="77777777" w:rsidR="005C3212" w:rsidRPr="004E4944" w:rsidRDefault="005C3212" w:rsidP="0074699E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Assay</w:t>
            </w:r>
          </w:p>
        </w:tc>
        <w:tc>
          <w:tcPr>
            <w:tcW w:w="4176" w:type="dxa"/>
            <w:tcBorders>
              <w:top w:val="single" w:sz="4" w:space="0" w:color="auto"/>
              <w:bottom w:val="single" w:sz="4" w:space="0" w:color="auto"/>
            </w:tcBorders>
          </w:tcPr>
          <w:p w14:paraId="3713BA24" w14:textId="77777777" w:rsidR="005C3212" w:rsidRPr="004E4944" w:rsidRDefault="005C3212" w:rsidP="0074699E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Advantages</w:t>
            </w:r>
          </w:p>
        </w:tc>
        <w:tc>
          <w:tcPr>
            <w:tcW w:w="5472" w:type="dxa"/>
            <w:tcBorders>
              <w:top w:val="single" w:sz="4" w:space="0" w:color="auto"/>
              <w:bottom w:val="single" w:sz="4" w:space="0" w:color="auto"/>
            </w:tcBorders>
          </w:tcPr>
          <w:p w14:paraId="0AD8CAC7" w14:textId="77777777" w:rsidR="005C3212" w:rsidRPr="004E4944" w:rsidRDefault="005C3212" w:rsidP="0074699E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Disadvantages</w:t>
            </w:r>
          </w:p>
        </w:tc>
      </w:tr>
      <w:tr w:rsidR="005C3212" w14:paraId="462FD287" w14:textId="77777777" w:rsidTr="0074699E">
        <w:tc>
          <w:tcPr>
            <w:tcW w:w="1296" w:type="dxa"/>
            <w:tcBorders>
              <w:top w:val="single" w:sz="4" w:space="0" w:color="auto"/>
              <w:bottom w:val="nil"/>
            </w:tcBorders>
          </w:tcPr>
          <w:p w14:paraId="1015295B" w14:textId="77777777" w:rsidR="005C3212" w:rsidRDefault="005C3212" w:rsidP="0074699E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SF and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sTfR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bottom w:val="nil"/>
            </w:tcBorders>
          </w:tcPr>
          <w:p w14:paraId="16E03791" w14:textId="77777777" w:rsidR="005C3212" w:rsidRDefault="005C3212" w:rsidP="0074699E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ELISA (commercial kit or in-house developed)</w:t>
            </w:r>
          </w:p>
        </w:tc>
        <w:tc>
          <w:tcPr>
            <w:tcW w:w="4176" w:type="dxa"/>
            <w:tcBorders>
              <w:top w:val="single" w:sz="4" w:space="0" w:color="auto"/>
              <w:bottom w:val="nil"/>
            </w:tcBorders>
          </w:tcPr>
          <w:p w14:paraId="32C06F4C" w14:textId="77777777" w:rsidR="005C3212" w:rsidRDefault="005C3212" w:rsidP="0074699E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Requires only small sample volume (≤100 µL); relatively inexpensive instrumentation (microplate reader and plate washer)</w:t>
            </w:r>
          </w:p>
        </w:tc>
        <w:tc>
          <w:tcPr>
            <w:tcW w:w="5472" w:type="dxa"/>
            <w:tcBorders>
              <w:top w:val="single" w:sz="4" w:space="0" w:color="auto"/>
              <w:bottom w:val="nil"/>
            </w:tcBorders>
          </w:tcPr>
          <w:p w14:paraId="1B7A843D" w14:textId="77777777" w:rsidR="005C3212" w:rsidRDefault="005C3212" w:rsidP="0074699E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Manual procedure requires several pipetting steps and adherence to strict timing; limited sample throughput; moderate precision (duplicates needed); moderately expensive reagent costs for commercial kits; in-house assays need to be carefully validated; assays rely on continued availability of suitable antibodies</w:t>
            </w:r>
          </w:p>
        </w:tc>
      </w:tr>
      <w:tr w:rsidR="005C3212" w14:paraId="41B13A4D" w14:textId="77777777" w:rsidTr="0074699E">
        <w:tc>
          <w:tcPr>
            <w:tcW w:w="1296" w:type="dxa"/>
            <w:tcBorders>
              <w:top w:val="nil"/>
            </w:tcBorders>
          </w:tcPr>
          <w:p w14:paraId="33AC71FD" w14:textId="77777777" w:rsidR="005C3212" w:rsidRDefault="005C3212" w:rsidP="0074699E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Iron and TIBC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04" w:type="dxa"/>
            <w:tcBorders>
              <w:top w:val="nil"/>
            </w:tcBorders>
          </w:tcPr>
          <w:p w14:paraId="799DD4CB" w14:textId="77777777" w:rsidR="005C3212" w:rsidRDefault="005C3212" w:rsidP="0074699E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Manual colorimetric assay using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ferrozine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as chromogen</w:t>
            </w:r>
          </w:p>
        </w:tc>
        <w:tc>
          <w:tcPr>
            <w:tcW w:w="4176" w:type="dxa"/>
            <w:tcBorders>
              <w:top w:val="nil"/>
            </w:tcBorders>
          </w:tcPr>
          <w:p w14:paraId="36F96070" w14:textId="77777777" w:rsidR="005C3212" w:rsidRDefault="005C3212" w:rsidP="0074699E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Relatively inexpensive instrumentation (photometer), reagents and supplies</w:t>
            </w:r>
          </w:p>
        </w:tc>
        <w:tc>
          <w:tcPr>
            <w:tcW w:w="5472" w:type="dxa"/>
            <w:tcBorders>
              <w:top w:val="nil"/>
            </w:tcBorders>
          </w:tcPr>
          <w:p w14:paraId="17F589B9" w14:textId="77777777" w:rsidR="005C3212" w:rsidRDefault="005C3212" w:rsidP="0074699E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Manual multi-step assay; high sample volume (≥500 µL serum); moderate precision; need for rigorous elimination of iron contamination</w:t>
            </w:r>
          </w:p>
        </w:tc>
      </w:tr>
      <w:tr w:rsidR="005C3212" w14:paraId="08C58643" w14:textId="77777777" w:rsidTr="0074699E">
        <w:tc>
          <w:tcPr>
            <w:tcW w:w="1296" w:type="dxa"/>
          </w:tcPr>
          <w:p w14:paraId="47166960" w14:textId="77777777" w:rsidR="005C3212" w:rsidRDefault="005C3212" w:rsidP="0074699E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Iron</w:t>
            </w:r>
          </w:p>
        </w:tc>
        <w:tc>
          <w:tcPr>
            <w:tcW w:w="2304" w:type="dxa"/>
          </w:tcPr>
          <w:p w14:paraId="41D553B4" w14:textId="03E80380" w:rsidR="005C3212" w:rsidRPr="009A5C8F" w:rsidRDefault="005C3212" w:rsidP="0074699E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Atomic absorption spectrophotometry</w:t>
            </w:r>
            <w:r w:rsidR="00031D91">
              <w:rPr>
                <w:rFonts w:ascii="Times New Roman" w:hAnsi="Times New Roman" w:cs="Times New Roman"/>
                <w:sz w:val="24"/>
              </w:rPr>
              <w:t xml:space="preserve"> and more recently inductively coupled plasma mass spectrometry</w:t>
            </w:r>
          </w:p>
        </w:tc>
        <w:tc>
          <w:tcPr>
            <w:tcW w:w="4176" w:type="dxa"/>
          </w:tcPr>
          <w:p w14:paraId="2FF8F356" w14:textId="77777777" w:rsidR="005C3212" w:rsidRDefault="005C3212" w:rsidP="0074699E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“Reference-type” assay; relatively simple processing; quick analysis time; good precision</w:t>
            </w:r>
          </w:p>
        </w:tc>
        <w:tc>
          <w:tcPr>
            <w:tcW w:w="5472" w:type="dxa"/>
          </w:tcPr>
          <w:p w14:paraId="7C9C0700" w14:textId="77777777" w:rsidR="005C3212" w:rsidRDefault="005C3212" w:rsidP="0074699E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Relatively expensive instrumentation requires regular maintenance and periodic technical services; not commonly available in clinical laboratories</w:t>
            </w:r>
          </w:p>
        </w:tc>
      </w:tr>
      <w:tr w:rsidR="005C3212" w14:paraId="3C13B2B1" w14:textId="77777777" w:rsidTr="0074699E">
        <w:tc>
          <w:tcPr>
            <w:tcW w:w="1296" w:type="dxa"/>
          </w:tcPr>
          <w:p w14:paraId="1CBC642D" w14:textId="66EAA68E" w:rsidR="005C3212" w:rsidRDefault="005C3212" w:rsidP="0074699E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EP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04" w:type="dxa"/>
          </w:tcPr>
          <w:p w14:paraId="025BCFCB" w14:textId="77777777" w:rsidR="005C3212" w:rsidRDefault="005C3212" w:rsidP="0074699E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Fluorometry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after extraction</w:t>
            </w:r>
          </w:p>
        </w:tc>
        <w:tc>
          <w:tcPr>
            <w:tcW w:w="4176" w:type="dxa"/>
          </w:tcPr>
          <w:p w14:paraId="173F5020" w14:textId="77777777" w:rsidR="005C3212" w:rsidRDefault="005C3212" w:rsidP="0074699E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Frozen EDTA blood can be used; washed erythrocytes can be used to remove fluorescent interferences; small sample volume (≤20 µL); relatively inexpensive instrumentation</w:t>
            </w:r>
          </w:p>
        </w:tc>
        <w:tc>
          <w:tcPr>
            <w:tcW w:w="5472" w:type="dxa"/>
          </w:tcPr>
          <w:p w14:paraId="72F1AA00" w14:textId="77777777" w:rsidR="005C3212" w:rsidRDefault="005C3212" w:rsidP="0074699E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Manual multi-step assay requires chemicals that pose safety hazards; moderate precision (duplicates needed); prone to external fluorescent contamination; work under subdued light conditions; need hematocrit to correct for packed red cells</w:t>
            </w:r>
          </w:p>
        </w:tc>
      </w:tr>
      <w:tr w:rsidR="005C3212" w14:paraId="26ECD584" w14:textId="77777777" w:rsidTr="0074699E">
        <w:tc>
          <w:tcPr>
            <w:tcW w:w="1296" w:type="dxa"/>
          </w:tcPr>
          <w:p w14:paraId="5ABB1155" w14:textId="77777777" w:rsidR="005C3212" w:rsidRDefault="005C3212" w:rsidP="0074699E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ZPP</w:t>
            </w:r>
          </w:p>
        </w:tc>
        <w:tc>
          <w:tcPr>
            <w:tcW w:w="2304" w:type="dxa"/>
          </w:tcPr>
          <w:p w14:paraId="5594CC55" w14:textId="77777777" w:rsidR="005C3212" w:rsidRDefault="005C3212" w:rsidP="0074699E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Hematofluorometer</w:t>
            </w:r>
            <w:proofErr w:type="spellEnd"/>
          </w:p>
        </w:tc>
        <w:tc>
          <w:tcPr>
            <w:tcW w:w="4176" w:type="dxa"/>
          </w:tcPr>
          <w:p w14:paraId="486FCCA5" w14:textId="77777777" w:rsidR="005C3212" w:rsidRDefault="005C3212" w:rsidP="0074699E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Simple and inexpensive instrumentation; can be set up in the field, but not portable; requires only one drop of blood</w:t>
            </w:r>
          </w:p>
        </w:tc>
        <w:tc>
          <w:tcPr>
            <w:tcW w:w="5472" w:type="dxa"/>
          </w:tcPr>
          <w:p w14:paraId="040AA1C6" w14:textId="77777777" w:rsidR="005C3212" w:rsidRDefault="005C3212" w:rsidP="0074699E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Requires freshly collected blood; moderate precision; fluorescent interferences possible; instrument performance not robust</w:t>
            </w:r>
          </w:p>
        </w:tc>
      </w:tr>
    </w:tbl>
    <w:p w14:paraId="66C7DF59" w14:textId="6063E055" w:rsidR="005C3212" w:rsidRDefault="005C3212" w:rsidP="002A6F79">
      <w:pPr>
        <w:spacing w:before="120" w:after="120" w:line="48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31EF1">
        <w:rPr>
          <w:rFonts w:ascii="Times New Roman" w:hAnsi="Times New Roman" w:cs="Times New Roman"/>
          <w:kern w:val="24"/>
          <w:sz w:val="24"/>
          <w:szCs w:val="24"/>
          <w:vertAlign w:val="superscript"/>
        </w:rPr>
        <w:lastRenderedPageBreak/>
        <w:t>1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ELISA, enzyme linked imm</w:t>
      </w:r>
      <w:r w:rsidR="00813A14">
        <w:rPr>
          <w:rFonts w:ascii="Times New Roman" w:hAnsi="Times New Roman" w:cs="Times New Roman"/>
          <w:kern w:val="24"/>
          <w:sz w:val="24"/>
          <w:szCs w:val="24"/>
        </w:rPr>
        <w:t>u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nosorbent assay; EP, erythrocyte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protoporphyrin</w:t>
      </w:r>
      <w:proofErr w:type="spellEnd"/>
      <w:r w:rsidR="009260F6">
        <w:rPr>
          <w:rFonts w:ascii="Times New Roman" w:hAnsi="Times New Roman" w:cs="Times New Roman"/>
          <w:kern w:val="24"/>
          <w:sz w:val="24"/>
          <w:szCs w:val="24"/>
        </w:rPr>
        <w:t>, measured as free EP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; SF, serum ferritin;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sTfR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, soluble transferrin receptor; TIBC, total iron-binding capacity; UIBC, unsaturated iron-binding capacity; ZPP, zinc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protoporphyrin</w:t>
      </w:r>
      <w:proofErr w:type="spellEnd"/>
      <w:r w:rsidR="002A6F79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1CD05497" w14:textId="0836E608" w:rsidR="005C3212" w:rsidRDefault="005C3212" w:rsidP="002A6F79">
      <w:pPr>
        <w:spacing w:after="120" w:line="48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D31EF1">
        <w:rPr>
          <w:rFonts w:ascii="Times New Roman" w:hAnsi="Times New Roman" w:cs="Times New Roman"/>
          <w:kern w:val="24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D31EF1">
        <w:rPr>
          <w:rFonts w:ascii="Times New Roman" w:hAnsi="Times New Roman" w:cs="Times New Roman"/>
          <w:kern w:val="24"/>
          <w:sz w:val="24"/>
          <w:szCs w:val="24"/>
        </w:rPr>
        <w:t>Used in NHANES 1971</w:t>
      </w:r>
      <w:r w:rsidRPr="00D31EF1">
        <w:rPr>
          <w:rFonts w:ascii="Times New Roman" w:hAnsi="Times New Roman" w:cs="Times New Roman"/>
          <w:sz w:val="24"/>
          <w:szCs w:val="24"/>
        </w:rPr>
        <w:t>–</w:t>
      </w:r>
      <w:r w:rsidRPr="00D31EF1">
        <w:rPr>
          <w:rFonts w:ascii="Times New Roman" w:hAnsi="Times New Roman" w:cs="Times New Roman"/>
          <w:kern w:val="24"/>
          <w:sz w:val="24"/>
          <w:szCs w:val="24"/>
        </w:rPr>
        <w:t>2000</w:t>
      </w:r>
      <w:r w:rsidR="002A6F79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7F49F6F9" w14:textId="11B28015" w:rsidR="005C3212" w:rsidRPr="00D31EF1" w:rsidRDefault="005C3212" w:rsidP="002A6F79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D31EF1">
        <w:rPr>
          <w:rFonts w:ascii="Times New Roman" w:hAnsi="Times New Roman" w:cs="Times New Roman"/>
          <w:kern w:val="24"/>
          <w:sz w:val="24"/>
          <w:szCs w:val="24"/>
        </w:rPr>
        <w:t>Used in NHANES 197</w:t>
      </w:r>
      <w:r>
        <w:rPr>
          <w:rFonts w:ascii="Times New Roman" w:hAnsi="Times New Roman" w:cs="Times New Roman"/>
          <w:kern w:val="24"/>
          <w:sz w:val="24"/>
          <w:szCs w:val="24"/>
        </w:rPr>
        <w:t>6</w:t>
      </w:r>
      <w:r w:rsidRPr="00D31EF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kern w:val="24"/>
          <w:sz w:val="24"/>
          <w:szCs w:val="24"/>
        </w:rPr>
        <w:t>2006</w:t>
      </w:r>
      <w:r w:rsidR="002A6F79">
        <w:rPr>
          <w:rFonts w:ascii="Times New Roman" w:hAnsi="Times New Roman" w:cs="Times New Roman"/>
          <w:kern w:val="24"/>
          <w:sz w:val="24"/>
          <w:szCs w:val="24"/>
        </w:rPr>
        <w:t>.</w:t>
      </w:r>
      <w:r w:rsidRPr="00D31EF1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A9572A3" w14:textId="4A115A22" w:rsidR="005C3212" w:rsidRPr="00E30309" w:rsidRDefault="00C57F5D" w:rsidP="002A6F79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</w:t>
      </w:r>
      <w:r w:rsidR="005C3212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E43B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3212" w:rsidRPr="00E30309">
        <w:rPr>
          <w:rFonts w:ascii="Times New Roman" w:hAnsi="Times New Roman" w:cs="Times New Roman"/>
          <w:sz w:val="24"/>
          <w:szCs w:val="24"/>
        </w:rPr>
        <w:t>Iron status indica</w:t>
      </w:r>
      <w:r w:rsidR="005C3212">
        <w:rPr>
          <w:rFonts w:ascii="Times New Roman" w:hAnsi="Times New Roman" w:cs="Times New Roman"/>
          <w:sz w:val="24"/>
          <w:szCs w:val="24"/>
        </w:rPr>
        <w:t>tors measured in NHANES surveys, 1971</w:t>
      </w:r>
      <w:r w:rsidR="005C3212">
        <w:rPr>
          <w:rFonts w:ascii="Times New Roman" w:hAnsi="Times New Roman"/>
          <w:sz w:val="24"/>
          <w:szCs w:val="24"/>
        </w:rPr>
        <w:t>–</w:t>
      </w:r>
      <w:r w:rsidR="005C3212">
        <w:rPr>
          <w:rFonts w:ascii="Times New Roman" w:hAnsi="Times New Roman" w:cs="Times New Roman"/>
          <w:sz w:val="24"/>
          <w:szCs w:val="24"/>
        </w:rPr>
        <w:t>201</w:t>
      </w:r>
      <w:r w:rsidR="005C3212" w:rsidRPr="00E30309">
        <w:rPr>
          <w:rFonts w:ascii="Times New Roman" w:hAnsi="Times New Roman" w:cs="Times New Roman"/>
          <w:sz w:val="24"/>
          <w:szCs w:val="24"/>
        </w:rPr>
        <w:t>6</w:t>
      </w:r>
      <w:r w:rsidR="005C3212" w:rsidRPr="00D5522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C3212" w:rsidRPr="00E30309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1282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1426"/>
        <w:gridCol w:w="1226"/>
        <w:gridCol w:w="1225"/>
        <w:gridCol w:w="1262"/>
        <w:gridCol w:w="1225"/>
        <w:gridCol w:w="1225"/>
        <w:gridCol w:w="1225"/>
        <w:gridCol w:w="1225"/>
        <w:gridCol w:w="1225"/>
      </w:tblGrid>
      <w:tr w:rsidR="005C3212" w:rsidRPr="00D03FC1" w14:paraId="2B532101" w14:textId="77777777" w:rsidTr="0074699E"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225B8E97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rPr>
                <w:sz w:val="22"/>
                <w:szCs w:val="22"/>
              </w:rPr>
            </w:pPr>
            <w:r w:rsidRPr="00D03FC1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Indicator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14:paraId="2D79F340" w14:textId="77777777" w:rsidR="005C3212" w:rsidRPr="00695A2D" w:rsidRDefault="005C3212" w:rsidP="0074699E">
            <w:pPr>
              <w:pStyle w:val="NormalWeb"/>
              <w:spacing w:before="120" w:beforeAutospacing="0" w:after="120" w:afterAutospacing="0"/>
              <w:rPr>
                <w:b/>
                <w:sz w:val="22"/>
                <w:szCs w:val="22"/>
              </w:rPr>
            </w:pPr>
            <w:r w:rsidRPr="00695A2D">
              <w:rPr>
                <w:b/>
                <w:sz w:val="22"/>
                <w:szCs w:val="22"/>
              </w:rPr>
              <w:t>Matrix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14:paraId="3A75A129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22"/>
              </w:rPr>
            </w:pPr>
            <w:r w:rsidRPr="00D03FC1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I </w:t>
            </w:r>
          </w:p>
          <w:p w14:paraId="4DB4839A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22"/>
              </w:rPr>
            </w:pPr>
            <w:r w:rsidRPr="00D03FC1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1971</w:t>
            </w:r>
            <w:r>
              <w:t>–</w:t>
            </w:r>
            <w:r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19</w:t>
            </w:r>
            <w:r w:rsidRPr="00D03FC1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75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14:paraId="21297F64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22"/>
              </w:rPr>
            </w:pPr>
            <w:r w:rsidRPr="00D03FC1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II </w:t>
            </w:r>
          </w:p>
          <w:p w14:paraId="5008EE01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22"/>
              </w:rPr>
            </w:pPr>
            <w:r w:rsidRPr="00D03FC1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1976</w:t>
            </w:r>
            <w:r>
              <w:t>–</w:t>
            </w:r>
            <w:r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19</w:t>
            </w:r>
            <w:r w:rsidRPr="00D03FC1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80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019F6B91" w14:textId="77777777" w:rsidR="005C3212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b/>
                <w:sz w:val="22"/>
                <w:szCs w:val="22"/>
              </w:rPr>
            </w:pPr>
            <w:r w:rsidRPr="00D03FC1">
              <w:rPr>
                <w:b/>
                <w:sz w:val="22"/>
                <w:szCs w:val="22"/>
              </w:rPr>
              <w:t>Hispanic</w:t>
            </w:r>
          </w:p>
          <w:p w14:paraId="5BEE4CED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b/>
                <w:sz w:val="22"/>
                <w:szCs w:val="22"/>
              </w:rPr>
            </w:pPr>
            <w:r w:rsidRPr="00D03FC1">
              <w:rPr>
                <w:b/>
                <w:sz w:val="22"/>
                <w:szCs w:val="22"/>
              </w:rPr>
              <w:t>1982</w:t>
            </w:r>
            <w:r>
              <w:t>–</w:t>
            </w:r>
            <w:r>
              <w:rPr>
                <w:b/>
                <w:sz w:val="22"/>
                <w:szCs w:val="22"/>
              </w:rPr>
              <w:t>19</w:t>
            </w:r>
            <w:r w:rsidRPr="00D03FC1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14:paraId="600A033A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22"/>
              </w:rPr>
            </w:pPr>
            <w:r w:rsidRPr="00D03FC1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III </w:t>
            </w:r>
          </w:p>
          <w:p w14:paraId="7B2AB949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22"/>
              </w:rPr>
            </w:pPr>
            <w:r w:rsidRPr="00D03FC1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1988</w:t>
            </w:r>
            <w:r>
              <w:t>–</w:t>
            </w:r>
            <w:r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19</w:t>
            </w:r>
            <w:r w:rsidRPr="00D03FC1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94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14:paraId="311310F8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22"/>
              </w:rPr>
            </w:pPr>
            <w:r w:rsidRPr="00D03FC1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1999</w:t>
            </w:r>
            <w:r>
              <w:t>–</w:t>
            </w:r>
            <w:r w:rsidRPr="00D03FC1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2002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14:paraId="437EBFDA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22"/>
              </w:rPr>
            </w:pPr>
            <w:r w:rsidRPr="00D03FC1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2003</w:t>
            </w:r>
            <w:r>
              <w:t>–</w:t>
            </w:r>
            <w:r w:rsidRPr="00D03FC1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2006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14:paraId="7092EC27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22"/>
              </w:rPr>
            </w:pPr>
            <w:r w:rsidRPr="00D03FC1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2007</w:t>
            </w:r>
            <w:r>
              <w:t>–</w:t>
            </w:r>
            <w:r w:rsidRPr="00D03FC1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2010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14:paraId="4F7A8BD4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22"/>
              </w:rPr>
            </w:pPr>
            <w:r w:rsidRPr="00D03FC1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2015</w:t>
            </w:r>
            <w:r>
              <w:t>–</w:t>
            </w:r>
            <w:r w:rsidRPr="00D03FC1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201</w:t>
            </w:r>
            <w:r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6</w:t>
            </w:r>
          </w:p>
        </w:tc>
      </w:tr>
      <w:tr w:rsidR="005C3212" w:rsidRPr="00D03FC1" w14:paraId="7C778C53" w14:textId="77777777" w:rsidTr="0074699E">
        <w:tc>
          <w:tcPr>
            <w:tcW w:w="1561" w:type="dxa"/>
          </w:tcPr>
          <w:p w14:paraId="2F25E6CD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rPr>
                <w:sz w:val="22"/>
                <w:szCs w:val="36"/>
              </w:rPr>
            </w:pPr>
            <w:r>
              <w:rPr>
                <w:bCs/>
                <w:kern w:val="24"/>
                <w:sz w:val="22"/>
                <w:szCs w:val="28"/>
              </w:rPr>
              <w:t>SF</w:t>
            </w:r>
          </w:p>
        </w:tc>
        <w:tc>
          <w:tcPr>
            <w:tcW w:w="1426" w:type="dxa"/>
          </w:tcPr>
          <w:p w14:paraId="5C140C3B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rPr>
                <w:sz w:val="22"/>
                <w:szCs w:val="36"/>
              </w:rPr>
            </w:pPr>
            <w:r>
              <w:rPr>
                <w:bCs/>
                <w:kern w:val="24"/>
                <w:sz w:val="22"/>
                <w:szCs w:val="28"/>
              </w:rPr>
              <w:t>Serum</w:t>
            </w:r>
          </w:p>
        </w:tc>
        <w:tc>
          <w:tcPr>
            <w:tcW w:w="1226" w:type="dxa"/>
          </w:tcPr>
          <w:p w14:paraId="08261166" w14:textId="77777777" w:rsidR="005C3212" w:rsidRPr="00D03FC1" w:rsidRDefault="005C3212" w:rsidP="0074699E">
            <w:pPr>
              <w:spacing w:before="120" w:after="120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1225" w:type="dxa"/>
          </w:tcPr>
          <w:p w14:paraId="377620FD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bCs/>
                <w:kern w:val="24"/>
                <w:sz w:val="22"/>
                <w:szCs w:val="28"/>
              </w:rPr>
              <w:t>(</w:t>
            </w:r>
            <w:r w:rsidRPr="00D03FC1">
              <w:rPr>
                <w:bCs/>
                <w:kern w:val="24"/>
                <w:sz w:val="22"/>
                <w:szCs w:val="28"/>
              </w:rPr>
              <w:sym w:font="Wingdings" w:char="F0FC"/>
            </w:r>
            <w:r w:rsidRPr="00D03FC1">
              <w:rPr>
                <w:bCs/>
                <w:kern w:val="24"/>
                <w:sz w:val="22"/>
                <w:szCs w:val="28"/>
              </w:rPr>
              <w:t>)</w:t>
            </w:r>
            <w:r>
              <w:rPr>
                <w:bCs/>
                <w:kern w:val="24"/>
                <w:position w:val="8"/>
                <w:sz w:val="22"/>
                <w:szCs w:val="28"/>
                <w:vertAlign w:val="superscript"/>
              </w:rPr>
              <w:t>2</w:t>
            </w:r>
          </w:p>
        </w:tc>
        <w:tc>
          <w:tcPr>
            <w:tcW w:w="1262" w:type="dxa"/>
          </w:tcPr>
          <w:p w14:paraId="49DC66D2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bCs/>
                <w:kern w:val="24"/>
                <w:sz w:val="22"/>
                <w:szCs w:val="28"/>
              </w:rPr>
              <w:sym w:font="Wingdings" w:char="F0FC"/>
            </w:r>
          </w:p>
        </w:tc>
        <w:tc>
          <w:tcPr>
            <w:tcW w:w="1225" w:type="dxa"/>
          </w:tcPr>
          <w:p w14:paraId="2761691F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bCs/>
                <w:kern w:val="24"/>
                <w:sz w:val="22"/>
                <w:szCs w:val="28"/>
              </w:rPr>
              <w:sym w:font="Wingdings" w:char="F0FC"/>
            </w:r>
          </w:p>
        </w:tc>
        <w:tc>
          <w:tcPr>
            <w:tcW w:w="1225" w:type="dxa"/>
          </w:tcPr>
          <w:p w14:paraId="5F0A9424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bCs/>
                <w:kern w:val="24"/>
                <w:sz w:val="22"/>
                <w:szCs w:val="28"/>
              </w:rPr>
              <w:sym w:font="Wingdings" w:char="F0FC"/>
            </w:r>
          </w:p>
        </w:tc>
        <w:tc>
          <w:tcPr>
            <w:tcW w:w="1225" w:type="dxa"/>
          </w:tcPr>
          <w:p w14:paraId="33E206AA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bCs/>
                <w:kern w:val="24"/>
                <w:sz w:val="22"/>
                <w:szCs w:val="28"/>
              </w:rPr>
              <w:sym w:font="Wingdings" w:char="F0FC"/>
            </w:r>
          </w:p>
        </w:tc>
        <w:tc>
          <w:tcPr>
            <w:tcW w:w="1225" w:type="dxa"/>
          </w:tcPr>
          <w:p w14:paraId="01267C95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bCs/>
                <w:kern w:val="24"/>
                <w:sz w:val="22"/>
                <w:szCs w:val="28"/>
              </w:rPr>
              <w:sym w:font="Wingdings" w:char="F0FC"/>
            </w:r>
          </w:p>
        </w:tc>
        <w:tc>
          <w:tcPr>
            <w:tcW w:w="1225" w:type="dxa"/>
          </w:tcPr>
          <w:p w14:paraId="3C8604EB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bCs/>
                <w:kern w:val="24"/>
                <w:sz w:val="22"/>
                <w:szCs w:val="28"/>
              </w:rPr>
              <w:sym w:font="Wingdings" w:char="F0FC"/>
            </w:r>
          </w:p>
        </w:tc>
      </w:tr>
      <w:tr w:rsidR="005C3212" w:rsidRPr="00D03FC1" w14:paraId="391E458E" w14:textId="77777777" w:rsidTr="0074699E">
        <w:tc>
          <w:tcPr>
            <w:tcW w:w="1561" w:type="dxa"/>
          </w:tcPr>
          <w:p w14:paraId="114F5978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t>T</w:t>
            </w:r>
            <w:r>
              <w:rPr>
                <w:kern w:val="24"/>
                <w:sz w:val="22"/>
                <w:szCs w:val="28"/>
              </w:rPr>
              <w:t>SAT</w:t>
            </w:r>
          </w:p>
        </w:tc>
        <w:tc>
          <w:tcPr>
            <w:tcW w:w="1426" w:type="dxa"/>
          </w:tcPr>
          <w:p w14:paraId="2C281A40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rPr>
                <w:sz w:val="22"/>
                <w:szCs w:val="36"/>
              </w:rPr>
            </w:pPr>
          </w:p>
        </w:tc>
        <w:tc>
          <w:tcPr>
            <w:tcW w:w="1226" w:type="dxa"/>
          </w:tcPr>
          <w:p w14:paraId="1983D1EF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sym w:font="Wingdings" w:char="F0FC"/>
            </w:r>
          </w:p>
        </w:tc>
        <w:tc>
          <w:tcPr>
            <w:tcW w:w="1225" w:type="dxa"/>
          </w:tcPr>
          <w:p w14:paraId="711978A4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sym w:font="Wingdings" w:char="F0FC"/>
            </w:r>
          </w:p>
        </w:tc>
        <w:tc>
          <w:tcPr>
            <w:tcW w:w="1262" w:type="dxa"/>
          </w:tcPr>
          <w:p w14:paraId="79361BF8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sym w:font="Wingdings" w:char="F0FC"/>
            </w:r>
          </w:p>
        </w:tc>
        <w:tc>
          <w:tcPr>
            <w:tcW w:w="1225" w:type="dxa"/>
          </w:tcPr>
          <w:p w14:paraId="2BDBE49E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sym w:font="Wingdings" w:char="F0FC"/>
            </w:r>
          </w:p>
        </w:tc>
        <w:tc>
          <w:tcPr>
            <w:tcW w:w="1225" w:type="dxa"/>
          </w:tcPr>
          <w:p w14:paraId="2DDE4E0D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sym w:font="Wingdings" w:char="F0FC"/>
            </w:r>
          </w:p>
        </w:tc>
        <w:tc>
          <w:tcPr>
            <w:tcW w:w="1225" w:type="dxa"/>
          </w:tcPr>
          <w:p w14:paraId="44651B98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sym w:font="Wingdings" w:char="F0FC"/>
            </w:r>
          </w:p>
        </w:tc>
        <w:tc>
          <w:tcPr>
            <w:tcW w:w="1225" w:type="dxa"/>
          </w:tcPr>
          <w:p w14:paraId="75E06C02" w14:textId="77777777" w:rsidR="005C3212" w:rsidRPr="00695A2D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color w:val="FF0000"/>
                <w:sz w:val="22"/>
                <w:szCs w:val="36"/>
              </w:rPr>
            </w:pPr>
          </w:p>
        </w:tc>
        <w:tc>
          <w:tcPr>
            <w:tcW w:w="1225" w:type="dxa"/>
          </w:tcPr>
          <w:p w14:paraId="3D9C881B" w14:textId="77777777" w:rsidR="005C3212" w:rsidRPr="00695A2D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color w:val="FF0000"/>
                <w:sz w:val="22"/>
                <w:szCs w:val="36"/>
              </w:rPr>
            </w:pPr>
          </w:p>
        </w:tc>
      </w:tr>
      <w:tr w:rsidR="005C3212" w:rsidRPr="00D03FC1" w14:paraId="0FB7B028" w14:textId="77777777" w:rsidTr="0074699E">
        <w:tc>
          <w:tcPr>
            <w:tcW w:w="1561" w:type="dxa"/>
          </w:tcPr>
          <w:p w14:paraId="595F38F1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rPr>
                <w:kern w:val="24"/>
                <w:sz w:val="22"/>
                <w:szCs w:val="28"/>
              </w:rPr>
            </w:pPr>
            <w:r>
              <w:rPr>
                <w:kern w:val="24"/>
                <w:sz w:val="22"/>
                <w:szCs w:val="28"/>
              </w:rPr>
              <w:t xml:space="preserve">   Iron</w:t>
            </w:r>
          </w:p>
        </w:tc>
        <w:tc>
          <w:tcPr>
            <w:tcW w:w="1426" w:type="dxa"/>
          </w:tcPr>
          <w:p w14:paraId="35186605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rPr>
                <w:kern w:val="24"/>
                <w:sz w:val="22"/>
                <w:szCs w:val="28"/>
              </w:rPr>
            </w:pPr>
            <w:r>
              <w:rPr>
                <w:kern w:val="24"/>
                <w:sz w:val="22"/>
                <w:szCs w:val="28"/>
              </w:rPr>
              <w:t>Serum</w:t>
            </w:r>
          </w:p>
        </w:tc>
        <w:tc>
          <w:tcPr>
            <w:tcW w:w="1226" w:type="dxa"/>
          </w:tcPr>
          <w:p w14:paraId="040E99F3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bCs/>
                <w:kern w:val="24"/>
                <w:sz w:val="22"/>
                <w:szCs w:val="28"/>
              </w:rPr>
              <w:sym w:font="Wingdings" w:char="F0FC"/>
            </w:r>
          </w:p>
        </w:tc>
        <w:tc>
          <w:tcPr>
            <w:tcW w:w="1225" w:type="dxa"/>
          </w:tcPr>
          <w:p w14:paraId="3F34A15F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bCs/>
                <w:kern w:val="24"/>
                <w:sz w:val="22"/>
                <w:szCs w:val="28"/>
              </w:rPr>
              <w:sym w:font="Wingdings" w:char="F0FC"/>
            </w:r>
          </w:p>
        </w:tc>
        <w:tc>
          <w:tcPr>
            <w:tcW w:w="1262" w:type="dxa"/>
          </w:tcPr>
          <w:p w14:paraId="611F85C9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bCs/>
                <w:kern w:val="24"/>
                <w:sz w:val="22"/>
                <w:szCs w:val="28"/>
              </w:rPr>
              <w:sym w:font="Wingdings" w:char="F0FC"/>
            </w:r>
          </w:p>
        </w:tc>
        <w:tc>
          <w:tcPr>
            <w:tcW w:w="1225" w:type="dxa"/>
          </w:tcPr>
          <w:p w14:paraId="115C6CC7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bCs/>
                <w:kern w:val="24"/>
                <w:sz w:val="22"/>
                <w:szCs w:val="28"/>
              </w:rPr>
              <w:sym w:font="Wingdings" w:char="F0FC"/>
            </w:r>
          </w:p>
        </w:tc>
        <w:tc>
          <w:tcPr>
            <w:tcW w:w="1225" w:type="dxa"/>
          </w:tcPr>
          <w:p w14:paraId="21C5D254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bCs/>
                <w:kern w:val="24"/>
                <w:sz w:val="22"/>
                <w:szCs w:val="28"/>
              </w:rPr>
              <w:sym w:font="Wingdings" w:char="F0FC"/>
            </w:r>
          </w:p>
        </w:tc>
        <w:tc>
          <w:tcPr>
            <w:tcW w:w="1225" w:type="dxa"/>
          </w:tcPr>
          <w:p w14:paraId="3D22B7A8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bCs/>
                <w:kern w:val="24"/>
                <w:sz w:val="22"/>
                <w:szCs w:val="28"/>
              </w:rPr>
              <w:sym w:font="Wingdings" w:char="F0FC"/>
            </w:r>
          </w:p>
        </w:tc>
        <w:tc>
          <w:tcPr>
            <w:tcW w:w="1225" w:type="dxa"/>
          </w:tcPr>
          <w:p w14:paraId="77EC8B62" w14:textId="77777777" w:rsidR="005C3212" w:rsidRPr="00695A2D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color w:val="FF0000"/>
                <w:sz w:val="22"/>
                <w:szCs w:val="36"/>
              </w:rPr>
            </w:pPr>
          </w:p>
        </w:tc>
        <w:tc>
          <w:tcPr>
            <w:tcW w:w="1225" w:type="dxa"/>
          </w:tcPr>
          <w:p w14:paraId="48AC2942" w14:textId="77777777" w:rsidR="005C3212" w:rsidRPr="00695A2D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color w:val="FF0000"/>
                <w:sz w:val="22"/>
                <w:szCs w:val="36"/>
              </w:rPr>
            </w:pPr>
          </w:p>
        </w:tc>
      </w:tr>
      <w:tr w:rsidR="005C3212" w:rsidRPr="00D03FC1" w14:paraId="0F6E32E2" w14:textId="77777777" w:rsidTr="0074699E">
        <w:tc>
          <w:tcPr>
            <w:tcW w:w="1561" w:type="dxa"/>
          </w:tcPr>
          <w:p w14:paraId="14EDA695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rPr>
                <w:kern w:val="24"/>
                <w:sz w:val="22"/>
                <w:szCs w:val="28"/>
              </w:rPr>
            </w:pPr>
            <w:r>
              <w:rPr>
                <w:kern w:val="24"/>
                <w:sz w:val="22"/>
                <w:szCs w:val="28"/>
              </w:rPr>
              <w:t xml:space="preserve">   TIBC</w:t>
            </w:r>
          </w:p>
        </w:tc>
        <w:tc>
          <w:tcPr>
            <w:tcW w:w="1426" w:type="dxa"/>
          </w:tcPr>
          <w:p w14:paraId="7C1C5082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rPr>
                <w:kern w:val="24"/>
                <w:sz w:val="22"/>
                <w:szCs w:val="28"/>
              </w:rPr>
            </w:pPr>
            <w:r>
              <w:rPr>
                <w:kern w:val="24"/>
                <w:sz w:val="22"/>
                <w:szCs w:val="28"/>
              </w:rPr>
              <w:t>Serum</w:t>
            </w:r>
          </w:p>
        </w:tc>
        <w:tc>
          <w:tcPr>
            <w:tcW w:w="1226" w:type="dxa"/>
          </w:tcPr>
          <w:p w14:paraId="654975C6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sym w:font="Wingdings" w:char="F0FC"/>
            </w:r>
          </w:p>
        </w:tc>
        <w:tc>
          <w:tcPr>
            <w:tcW w:w="1225" w:type="dxa"/>
          </w:tcPr>
          <w:p w14:paraId="4E381228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sym w:font="Wingdings" w:char="F0FC"/>
            </w:r>
          </w:p>
        </w:tc>
        <w:tc>
          <w:tcPr>
            <w:tcW w:w="1262" w:type="dxa"/>
          </w:tcPr>
          <w:p w14:paraId="581D7194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sym w:font="Wingdings" w:char="F0FC"/>
            </w:r>
          </w:p>
        </w:tc>
        <w:tc>
          <w:tcPr>
            <w:tcW w:w="1225" w:type="dxa"/>
          </w:tcPr>
          <w:p w14:paraId="7C9B2DED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sym w:font="Wingdings" w:char="F0FC"/>
            </w:r>
          </w:p>
        </w:tc>
        <w:tc>
          <w:tcPr>
            <w:tcW w:w="1225" w:type="dxa"/>
          </w:tcPr>
          <w:p w14:paraId="683DE444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sym w:font="Wingdings" w:char="F0FC"/>
            </w:r>
          </w:p>
        </w:tc>
        <w:tc>
          <w:tcPr>
            <w:tcW w:w="1225" w:type="dxa"/>
          </w:tcPr>
          <w:p w14:paraId="296AF89E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</w:p>
        </w:tc>
        <w:tc>
          <w:tcPr>
            <w:tcW w:w="1225" w:type="dxa"/>
          </w:tcPr>
          <w:p w14:paraId="07D09F2B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</w:p>
        </w:tc>
        <w:tc>
          <w:tcPr>
            <w:tcW w:w="1225" w:type="dxa"/>
          </w:tcPr>
          <w:p w14:paraId="6976D8F6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</w:p>
        </w:tc>
      </w:tr>
      <w:tr w:rsidR="005C3212" w:rsidRPr="00D03FC1" w14:paraId="4979C44B" w14:textId="77777777" w:rsidTr="0074699E">
        <w:tc>
          <w:tcPr>
            <w:tcW w:w="1561" w:type="dxa"/>
          </w:tcPr>
          <w:p w14:paraId="11A2AF98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rPr>
                <w:kern w:val="24"/>
                <w:sz w:val="22"/>
                <w:szCs w:val="28"/>
              </w:rPr>
            </w:pPr>
            <w:r>
              <w:rPr>
                <w:kern w:val="24"/>
                <w:sz w:val="22"/>
                <w:szCs w:val="28"/>
              </w:rPr>
              <w:t xml:space="preserve">   UIBC</w:t>
            </w:r>
          </w:p>
        </w:tc>
        <w:tc>
          <w:tcPr>
            <w:tcW w:w="1426" w:type="dxa"/>
          </w:tcPr>
          <w:p w14:paraId="29370322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rPr>
                <w:kern w:val="24"/>
                <w:sz w:val="22"/>
                <w:szCs w:val="28"/>
              </w:rPr>
            </w:pPr>
            <w:r>
              <w:rPr>
                <w:kern w:val="24"/>
                <w:sz w:val="22"/>
                <w:szCs w:val="28"/>
              </w:rPr>
              <w:t>Serum</w:t>
            </w:r>
          </w:p>
        </w:tc>
        <w:tc>
          <w:tcPr>
            <w:tcW w:w="1226" w:type="dxa"/>
          </w:tcPr>
          <w:p w14:paraId="3E7FE992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kern w:val="24"/>
                <w:sz w:val="22"/>
                <w:szCs w:val="28"/>
              </w:rPr>
            </w:pPr>
          </w:p>
        </w:tc>
        <w:tc>
          <w:tcPr>
            <w:tcW w:w="1225" w:type="dxa"/>
          </w:tcPr>
          <w:p w14:paraId="4C30650C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kern w:val="24"/>
                <w:sz w:val="22"/>
                <w:szCs w:val="28"/>
              </w:rPr>
            </w:pPr>
          </w:p>
        </w:tc>
        <w:tc>
          <w:tcPr>
            <w:tcW w:w="1262" w:type="dxa"/>
          </w:tcPr>
          <w:p w14:paraId="77A1637C" w14:textId="77777777" w:rsidR="005C3212" w:rsidRPr="00D03FC1" w:rsidRDefault="005C3212" w:rsidP="0074699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05727BFE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kern w:val="24"/>
                <w:sz w:val="22"/>
                <w:szCs w:val="28"/>
              </w:rPr>
            </w:pPr>
          </w:p>
        </w:tc>
        <w:tc>
          <w:tcPr>
            <w:tcW w:w="1225" w:type="dxa"/>
          </w:tcPr>
          <w:p w14:paraId="140B8123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kern w:val="24"/>
                <w:sz w:val="22"/>
                <w:szCs w:val="28"/>
              </w:rPr>
            </w:pPr>
          </w:p>
        </w:tc>
        <w:tc>
          <w:tcPr>
            <w:tcW w:w="1225" w:type="dxa"/>
          </w:tcPr>
          <w:p w14:paraId="1865E898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sym w:font="Wingdings" w:char="F0FC"/>
            </w:r>
          </w:p>
        </w:tc>
        <w:tc>
          <w:tcPr>
            <w:tcW w:w="1225" w:type="dxa"/>
          </w:tcPr>
          <w:p w14:paraId="1898D0A2" w14:textId="77777777" w:rsidR="005C3212" w:rsidRPr="00695A2D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color w:val="FF0000"/>
                <w:sz w:val="22"/>
                <w:szCs w:val="36"/>
              </w:rPr>
            </w:pPr>
          </w:p>
        </w:tc>
        <w:tc>
          <w:tcPr>
            <w:tcW w:w="1225" w:type="dxa"/>
          </w:tcPr>
          <w:p w14:paraId="3988A048" w14:textId="77777777" w:rsidR="005C3212" w:rsidRPr="00695A2D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color w:val="FF0000"/>
                <w:sz w:val="22"/>
                <w:szCs w:val="36"/>
              </w:rPr>
            </w:pPr>
          </w:p>
        </w:tc>
      </w:tr>
      <w:tr w:rsidR="005C3212" w:rsidRPr="00D03FC1" w14:paraId="5B3929A1" w14:textId="77777777" w:rsidTr="0074699E">
        <w:tc>
          <w:tcPr>
            <w:tcW w:w="1561" w:type="dxa"/>
          </w:tcPr>
          <w:p w14:paraId="5F6C5ECA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rPr>
                <w:sz w:val="22"/>
                <w:szCs w:val="36"/>
              </w:rPr>
            </w:pPr>
            <w:r>
              <w:rPr>
                <w:kern w:val="24"/>
                <w:sz w:val="22"/>
                <w:szCs w:val="28"/>
              </w:rPr>
              <w:t>EP</w:t>
            </w:r>
          </w:p>
        </w:tc>
        <w:tc>
          <w:tcPr>
            <w:tcW w:w="1426" w:type="dxa"/>
          </w:tcPr>
          <w:p w14:paraId="5B7D5AA6" w14:textId="77777777" w:rsidR="005C3212" w:rsidRPr="00D03FC1" w:rsidRDefault="005C3212" w:rsidP="0074699E">
            <w:pPr>
              <w:spacing w:before="120" w:after="120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Whole blood</w:t>
            </w:r>
          </w:p>
        </w:tc>
        <w:tc>
          <w:tcPr>
            <w:tcW w:w="1226" w:type="dxa"/>
          </w:tcPr>
          <w:p w14:paraId="730B8864" w14:textId="77777777" w:rsidR="005C3212" w:rsidRPr="00D03FC1" w:rsidRDefault="005C3212" w:rsidP="0074699E">
            <w:pPr>
              <w:spacing w:before="120" w:after="120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1225" w:type="dxa"/>
          </w:tcPr>
          <w:p w14:paraId="1C7C485C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sym w:font="Wingdings" w:char="F0FC"/>
            </w:r>
          </w:p>
        </w:tc>
        <w:tc>
          <w:tcPr>
            <w:tcW w:w="1262" w:type="dxa"/>
          </w:tcPr>
          <w:p w14:paraId="66F0B7C7" w14:textId="77777777" w:rsidR="005C3212" w:rsidRPr="00D03FC1" w:rsidRDefault="005C3212" w:rsidP="0074699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03FC1">
              <w:rPr>
                <w:kern w:val="24"/>
                <w:szCs w:val="28"/>
              </w:rPr>
              <w:sym w:font="Wingdings" w:char="F0FC"/>
            </w:r>
          </w:p>
        </w:tc>
        <w:tc>
          <w:tcPr>
            <w:tcW w:w="1225" w:type="dxa"/>
          </w:tcPr>
          <w:p w14:paraId="3BC73CA3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sym w:font="Wingdings" w:char="F0FC"/>
            </w:r>
          </w:p>
        </w:tc>
        <w:tc>
          <w:tcPr>
            <w:tcW w:w="1225" w:type="dxa"/>
          </w:tcPr>
          <w:p w14:paraId="656E0FE8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sym w:font="Wingdings" w:char="F0FC"/>
            </w:r>
          </w:p>
        </w:tc>
        <w:tc>
          <w:tcPr>
            <w:tcW w:w="1225" w:type="dxa"/>
          </w:tcPr>
          <w:p w14:paraId="4A651730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sym w:font="Wingdings" w:char="F0FC"/>
            </w:r>
          </w:p>
        </w:tc>
        <w:tc>
          <w:tcPr>
            <w:tcW w:w="1225" w:type="dxa"/>
          </w:tcPr>
          <w:p w14:paraId="23377976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</w:p>
        </w:tc>
        <w:tc>
          <w:tcPr>
            <w:tcW w:w="1225" w:type="dxa"/>
          </w:tcPr>
          <w:p w14:paraId="223B625C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</w:p>
        </w:tc>
      </w:tr>
      <w:tr w:rsidR="005C3212" w:rsidRPr="00D03FC1" w14:paraId="1A4BBDEA" w14:textId="77777777" w:rsidTr="0074699E">
        <w:tc>
          <w:tcPr>
            <w:tcW w:w="1561" w:type="dxa"/>
          </w:tcPr>
          <w:p w14:paraId="3AFEE6E5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rPr>
                <w:sz w:val="22"/>
                <w:szCs w:val="36"/>
              </w:rPr>
            </w:pPr>
            <w:proofErr w:type="spellStart"/>
            <w:r w:rsidRPr="00D03FC1">
              <w:rPr>
                <w:kern w:val="24"/>
                <w:sz w:val="22"/>
                <w:szCs w:val="28"/>
              </w:rPr>
              <w:t>sTfR</w:t>
            </w:r>
            <w:proofErr w:type="spellEnd"/>
          </w:p>
        </w:tc>
        <w:tc>
          <w:tcPr>
            <w:tcW w:w="1426" w:type="dxa"/>
          </w:tcPr>
          <w:p w14:paraId="5FECBE20" w14:textId="77777777" w:rsidR="005C3212" w:rsidRPr="00D03FC1" w:rsidRDefault="005C3212" w:rsidP="0074699E">
            <w:pPr>
              <w:spacing w:before="120" w:after="120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Serum</w:t>
            </w:r>
          </w:p>
        </w:tc>
        <w:tc>
          <w:tcPr>
            <w:tcW w:w="1226" w:type="dxa"/>
          </w:tcPr>
          <w:p w14:paraId="1846B0C9" w14:textId="77777777" w:rsidR="005C3212" w:rsidRPr="00D03FC1" w:rsidRDefault="005C3212" w:rsidP="0074699E">
            <w:pPr>
              <w:spacing w:before="120" w:after="120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1225" w:type="dxa"/>
          </w:tcPr>
          <w:p w14:paraId="6AF8DCB8" w14:textId="77777777" w:rsidR="005C3212" w:rsidRPr="00D03FC1" w:rsidRDefault="005C3212" w:rsidP="0074699E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2" w:type="dxa"/>
          </w:tcPr>
          <w:p w14:paraId="6838668B" w14:textId="77777777" w:rsidR="005C3212" w:rsidRPr="00D03FC1" w:rsidRDefault="005C3212" w:rsidP="0074699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56C2CB52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t>(</w:t>
            </w:r>
            <w:r w:rsidRPr="00D03FC1">
              <w:rPr>
                <w:kern w:val="24"/>
                <w:sz w:val="22"/>
                <w:szCs w:val="28"/>
              </w:rPr>
              <w:sym w:font="Wingdings" w:char="F0FC"/>
            </w:r>
            <w:r w:rsidRPr="00D03FC1">
              <w:rPr>
                <w:kern w:val="24"/>
                <w:sz w:val="22"/>
                <w:szCs w:val="28"/>
              </w:rPr>
              <w:t>)</w:t>
            </w:r>
            <w:r>
              <w:rPr>
                <w:kern w:val="24"/>
                <w:position w:val="8"/>
                <w:sz w:val="22"/>
                <w:szCs w:val="28"/>
                <w:vertAlign w:val="superscript"/>
              </w:rPr>
              <w:t>3</w:t>
            </w:r>
          </w:p>
        </w:tc>
        <w:tc>
          <w:tcPr>
            <w:tcW w:w="1225" w:type="dxa"/>
          </w:tcPr>
          <w:p w14:paraId="09FEE70D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t>(</w:t>
            </w:r>
            <w:r w:rsidRPr="00D03FC1">
              <w:rPr>
                <w:kern w:val="24"/>
                <w:sz w:val="22"/>
                <w:szCs w:val="28"/>
              </w:rPr>
              <w:sym w:font="Wingdings" w:char="F0FC"/>
            </w:r>
            <w:r w:rsidRPr="00D03FC1">
              <w:rPr>
                <w:kern w:val="24"/>
                <w:sz w:val="22"/>
                <w:szCs w:val="28"/>
              </w:rPr>
              <w:t>)</w:t>
            </w:r>
            <w:r>
              <w:rPr>
                <w:kern w:val="24"/>
                <w:position w:val="8"/>
                <w:sz w:val="22"/>
                <w:szCs w:val="28"/>
                <w:vertAlign w:val="superscript"/>
              </w:rPr>
              <w:t>4</w:t>
            </w:r>
          </w:p>
        </w:tc>
        <w:tc>
          <w:tcPr>
            <w:tcW w:w="1225" w:type="dxa"/>
          </w:tcPr>
          <w:p w14:paraId="12F2A488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sym w:font="Wingdings" w:char="F0FC"/>
            </w:r>
          </w:p>
        </w:tc>
        <w:tc>
          <w:tcPr>
            <w:tcW w:w="1225" w:type="dxa"/>
          </w:tcPr>
          <w:p w14:paraId="019EC1D6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sym w:font="Wingdings" w:char="F0FC"/>
            </w:r>
          </w:p>
        </w:tc>
        <w:tc>
          <w:tcPr>
            <w:tcW w:w="1225" w:type="dxa"/>
          </w:tcPr>
          <w:p w14:paraId="427EECB5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sym w:font="Wingdings" w:char="F0FC"/>
            </w:r>
          </w:p>
        </w:tc>
      </w:tr>
      <w:tr w:rsidR="005C3212" w:rsidRPr="00D03FC1" w14:paraId="34FF0E8D" w14:textId="77777777" w:rsidTr="0074699E">
        <w:tc>
          <w:tcPr>
            <w:tcW w:w="1561" w:type="dxa"/>
          </w:tcPr>
          <w:p w14:paraId="66C176FF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rPr>
                <w:sz w:val="22"/>
                <w:szCs w:val="36"/>
              </w:rPr>
            </w:pPr>
            <w:proofErr w:type="spellStart"/>
            <w:r w:rsidRPr="00D03FC1">
              <w:rPr>
                <w:kern w:val="24"/>
                <w:sz w:val="22"/>
                <w:szCs w:val="28"/>
              </w:rPr>
              <w:t>Hb</w:t>
            </w:r>
            <w:proofErr w:type="spellEnd"/>
            <w:r>
              <w:rPr>
                <w:kern w:val="24"/>
                <w:sz w:val="22"/>
                <w:szCs w:val="28"/>
              </w:rPr>
              <w:t xml:space="preserve"> and</w:t>
            </w:r>
            <w:r w:rsidRPr="00D03FC1">
              <w:rPr>
                <w:kern w:val="24"/>
                <w:sz w:val="22"/>
                <w:szCs w:val="28"/>
              </w:rPr>
              <w:t xml:space="preserve"> </w:t>
            </w:r>
            <w:proofErr w:type="spellStart"/>
            <w:r w:rsidRPr="00D03FC1">
              <w:rPr>
                <w:kern w:val="24"/>
                <w:sz w:val="22"/>
                <w:szCs w:val="28"/>
              </w:rPr>
              <w:t>Hct</w:t>
            </w:r>
            <w:proofErr w:type="spellEnd"/>
          </w:p>
        </w:tc>
        <w:tc>
          <w:tcPr>
            <w:tcW w:w="1426" w:type="dxa"/>
          </w:tcPr>
          <w:p w14:paraId="26FF0F4C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rPr>
                <w:sz w:val="22"/>
                <w:szCs w:val="36"/>
              </w:rPr>
            </w:pPr>
            <w:r>
              <w:rPr>
                <w:kern w:val="24"/>
                <w:sz w:val="22"/>
                <w:szCs w:val="28"/>
              </w:rPr>
              <w:t>Whole blood</w:t>
            </w:r>
          </w:p>
        </w:tc>
        <w:tc>
          <w:tcPr>
            <w:tcW w:w="1226" w:type="dxa"/>
          </w:tcPr>
          <w:p w14:paraId="21FA9759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sym w:font="Wingdings" w:char="F0FC"/>
            </w:r>
          </w:p>
        </w:tc>
        <w:tc>
          <w:tcPr>
            <w:tcW w:w="1225" w:type="dxa"/>
          </w:tcPr>
          <w:p w14:paraId="258D08C6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sym w:font="Wingdings" w:char="F0FC"/>
            </w:r>
          </w:p>
        </w:tc>
        <w:tc>
          <w:tcPr>
            <w:tcW w:w="1262" w:type="dxa"/>
          </w:tcPr>
          <w:p w14:paraId="2E966CCC" w14:textId="77777777" w:rsidR="005C3212" w:rsidRPr="00D03FC1" w:rsidRDefault="005C3212" w:rsidP="0074699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03FC1">
              <w:rPr>
                <w:kern w:val="24"/>
                <w:szCs w:val="28"/>
              </w:rPr>
              <w:sym w:font="Wingdings" w:char="F0FC"/>
            </w:r>
          </w:p>
        </w:tc>
        <w:tc>
          <w:tcPr>
            <w:tcW w:w="1225" w:type="dxa"/>
          </w:tcPr>
          <w:p w14:paraId="5BD891EB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sym w:font="Wingdings" w:char="F0FC"/>
            </w:r>
          </w:p>
        </w:tc>
        <w:tc>
          <w:tcPr>
            <w:tcW w:w="1225" w:type="dxa"/>
          </w:tcPr>
          <w:p w14:paraId="1E62CCF9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sym w:font="Wingdings" w:char="F0FC"/>
            </w:r>
          </w:p>
        </w:tc>
        <w:tc>
          <w:tcPr>
            <w:tcW w:w="1225" w:type="dxa"/>
          </w:tcPr>
          <w:p w14:paraId="4F5E35D0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sym w:font="Wingdings" w:char="F0FC"/>
            </w:r>
          </w:p>
        </w:tc>
        <w:tc>
          <w:tcPr>
            <w:tcW w:w="1225" w:type="dxa"/>
          </w:tcPr>
          <w:p w14:paraId="6C433FBB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sym w:font="Wingdings" w:char="F0FC"/>
            </w:r>
          </w:p>
        </w:tc>
        <w:tc>
          <w:tcPr>
            <w:tcW w:w="1225" w:type="dxa"/>
          </w:tcPr>
          <w:p w14:paraId="6AF0DA99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sym w:font="Wingdings" w:char="F0FC"/>
            </w:r>
          </w:p>
        </w:tc>
      </w:tr>
      <w:tr w:rsidR="005C3212" w:rsidRPr="00D03FC1" w14:paraId="0D9E9070" w14:textId="77777777" w:rsidTr="0074699E">
        <w:tc>
          <w:tcPr>
            <w:tcW w:w="1561" w:type="dxa"/>
          </w:tcPr>
          <w:p w14:paraId="37DE1183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rPr>
                <w:kern w:val="24"/>
                <w:sz w:val="22"/>
                <w:szCs w:val="28"/>
              </w:rPr>
            </w:pPr>
            <w:r>
              <w:rPr>
                <w:kern w:val="24"/>
                <w:sz w:val="22"/>
                <w:szCs w:val="28"/>
              </w:rPr>
              <w:t>Other red cell indices</w:t>
            </w:r>
            <w:r w:rsidRPr="00C2733B">
              <w:rPr>
                <w:kern w:val="24"/>
                <w:sz w:val="22"/>
                <w:szCs w:val="28"/>
                <w:vertAlign w:val="superscript"/>
              </w:rPr>
              <w:t>5</w:t>
            </w:r>
          </w:p>
        </w:tc>
        <w:tc>
          <w:tcPr>
            <w:tcW w:w="1426" w:type="dxa"/>
          </w:tcPr>
          <w:p w14:paraId="5D52A3B5" w14:textId="77777777" w:rsidR="005C3212" w:rsidRDefault="005C3212" w:rsidP="0074699E">
            <w:pPr>
              <w:pStyle w:val="NormalWeb"/>
              <w:spacing w:before="120" w:beforeAutospacing="0" w:after="120" w:afterAutospacing="0"/>
              <w:rPr>
                <w:kern w:val="24"/>
                <w:sz w:val="22"/>
                <w:szCs w:val="28"/>
              </w:rPr>
            </w:pPr>
            <w:r>
              <w:rPr>
                <w:kern w:val="24"/>
                <w:sz w:val="22"/>
                <w:szCs w:val="28"/>
              </w:rPr>
              <w:t>Whole blood</w:t>
            </w:r>
          </w:p>
        </w:tc>
        <w:tc>
          <w:tcPr>
            <w:tcW w:w="1226" w:type="dxa"/>
          </w:tcPr>
          <w:p w14:paraId="465F3DC8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kern w:val="24"/>
                <w:sz w:val="22"/>
                <w:szCs w:val="28"/>
              </w:rPr>
            </w:pPr>
          </w:p>
        </w:tc>
        <w:tc>
          <w:tcPr>
            <w:tcW w:w="1225" w:type="dxa"/>
          </w:tcPr>
          <w:p w14:paraId="4ED1F221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sym w:font="Wingdings" w:char="F0FC"/>
            </w:r>
          </w:p>
        </w:tc>
        <w:tc>
          <w:tcPr>
            <w:tcW w:w="1262" w:type="dxa"/>
          </w:tcPr>
          <w:p w14:paraId="6742B8F9" w14:textId="77777777" w:rsidR="005C3212" w:rsidRPr="00D03FC1" w:rsidRDefault="005C3212" w:rsidP="0074699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03FC1">
              <w:rPr>
                <w:kern w:val="24"/>
                <w:szCs w:val="28"/>
              </w:rPr>
              <w:sym w:font="Wingdings" w:char="F0FC"/>
            </w:r>
          </w:p>
        </w:tc>
        <w:tc>
          <w:tcPr>
            <w:tcW w:w="1225" w:type="dxa"/>
          </w:tcPr>
          <w:p w14:paraId="05BF1242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sym w:font="Wingdings" w:char="F0FC"/>
            </w:r>
          </w:p>
        </w:tc>
        <w:tc>
          <w:tcPr>
            <w:tcW w:w="1225" w:type="dxa"/>
          </w:tcPr>
          <w:p w14:paraId="0E2C33BD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sym w:font="Wingdings" w:char="F0FC"/>
            </w:r>
          </w:p>
        </w:tc>
        <w:tc>
          <w:tcPr>
            <w:tcW w:w="1225" w:type="dxa"/>
          </w:tcPr>
          <w:p w14:paraId="50C99142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sym w:font="Wingdings" w:char="F0FC"/>
            </w:r>
          </w:p>
        </w:tc>
        <w:tc>
          <w:tcPr>
            <w:tcW w:w="1225" w:type="dxa"/>
          </w:tcPr>
          <w:p w14:paraId="5FD66246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sym w:font="Wingdings" w:char="F0FC"/>
            </w:r>
          </w:p>
        </w:tc>
        <w:tc>
          <w:tcPr>
            <w:tcW w:w="1225" w:type="dxa"/>
          </w:tcPr>
          <w:p w14:paraId="3E84F457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sym w:font="Wingdings" w:char="F0FC"/>
            </w:r>
          </w:p>
        </w:tc>
      </w:tr>
      <w:tr w:rsidR="005C3212" w:rsidRPr="00D03FC1" w14:paraId="25DC5EDB" w14:textId="77777777" w:rsidTr="0074699E">
        <w:tc>
          <w:tcPr>
            <w:tcW w:w="1561" w:type="dxa"/>
          </w:tcPr>
          <w:p w14:paraId="1717E292" w14:textId="77777777" w:rsidR="005C3212" w:rsidRPr="00695A2D" w:rsidRDefault="005C3212" w:rsidP="0074699E">
            <w:pPr>
              <w:pStyle w:val="NormalWeb"/>
              <w:spacing w:before="120" w:beforeAutospacing="0" w:after="120" w:afterAutospacing="0"/>
              <w:rPr>
                <w:b/>
                <w:kern w:val="24"/>
                <w:sz w:val="22"/>
                <w:szCs w:val="28"/>
              </w:rPr>
            </w:pPr>
            <w:r w:rsidRPr="00695A2D">
              <w:rPr>
                <w:b/>
                <w:kern w:val="24"/>
                <w:sz w:val="22"/>
                <w:szCs w:val="28"/>
              </w:rPr>
              <w:t>Population</w:t>
            </w:r>
          </w:p>
        </w:tc>
        <w:tc>
          <w:tcPr>
            <w:tcW w:w="1426" w:type="dxa"/>
          </w:tcPr>
          <w:p w14:paraId="0A5BB244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rPr>
                <w:i/>
                <w:kern w:val="24"/>
                <w:sz w:val="22"/>
                <w:szCs w:val="28"/>
              </w:rPr>
            </w:pPr>
          </w:p>
        </w:tc>
        <w:tc>
          <w:tcPr>
            <w:tcW w:w="1226" w:type="dxa"/>
          </w:tcPr>
          <w:p w14:paraId="7AD28928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kern w:val="24"/>
                <w:sz w:val="22"/>
                <w:szCs w:val="28"/>
              </w:rPr>
            </w:pPr>
          </w:p>
        </w:tc>
        <w:tc>
          <w:tcPr>
            <w:tcW w:w="1225" w:type="dxa"/>
          </w:tcPr>
          <w:p w14:paraId="79E4B50B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kern w:val="24"/>
                <w:sz w:val="22"/>
                <w:szCs w:val="28"/>
              </w:rPr>
            </w:pPr>
          </w:p>
        </w:tc>
        <w:tc>
          <w:tcPr>
            <w:tcW w:w="1262" w:type="dxa"/>
          </w:tcPr>
          <w:p w14:paraId="56026E64" w14:textId="77777777" w:rsidR="005C3212" w:rsidRPr="00D03FC1" w:rsidRDefault="005C3212" w:rsidP="0074699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3651D4DC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kern w:val="24"/>
                <w:sz w:val="22"/>
                <w:szCs w:val="28"/>
              </w:rPr>
            </w:pPr>
          </w:p>
        </w:tc>
        <w:tc>
          <w:tcPr>
            <w:tcW w:w="1225" w:type="dxa"/>
          </w:tcPr>
          <w:p w14:paraId="7C5FD04A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kern w:val="24"/>
                <w:sz w:val="22"/>
                <w:szCs w:val="28"/>
              </w:rPr>
            </w:pPr>
          </w:p>
        </w:tc>
        <w:tc>
          <w:tcPr>
            <w:tcW w:w="1225" w:type="dxa"/>
          </w:tcPr>
          <w:p w14:paraId="02C694F5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kern w:val="24"/>
                <w:sz w:val="22"/>
                <w:szCs w:val="28"/>
              </w:rPr>
            </w:pPr>
          </w:p>
        </w:tc>
        <w:tc>
          <w:tcPr>
            <w:tcW w:w="1225" w:type="dxa"/>
          </w:tcPr>
          <w:p w14:paraId="174D280A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kern w:val="24"/>
                <w:sz w:val="22"/>
                <w:szCs w:val="28"/>
              </w:rPr>
            </w:pPr>
          </w:p>
        </w:tc>
        <w:tc>
          <w:tcPr>
            <w:tcW w:w="1225" w:type="dxa"/>
          </w:tcPr>
          <w:p w14:paraId="0605C17C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kern w:val="24"/>
                <w:sz w:val="22"/>
                <w:szCs w:val="28"/>
              </w:rPr>
            </w:pPr>
          </w:p>
        </w:tc>
      </w:tr>
      <w:tr w:rsidR="005C3212" w:rsidRPr="00D03FC1" w14:paraId="0810CF64" w14:textId="77777777" w:rsidTr="0074699E">
        <w:tc>
          <w:tcPr>
            <w:tcW w:w="1561" w:type="dxa"/>
          </w:tcPr>
          <w:p w14:paraId="122FC2DD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t>Biochemical indicators</w:t>
            </w:r>
          </w:p>
        </w:tc>
        <w:tc>
          <w:tcPr>
            <w:tcW w:w="1426" w:type="dxa"/>
          </w:tcPr>
          <w:p w14:paraId="4D5360D1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rPr>
                <w:sz w:val="22"/>
                <w:szCs w:val="36"/>
              </w:rPr>
            </w:pPr>
          </w:p>
        </w:tc>
        <w:tc>
          <w:tcPr>
            <w:tcW w:w="1226" w:type="dxa"/>
          </w:tcPr>
          <w:p w14:paraId="12B6052D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t>All ages, M+F</w:t>
            </w:r>
          </w:p>
        </w:tc>
        <w:tc>
          <w:tcPr>
            <w:tcW w:w="1225" w:type="dxa"/>
          </w:tcPr>
          <w:p w14:paraId="6BF13B41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t>All ages, M+F</w:t>
            </w:r>
          </w:p>
        </w:tc>
        <w:tc>
          <w:tcPr>
            <w:tcW w:w="1262" w:type="dxa"/>
          </w:tcPr>
          <w:p w14:paraId="207B1763" w14:textId="77777777" w:rsidR="005C3212" w:rsidRPr="00D03FC1" w:rsidRDefault="005C3212" w:rsidP="0074699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2D3D04A9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t>All ages, M+F</w:t>
            </w:r>
          </w:p>
        </w:tc>
        <w:tc>
          <w:tcPr>
            <w:tcW w:w="1225" w:type="dxa"/>
          </w:tcPr>
          <w:p w14:paraId="18E89D1D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t>All ages, M+F</w:t>
            </w:r>
          </w:p>
        </w:tc>
        <w:tc>
          <w:tcPr>
            <w:tcW w:w="1225" w:type="dxa"/>
          </w:tcPr>
          <w:p w14:paraId="2EE03395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t>1</w:t>
            </w:r>
            <w:r>
              <w:rPr>
                <w:kern w:val="24"/>
                <w:sz w:val="22"/>
                <w:szCs w:val="28"/>
              </w:rPr>
              <w:t>–</w:t>
            </w:r>
            <w:r w:rsidRPr="00D03FC1">
              <w:rPr>
                <w:kern w:val="24"/>
                <w:sz w:val="22"/>
                <w:szCs w:val="28"/>
              </w:rPr>
              <w:t>5 y, WRA</w:t>
            </w:r>
          </w:p>
        </w:tc>
        <w:tc>
          <w:tcPr>
            <w:tcW w:w="1225" w:type="dxa"/>
          </w:tcPr>
          <w:p w14:paraId="6A27B0FF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t>1</w:t>
            </w:r>
            <w:r>
              <w:rPr>
                <w:kern w:val="24"/>
                <w:sz w:val="22"/>
                <w:szCs w:val="28"/>
              </w:rPr>
              <w:t>–</w:t>
            </w:r>
            <w:r w:rsidRPr="00D03FC1">
              <w:rPr>
                <w:kern w:val="24"/>
                <w:sz w:val="22"/>
                <w:szCs w:val="28"/>
              </w:rPr>
              <w:t>5 y, WRA</w:t>
            </w:r>
          </w:p>
        </w:tc>
        <w:tc>
          <w:tcPr>
            <w:tcW w:w="1225" w:type="dxa"/>
          </w:tcPr>
          <w:p w14:paraId="0FBE06A0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t>1</w:t>
            </w:r>
            <w:r>
              <w:rPr>
                <w:kern w:val="24"/>
                <w:sz w:val="22"/>
                <w:szCs w:val="28"/>
              </w:rPr>
              <w:t>–</w:t>
            </w:r>
            <w:r w:rsidRPr="00D03FC1">
              <w:rPr>
                <w:kern w:val="24"/>
                <w:sz w:val="22"/>
                <w:szCs w:val="28"/>
              </w:rPr>
              <w:t>5 y, WRA</w:t>
            </w:r>
          </w:p>
        </w:tc>
      </w:tr>
      <w:tr w:rsidR="005C3212" w:rsidRPr="00D03FC1" w14:paraId="1784F22C" w14:textId="77777777" w:rsidTr="0074699E">
        <w:tc>
          <w:tcPr>
            <w:tcW w:w="1561" w:type="dxa"/>
          </w:tcPr>
          <w:p w14:paraId="07F0E9B3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t>Hematologic indicators</w:t>
            </w:r>
          </w:p>
        </w:tc>
        <w:tc>
          <w:tcPr>
            <w:tcW w:w="1426" w:type="dxa"/>
          </w:tcPr>
          <w:p w14:paraId="40423E9C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rPr>
                <w:sz w:val="22"/>
                <w:szCs w:val="36"/>
              </w:rPr>
            </w:pPr>
          </w:p>
        </w:tc>
        <w:tc>
          <w:tcPr>
            <w:tcW w:w="1226" w:type="dxa"/>
          </w:tcPr>
          <w:p w14:paraId="4868C48F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t>All ages, M+F</w:t>
            </w:r>
          </w:p>
        </w:tc>
        <w:tc>
          <w:tcPr>
            <w:tcW w:w="1225" w:type="dxa"/>
          </w:tcPr>
          <w:p w14:paraId="76496C46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t>All ages, M+F</w:t>
            </w:r>
          </w:p>
        </w:tc>
        <w:tc>
          <w:tcPr>
            <w:tcW w:w="1262" w:type="dxa"/>
          </w:tcPr>
          <w:p w14:paraId="79CBC0D2" w14:textId="77777777" w:rsidR="005C3212" w:rsidRPr="00D03FC1" w:rsidRDefault="005C3212" w:rsidP="0074699E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18B14130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t>All ages, M+F</w:t>
            </w:r>
          </w:p>
        </w:tc>
        <w:tc>
          <w:tcPr>
            <w:tcW w:w="1225" w:type="dxa"/>
          </w:tcPr>
          <w:p w14:paraId="631E7C84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t>All ages, M+F</w:t>
            </w:r>
          </w:p>
        </w:tc>
        <w:tc>
          <w:tcPr>
            <w:tcW w:w="1225" w:type="dxa"/>
          </w:tcPr>
          <w:p w14:paraId="239BC8FE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t>All ages, M+F</w:t>
            </w:r>
          </w:p>
        </w:tc>
        <w:tc>
          <w:tcPr>
            <w:tcW w:w="1225" w:type="dxa"/>
          </w:tcPr>
          <w:p w14:paraId="2A7A8779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t>All ages, M+F</w:t>
            </w:r>
          </w:p>
        </w:tc>
        <w:tc>
          <w:tcPr>
            <w:tcW w:w="1225" w:type="dxa"/>
          </w:tcPr>
          <w:p w14:paraId="39AC0692" w14:textId="77777777" w:rsidR="005C3212" w:rsidRPr="00D03FC1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2"/>
                <w:szCs w:val="36"/>
              </w:rPr>
            </w:pPr>
            <w:r w:rsidRPr="00D03FC1">
              <w:rPr>
                <w:kern w:val="24"/>
                <w:sz w:val="22"/>
                <w:szCs w:val="28"/>
              </w:rPr>
              <w:t>All ages, M+F</w:t>
            </w:r>
          </w:p>
        </w:tc>
      </w:tr>
    </w:tbl>
    <w:p w14:paraId="624B415F" w14:textId="76B7FD99" w:rsidR="005C3212" w:rsidRPr="00C67304" w:rsidRDefault="005C3212" w:rsidP="002A6F79">
      <w:pPr>
        <w:spacing w:before="120" w:after="120" w:line="480" w:lineRule="auto"/>
        <w:rPr>
          <w:rFonts w:ascii="Times New Roman" w:hAnsi="Times New Roman" w:cs="Times New Roman"/>
          <w:kern w:val="24"/>
          <w:szCs w:val="24"/>
        </w:rPr>
      </w:pPr>
      <w:r w:rsidRPr="00C67304">
        <w:rPr>
          <w:rFonts w:ascii="Times New Roman" w:hAnsi="Times New Roman" w:cs="Times New Roman"/>
          <w:kern w:val="24"/>
          <w:szCs w:val="24"/>
          <w:vertAlign w:val="superscript"/>
        </w:rPr>
        <w:lastRenderedPageBreak/>
        <w:t>1</w:t>
      </w:r>
      <w:r w:rsidRPr="00C67304">
        <w:rPr>
          <w:rFonts w:ascii="Times New Roman" w:hAnsi="Times New Roman" w:cs="Times New Roman"/>
          <w:kern w:val="24"/>
          <w:szCs w:val="24"/>
        </w:rPr>
        <w:t xml:space="preserve"> No biochemical iron status indicators were measured during 2011–2014; EP, erythrocyte </w:t>
      </w:r>
      <w:proofErr w:type="spellStart"/>
      <w:r w:rsidRPr="00C67304">
        <w:rPr>
          <w:rFonts w:ascii="Times New Roman" w:hAnsi="Times New Roman" w:cs="Times New Roman"/>
          <w:kern w:val="24"/>
          <w:szCs w:val="24"/>
        </w:rPr>
        <w:t>protoporphyrin</w:t>
      </w:r>
      <w:proofErr w:type="spellEnd"/>
      <w:r w:rsidRPr="00C67304">
        <w:rPr>
          <w:rFonts w:ascii="Times New Roman" w:hAnsi="Times New Roman" w:cs="Times New Roman"/>
          <w:kern w:val="24"/>
          <w:szCs w:val="24"/>
        </w:rPr>
        <w:t xml:space="preserve"> (measured as free EP after extraction); </w:t>
      </w:r>
      <w:proofErr w:type="spellStart"/>
      <w:r w:rsidRPr="00C67304">
        <w:rPr>
          <w:rFonts w:ascii="Times New Roman" w:hAnsi="Times New Roman" w:cs="Times New Roman"/>
          <w:kern w:val="24"/>
          <w:szCs w:val="24"/>
        </w:rPr>
        <w:t>Hb</w:t>
      </w:r>
      <w:proofErr w:type="spellEnd"/>
      <w:r w:rsidRPr="00C67304">
        <w:rPr>
          <w:rFonts w:ascii="Times New Roman" w:hAnsi="Times New Roman" w:cs="Times New Roman"/>
          <w:kern w:val="24"/>
          <w:szCs w:val="24"/>
        </w:rPr>
        <w:t xml:space="preserve">, hemoglobin; </w:t>
      </w:r>
      <w:proofErr w:type="spellStart"/>
      <w:r w:rsidRPr="00C67304">
        <w:rPr>
          <w:rFonts w:ascii="Times New Roman" w:hAnsi="Times New Roman" w:cs="Times New Roman"/>
          <w:kern w:val="24"/>
          <w:szCs w:val="24"/>
        </w:rPr>
        <w:t>Hct</w:t>
      </w:r>
      <w:proofErr w:type="spellEnd"/>
      <w:r w:rsidRPr="00C67304">
        <w:rPr>
          <w:rFonts w:ascii="Times New Roman" w:hAnsi="Times New Roman" w:cs="Times New Roman"/>
          <w:kern w:val="24"/>
          <w:szCs w:val="24"/>
        </w:rPr>
        <w:t xml:space="preserve">, hematocrit; F, females; M, males; SF, serum ferritin; </w:t>
      </w:r>
      <w:proofErr w:type="spellStart"/>
      <w:r w:rsidRPr="00C67304">
        <w:rPr>
          <w:rFonts w:ascii="Times New Roman" w:hAnsi="Times New Roman" w:cs="Times New Roman"/>
          <w:kern w:val="24"/>
          <w:szCs w:val="24"/>
        </w:rPr>
        <w:t>sTfR</w:t>
      </w:r>
      <w:proofErr w:type="spellEnd"/>
      <w:r w:rsidRPr="00C67304">
        <w:rPr>
          <w:rFonts w:ascii="Times New Roman" w:hAnsi="Times New Roman" w:cs="Times New Roman"/>
          <w:kern w:val="24"/>
          <w:szCs w:val="24"/>
        </w:rPr>
        <w:t>, soluble transferrin receptor; TIBC, total iron-binding capacity; UIBC, unsaturated iron-binding capacity; WRA, women of reproductive age ages 12</w:t>
      </w:r>
      <w:r w:rsidRPr="00C67304">
        <w:rPr>
          <w:rFonts w:ascii="Times New Roman" w:hAnsi="Times New Roman"/>
          <w:szCs w:val="24"/>
        </w:rPr>
        <w:t>–</w:t>
      </w:r>
      <w:r w:rsidRPr="00C67304">
        <w:rPr>
          <w:rFonts w:ascii="Times New Roman" w:hAnsi="Times New Roman" w:cs="Times New Roman"/>
          <w:kern w:val="24"/>
          <w:szCs w:val="24"/>
        </w:rPr>
        <w:t>49 y</w:t>
      </w:r>
      <w:r w:rsidR="002A6F79">
        <w:rPr>
          <w:rFonts w:ascii="Times New Roman" w:hAnsi="Times New Roman" w:cs="Times New Roman"/>
          <w:kern w:val="24"/>
          <w:szCs w:val="24"/>
        </w:rPr>
        <w:t>.</w:t>
      </w:r>
    </w:p>
    <w:p w14:paraId="7C17CCF9" w14:textId="0B88DF7B" w:rsidR="005C3212" w:rsidRPr="00C67304" w:rsidRDefault="005C3212" w:rsidP="002A6F79">
      <w:pPr>
        <w:spacing w:after="120" w:line="480" w:lineRule="auto"/>
        <w:rPr>
          <w:rFonts w:ascii="Times New Roman" w:hAnsi="Times New Roman" w:cs="Times New Roman"/>
          <w:kern w:val="24"/>
          <w:szCs w:val="24"/>
        </w:rPr>
      </w:pPr>
      <w:r w:rsidRPr="00C67304">
        <w:rPr>
          <w:rFonts w:ascii="Times New Roman" w:hAnsi="Times New Roman" w:cs="Times New Roman"/>
          <w:kern w:val="24"/>
          <w:szCs w:val="24"/>
          <w:vertAlign w:val="superscript"/>
        </w:rPr>
        <w:t>2</w:t>
      </w:r>
      <w:r w:rsidRPr="00C67304">
        <w:rPr>
          <w:rFonts w:ascii="Times New Roman" w:hAnsi="Times New Roman" w:cs="Times New Roman"/>
          <w:kern w:val="24"/>
          <w:szCs w:val="24"/>
        </w:rPr>
        <w:t xml:space="preserve"> S</w:t>
      </w:r>
      <w:r>
        <w:rPr>
          <w:rFonts w:ascii="Times New Roman" w:hAnsi="Times New Roman" w:cs="Times New Roman"/>
          <w:kern w:val="24"/>
          <w:szCs w:val="24"/>
        </w:rPr>
        <w:t>F</w:t>
      </w:r>
      <w:r w:rsidRPr="00C67304">
        <w:rPr>
          <w:rFonts w:ascii="Times New Roman" w:hAnsi="Times New Roman" w:cs="Times New Roman"/>
          <w:kern w:val="24"/>
          <w:szCs w:val="24"/>
        </w:rPr>
        <w:t xml:space="preserve"> measured on a representative subsample of 5157 </w:t>
      </w:r>
      <w:proofErr w:type="gramStart"/>
      <w:r w:rsidRPr="00C67304">
        <w:rPr>
          <w:rFonts w:ascii="Times New Roman" w:hAnsi="Times New Roman" w:cs="Times New Roman"/>
          <w:kern w:val="24"/>
          <w:szCs w:val="24"/>
        </w:rPr>
        <w:t>individuals</w:t>
      </w:r>
      <w:proofErr w:type="gramEnd"/>
      <w:r w:rsidRPr="00C67304">
        <w:rPr>
          <w:rFonts w:ascii="Times New Roman" w:hAnsi="Times New Roman" w:cs="Times New Roman"/>
          <w:kern w:val="24"/>
          <w:szCs w:val="24"/>
        </w:rPr>
        <w:t xml:space="preserve"> ages 3</w:t>
      </w:r>
      <w:r w:rsidRPr="00C67304">
        <w:rPr>
          <w:rFonts w:ascii="Times New Roman" w:hAnsi="Times New Roman"/>
          <w:szCs w:val="24"/>
        </w:rPr>
        <w:t>–</w:t>
      </w:r>
      <w:r w:rsidRPr="00C67304">
        <w:rPr>
          <w:rFonts w:ascii="Times New Roman" w:hAnsi="Times New Roman" w:cs="Times New Roman"/>
          <w:kern w:val="24"/>
          <w:szCs w:val="24"/>
        </w:rPr>
        <w:t>74 y</w:t>
      </w:r>
      <w:r w:rsidR="002A6F79">
        <w:rPr>
          <w:rFonts w:ascii="Times New Roman" w:hAnsi="Times New Roman" w:cs="Times New Roman"/>
          <w:kern w:val="24"/>
          <w:szCs w:val="24"/>
        </w:rPr>
        <w:t>.</w:t>
      </w:r>
    </w:p>
    <w:p w14:paraId="381F6923" w14:textId="1CF21FC4" w:rsidR="005C3212" w:rsidRPr="00C67304" w:rsidRDefault="005C3212" w:rsidP="002A6F79">
      <w:pPr>
        <w:spacing w:after="120" w:line="480" w:lineRule="auto"/>
        <w:rPr>
          <w:rFonts w:ascii="Times New Roman" w:hAnsi="Times New Roman" w:cs="Times New Roman"/>
          <w:kern w:val="24"/>
          <w:szCs w:val="24"/>
        </w:rPr>
      </w:pPr>
      <w:r w:rsidRPr="00C67304">
        <w:rPr>
          <w:rFonts w:ascii="Times New Roman" w:hAnsi="Times New Roman" w:cs="Times New Roman"/>
          <w:kern w:val="24"/>
          <w:szCs w:val="24"/>
          <w:vertAlign w:val="superscript"/>
        </w:rPr>
        <w:t>3</w:t>
      </w:r>
      <w:r w:rsidRPr="00C67304">
        <w:rPr>
          <w:rFonts w:ascii="Times New Roman" w:hAnsi="Times New Roman" w:cs="Times New Roman"/>
          <w:kern w:val="24"/>
          <w:szCs w:val="24"/>
        </w:rPr>
        <w:t xml:space="preserve"> </w:t>
      </w:r>
      <w:proofErr w:type="spellStart"/>
      <w:r w:rsidRPr="00C67304">
        <w:rPr>
          <w:rFonts w:ascii="Times New Roman" w:hAnsi="Times New Roman" w:cs="Times New Roman"/>
          <w:kern w:val="24"/>
          <w:szCs w:val="24"/>
        </w:rPr>
        <w:t>sTfR</w:t>
      </w:r>
      <w:proofErr w:type="spellEnd"/>
      <w:r w:rsidRPr="00C67304">
        <w:rPr>
          <w:rFonts w:ascii="Times New Roman" w:hAnsi="Times New Roman" w:cs="Times New Roman"/>
          <w:kern w:val="24"/>
          <w:szCs w:val="24"/>
        </w:rPr>
        <w:t xml:space="preserve"> measured on a convenience sample of 2186 individuals ages ≥3 y from 13 survey locations</w:t>
      </w:r>
      <w:r w:rsidR="002A6F79">
        <w:rPr>
          <w:rFonts w:ascii="Times New Roman" w:hAnsi="Times New Roman" w:cs="Times New Roman"/>
          <w:kern w:val="24"/>
          <w:szCs w:val="24"/>
        </w:rPr>
        <w:t>.</w:t>
      </w:r>
    </w:p>
    <w:p w14:paraId="28114725" w14:textId="0FB970E2" w:rsidR="005C3212" w:rsidRPr="00C67304" w:rsidRDefault="005C3212" w:rsidP="002A6F79">
      <w:pPr>
        <w:spacing w:after="120" w:line="480" w:lineRule="auto"/>
        <w:rPr>
          <w:rFonts w:ascii="Times New Roman" w:hAnsi="Times New Roman" w:cs="Times New Roman"/>
          <w:kern w:val="24"/>
          <w:szCs w:val="24"/>
        </w:rPr>
      </w:pPr>
      <w:r w:rsidRPr="00C67304">
        <w:rPr>
          <w:rFonts w:ascii="Times New Roman" w:hAnsi="Times New Roman" w:cs="Times New Roman"/>
          <w:kern w:val="24"/>
          <w:szCs w:val="24"/>
          <w:vertAlign w:val="superscript"/>
        </w:rPr>
        <w:t>4</w:t>
      </w:r>
      <w:r w:rsidRPr="00C67304">
        <w:rPr>
          <w:rFonts w:ascii="Times New Roman" w:hAnsi="Times New Roman" w:cs="Times New Roman"/>
          <w:kern w:val="24"/>
          <w:szCs w:val="24"/>
        </w:rPr>
        <w:t xml:space="preserve"> </w:t>
      </w:r>
      <w:proofErr w:type="spellStart"/>
      <w:r w:rsidRPr="00C67304">
        <w:rPr>
          <w:rFonts w:ascii="Times New Roman" w:hAnsi="Times New Roman" w:cs="Times New Roman"/>
          <w:kern w:val="24"/>
          <w:szCs w:val="24"/>
        </w:rPr>
        <w:t>sTfR</w:t>
      </w:r>
      <w:proofErr w:type="spellEnd"/>
      <w:r w:rsidRPr="00C67304">
        <w:rPr>
          <w:rFonts w:ascii="Times New Roman" w:hAnsi="Times New Roman" w:cs="Times New Roman"/>
          <w:kern w:val="24"/>
          <w:szCs w:val="24"/>
        </w:rPr>
        <w:t xml:space="preserve"> measured in pregnant women as part of a surplus serum project</w:t>
      </w:r>
      <w:r w:rsidR="002A6F79">
        <w:rPr>
          <w:rFonts w:ascii="Times New Roman" w:hAnsi="Times New Roman" w:cs="Times New Roman"/>
          <w:kern w:val="24"/>
          <w:szCs w:val="24"/>
        </w:rPr>
        <w:t>.</w:t>
      </w:r>
    </w:p>
    <w:p w14:paraId="39E331B4" w14:textId="582C36F0" w:rsidR="00993E7F" w:rsidRDefault="005C3212" w:rsidP="002A6F79">
      <w:pPr>
        <w:spacing w:line="480" w:lineRule="auto"/>
        <w:rPr>
          <w:rFonts w:ascii="Times New Roman" w:hAnsi="Times New Roman" w:cs="Times New Roman"/>
          <w:kern w:val="24"/>
          <w:szCs w:val="24"/>
        </w:rPr>
      </w:pPr>
      <w:r w:rsidRPr="00C67304">
        <w:rPr>
          <w:rFonts w:ascii="Times New Roman" w:hAnsi="Times New Roman" w:cs="Times New Roman"/>
          <w:kern w:val="24"/>
          <w:szCs w:val="24"/>
          <w:vertAlign w:val="superscript"/>
        </w:rPr>
        <w:t>5</w:t>
      </w:r>
      <w:r w:rsidRPr="00C67304">
        <w:rPr>
          <w:rFonts w:ascii="Times New Roman" w:hAnsi="Times New Roman" w:cs="Times New Roman"/>
          <w:kern w:val="24"/>
          <w:szCs w:val="24"/>
        </w:rPr>
        <w:t xml:space="preserve"> Other red cell indices measured were MCV, MCHC and RDW (starting with NHANES III 1988–1994)</w:t>
      </w:r>
      <w:r w:rsidR="002A6F79">
        <w:rPr>
          <w:rFonts w:ascii="Times New Roman" w:hAnsi="Times New Roman" w:cs="Times New Roman"/>
          <w:kern w:val="24"/>
          <w:szCs w:val="24"/>
        </w:rPr>
        <w:t>.</w:t>
      </w:r>
    </w:p>
    <w:p w14:paraId="5BF6A95F" w14:textId="77777777" w:rsidR="005C3212" w:rsidRDefault="005C3212" w:rsidP="005C3212">
      <w:pPr>
        <w:rPr>
          <w:rFonts w:ascii="Times New Roman" w:hAnsi="Times New Roman" w:cs="Times New Roman"/>
          <w:kern w:val="24"/>
          <w:szCs w:val="24"/>
        </w:rPr>
      </w:pPr>
      <w:r>
        <w:rPr>
          <w:rFonts w:ascii="Times New Roman" w:hAnsi="Times New Roman" w:cs="Times New Roman"/>
          <w:kern w:val="24"/>
          <w:szCs w:val="24"/>
        </w:rPr>
        <w:br w:type="page"/>
      </w:r>
    </w:p>
    <w:p w14:paraId="20CC7954" w14:textId="52289F08" w:rsidR="005C3212" w:rsidRPr="00E30309" w:rsidRDefault="00C57F5D" w:rsidP="002A6F79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</w:t>
      </w:r>
      <w:r w:rsidR="005C3212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E43B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3212">
        <w:rPr>
          <w:rFonts w:ascii="Times New Roman" w:hAnsi="Times New Roman" w:cs="Times New Roman"/>
          <w:sz w:val="24"/>
          <w:szCs w:val="24"/>
        </w:rPr>
        <w:t>Methods used to measure i</w:t>
      </w:r>
      <w:r w:rsidR="005C3212" w:rsidRPr="00E30309">
        <w:rPr>
          <w:rFonts w:ascii="Times New Roman" w:hAnsi="Times New Roman" w:cs="Times New Roman"/>
          <w:sz w:val="24"/>
          <w:szCs w:val="24"/>
        </w:rPr>
        <w:t>ron status indica</w:t>
      </w:r>
      <w:r w:rsidR="005C3212">
        <w:rPr>
          <w:rFonts w:ascii="Times New Roman" w:hAnsi="Times New Roman" w:cs="Times New Roman"/>
          <w:sz w:val="24"/>
          <w:szCs w:val="24"/>
        </w:rPr>
        <w:t>tors in NHANES surveys, 1971</w:t>
      </w:r>
      <w:r w:rsidR="005C3212">
        <w:rPr>
          <w:rFonts w:ascii="Times New Roman" w:hAnsi="Times New Roman"/>
          <w:sz w:val="24"/>
          <w:szCs w:val="24"/>
        </w:rPr>
        <w:t>–</w:t>
      </w:r>
      <w:r w:rsidR="005C3212">
        <w:rPr>
          <w:rFonts w:ascii="Times New Roman" w:hAnsi="Times New Roman" w:cs="Times New Roman"/>
          <w:sz w:val="24"/>
          <w:szCs w:val="24"/>
        </w:rPr>
        <w:t>201</w:t>
      </w:r>
      <w:r w:rsidR="005C3212" w:rsidRPr="00E30309">
        <w:rPr>
          <w:rFonts w:ascii="Times New Roman" w:hAnsi="Times New Roman" w:cs="Times New Roman"/>
          <w:sz w:val="24"/>
          <w:szCs w:val="24"/>
        </w:rPr>
        <w:t>6</w:t>
      </w:r>
      <w:r w:rsidR="005C3212" w:rsidRPr="00D5522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C3212" w:rsidRPr="00E30309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1315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2"/>
        <w:gridCol w:w="866"/>
        <w:gridCol w:w="1274"/>
        <w:gridCol w:w="1358"/>
        <w:gridCol w:w="1288"/>
        <w:gridCol w:w="1288"/>
        <w:gridCol w:w="1288"/>
        <w:gridCol w:w="1662"/>
        <w:gridCol w:w="1334"/>
        <w:gridCol w:w="1334"/>
      </w:tblGrid>
      <w:tr w:rsidR="005C3212" w:rsidRPr="00D93187" w14:paraId="737DAEFF" w14:textId="77777777" w:rsidTr="0074699E"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5F5760DB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rPr>
                <w:sz w:val="20"/>
                <w:szCs w:val="20"/>
              </w:rPr>
            </w:pPr>
            <w:r w:rsidRPr="00D93187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Indicator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14:paraId="362BAD7E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rPr>
                <w:b/>
                <w:sz w:val="20"/>
                <w:szCs w:val="20"/>
              </w:rPr>
            </w:pPr>
            <w:r w:rsidRPr="00D93187">
              <w:rPr>
                <w:b/>
                <w:sz w:val="20"/>
                <w:szCs w:val="20"/>
              </w:rPr>
              <w:t>Matrix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14:paraId="44AB7EE2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D93187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I</w:t>
            </w:r>
          </w:p>
          <w:p w14:paraId="022F8237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D93187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1971</w:t>
            </w:r>
            <w:r w:rsidRPr="00D93187">
              <w:rPr>
                <w:sz w:val="20"/>
                <w:szCs w:val="20"/>
              </w:rPr>
              <w:t>–</w:t>
            </w:r>
            <w:r w:rsidRPr="00D93187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1975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14:paraId="73A330D9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D93187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II</w:t>
            </w:r>
          </w:p>
          <w:p w14:paraId="5695EFDE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D93187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1976</w:t>
            </w:r>
            <w:r w:rsidRPr="00D93187">
              <w:rPr>
                <w:sz w:val="20"/>
                <w:szCs w:val="20"/>
              </w:rPr>
              <w:t>–</w:t>
            </w:r>
            <w:r w:rsidRPr="00D93187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1980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14:paraId="511FEBF1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b/>
                <w:sz w:val="20"/>
                <w:szCs w:val="20"/>
              </w:rPr>
            </w:pPr>
            <w:r w:rsidRPr="00D93187">
              <w:rPr>
                <w:b/>
                <w:sz w:val="20"/>
                <w:szCs w:val="20"/>
              </w:rPr>
              <w:t>Hispanic</w:t>
            </w:r>
          </w:p>
          <w:p w14:paraId="50AB63A7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b/>
                <w:sz w:val="20"/>
                <w:szCs w:val="20"/>
              </w:rPr>
            </w:pPr>
            <w:r w:rsidRPr="00D93187">
              <w:rPr>
                <w:b/>
                <w:sz w:val="20"/>
                <w:szCs w:val="20"/>
              </w:rPr>
              <w:t>1982</w:t>
            </w:r>
            <w:r w:rsidRPr="00D93187">
              <w:rPr>
                <w:sz w:val="20"/>
                <w:szCs w:val="20"/>
              </w:rPr>
              <w:t>–</w:t>
            </w:r>
            <w:r w:rsidRPr="00D93187">
              <w:rPr>
                <w:b/>
                <w:sz w:val="20"/>
                <w:szCs w:val="20"/>
              </w:rPr>
              <w:t>1984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14:paraId="5A1AD51C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D93187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III</w:t>
            </w:r>
          </w:p>
          <w:p w14:paraId="526E6C09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D93187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1988</w:t>
            </w:r>
            <w:r w:rsidRPr="00D93187">
              <w:rPr>
                <w:sz w:val="20"/>
                <w:szCs w:val="20"/>
              </w:rPr>
              <w:t>–</w:t>
            </w:r>
            <w:r w:rsidRPr="00D93187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1994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14:paraId="71337F71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D93187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1999</w:t>
            </w:r>
            <w:r w:rsidRPr="00D93187">
              <w:rPr>
                <w:sz w:val="20"/>
                <w:szCs w:val="20"/>
              </w:rPr>
              <w:t>–</w:t>
            </w:r>
            <w:r w:rsidRPr="00D93187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2002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</w:tcPr>
          <w:p w14:paraId="5FACFAA6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D93187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2003</w:t>
            </w:r>
            <w:r w:rsidRPr="00D93187">
              <w:rPr>
                <w:sz w:val="20"/>
                <w:szCs w:val="20"/>
              </w:rPr>
              <w:t>–</w:t>
            </w:r>
            <w:r w:rsidRPr="00D93187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2006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A18A207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D93187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2007</w:t>
            </w:r>
            <w:r w:rsidRPr="00D93187">
              <w:rPr>
                <w:sz w:val="20"/>
                <w:szCs w:val="20"/>
              </w:rPr>
              <w:t>–</w:t>
            </w:r>
            <w:r w:rsidRPr="00D93187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6E0C9359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D93187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2015</w:t>
            </w:r>
            <w:r w:rsidRPr="00D93187">
              <w:rPr>
                <w:sz w:val="20"/>
                <w:szCs w:val="20"/>
              </w:rPr>
              <w:t>–</w:t>
            </w:r>
            <w:r w:rsidRPr="00D93187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2016</w:t>
            </w:r>
          </w:p>
        </w:tc>
      </w:tr>
      <w:tr w:rsidR="005C3212" w:rsidRPr="00D93187" w14:paraId="744E98D2" w14:textId="77777777" w:rsidTr="0074699E">
        <w:tc>
          <w:tcPr>
            <w:tcW w:w="1561" w:type="dxa"/>
          </w:tcPr>
          <w:p w14:paraId="37AF5B9B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SF</w:t>
            </w:r>
          </w:p>
        </w:tc>
        <w:tc>
          <w:tcPr>
            <w:tcW w:w="876" w:type="dxa"/>
          </w:tcPr>
          <w:p w14:paraId="5D5A2399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rPr>
                <w:sz w:val="20"/>
                <w:szCs w:val="20"/>
              </w:rPr>
            </w:pPr>
            <w:r w:rsidRPr="00D93187">
              <w:rPr>
                <w:bCs/>
                <w:kern w:val="24"/>
                <w:sz w:val="20"/>
                <w:szCs w:val="20"/>
              </w:rPr>
              <w:t>Serum</w:t>
            </w:r>
          </w:p>
        </w:tc>
        <w:tc>
          <w:tcPr>
            <w:tcW w:w="1292" w:type="dxa"/>
          </w:tcPr>
          <w:p w14:paraId="661479B3" w14:textId="77777777" w:rsidR="005C3212" w:rsidRPr="00D93187" w:rsidRDefault="005C3212" w:rsidP="007469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3A8DAF0E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D93187">
              <w:rPr>
                <w:bCs/>
                <w:kern w:val="24"/>
                <w:sz w:val="20"/>
                <w:szCs w:val="20"/>
              </w:rPr>
              <w:t>IRMA</w:t>
            </w:r>
            <w:r w:rsidRPr="00D93187">
              <w:rPr>
                <w:bCs/>
                <w:kern w:val="24"/>
                <w:position w:val="8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92" w:type="dxa"/>
          </w:tcPr>
          <w:p w14:paraId="68817C8F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proofErr w:type="spellStart"/>
            <w:r w:rsidRPr="00D93187">
              <w:rPr>
                <w:bCs/>
                <w:kern w:val="24"/>
                <w:sz w:val="20"/>
                <w:szCs w:val="20"/>
              </w:rPr>
              <w:t>BioRad</w:t>
            </w:r>
            <w:proofErr w:type="spellEnd"/>
            <w:r w:rsidRPr="00D93187">
              <w:rPr>
                <w:bCs/>
                <w:kern w:val="24"/>
                <w:sz w:val="20"/>
                <w:szCs w:val="20"/>
              </w:rPr>
              <w:t xml:space="preserve"> IRMA</w:t>
            </w:r>
          </w:p>
        </w:tc>
        <w:tc>
          <w:tcPr>
            <w:tcW w:w="1292" w:type="dxa"/>
          </w:tcPr>
          <w:p w14:paraId="4A9456EF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proofErr w:type="spellStart"/>
            <w:r w:rsidRPr="00D93187">
              <w:rPr>
                <w:bCs/>
                <w:kern w:val="24"/>
                <w:sz w:val="20"/>
                <w:szCs w:val="20"/>
              </w:rPr>
              <w:t>BioRad</w:t>
            </w:r>
            <w:proofErr w:type="spellEnd"/>
            <w:r w:rsidRPr="00D93187">
              <w:rPr>
                <w:bCs/>
                <w:kern w:val="24"/>
                <w:sz w:val="20"/>
                <w:szCs w:val="20"/>
              </w:rPr>
              <w:t xml:space="preserve"> IRMA</w:t>
            </w:r>
          </w:p>
        </w:tc>
        <w:tc>
          <w:tcPr>
            <w:tcW w:w="1292" w:type="dxa"/>
          </w:tcPr>
          <w:p w14:paraId="37D7F8A0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proofErr w:type="spellStart"/>
            <w:r w:rsidRPr="00D93187">
              <w:rPr>
                <w:bCs/>
                <w:kern w:val="24"/>
                <w:sz w:val="20"/>
                <w:szCs w:val="20"/>
              </w:rPr>
              <w:t>BioRad</w:t>
            </w:r>
            <w:proofErr w:type="spellEnd"/>
            <w:r w:rsidRPr="00D93187">
              <w:rPr>
                <w:bCs/>
                <w:kern w:val="24"/>
                <w:sz w:val="20"/>
                <w:szCs w:val="20"/>
              </w:rPr>
              <w:t xml:space="preserve"> IRMA</w:t>
            </w:r>
          </w:p>
        </w:tc>
        <w:tc>
          <w:tcPr>
            <w:tcW w:w="1292" w:type="dxa"/>
          </w:tcPr>
          <w:p w14:paraId="7369D7E1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D93187">
              <w:rPr>
                <w:bCs/>
                <w:kern w:val="24"/>
                <w:sz w:val="20"/>
                <w:szCs w:val="20"/>
              </w:rPr>
              <w:t>Hitachi 912 IT</w:t>
            </w:r>
            <w:r w:rsidRPr="0045170E">
              <w:rPr>
                <w:bCs/>
                <w:kern w:val="24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0" w:type="dxa"/>
          </w:tcPr>
          <w:p w14:paraId="3E8BD710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D93187">
              <w:rPr>
                <w:bCs/>
                <w:kern w:val="24"/>
                <w:sz w:val="20"/>
                <w:szCs w:val="20"/>
              </w:rPr>
              <w:t>Roche E</w:t>
            </w:r>
            <w:r>
              <w:rPr>
                <w:bCs/>
                <w:kern w:val="24"/>
                <w:sz w:val="20"/>
                <w:szCs w:val="20"/>
              </w:rPr>
              <w:t>-</w:t>
            </w:r>
            <w:r w:rsidRPr="00D93187">
              <w:rPr>
                <w:bCs/>
                <w:kern w:val="24"/>
                <w:sz w:val="20"/>
                <w:szCs w:val="20"/>
              </w:rPr>
              <w:t>1</w:t>
            </w:r>
            <w:r>
              <w:rPr>
                <w:bCs/>
                <w:kern w:val="24"/>
                <w:sz w:val="20"/>
                <w:szCs w:val="20"/>
              </w:rPr>
              <w:t>7</w:t>
            </w:r>
            <w:r w:rsidRPr="00D93187">
              <w:rPr>
                <w:bCs/>
                <w:kern w:val="24"/>
                <w:sz w:val="20"/>
                <w:szCs w:val="20"/>
              </w:rPr>
              <w:t>0 IT</w:t>
            </w:r>
          </w:p>
        </w:tc>
        <w:tc>
          <w:tcPr>
            <w:tcW w:w="1440" w:type="dxa"/>
          </w:tcPr>
          <w:p w14:paraId="15C65243" w14:textId="77777777" w:rsidR="005C3212" w:rsidRPr="00D93187" w:rsidRDefault="005C3212" w:rsidP="0074699E">
            <w:pPr>
              <w:pStyle w:val="NormalWeb"/>
              <w:tabs>
                <w:tab w:val="left" w:pos="285"/>
                <w:tab w:val="center" w:pos="504"/>
              </w:tabs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D93187">
              <w:rPr>
                <w:bCs/>
                <w:kern w:val="24"/>
                <w:sz w:val="20"/>
                <w:szCs w:val="20"/>
              </w:rPr>
              <w:t>Roche E</w:t>
            </w:r>
            <w:r>
              <w:rPr>
                <w:bCs/>
                <w:kern w:val="24"/>
                <w:sz w:val="20"/>
                <w:szCs w:val="20"/>
              </w:rPr>
              <w:t>-</w:t>
            </w:r>
            <w:r w:rsidRPr="00D93187">
              <w:rPr>
                <w:bCs/>
                <w:kern w:val="24"/>
                <w:sz w:val="20"/>
                <w:szCs w:val="20"/>
              </w:rPr>
              <w:t>1</w:t>
            </w:r>
            <w:r>
              <w:rPr>
                <w:bCs/>
                <w:kern w:val="24"/>
                <w:sz w:val="20"/>
                <w:szCs w:val="20"/>
              </w:rPr>
              <w:t>7</w:t>
            </w:r>
            <w:r w:rsidRPr="00D93187">
              <w:rPr>
                <w:bCs/>
                <w:kern w:val="24"/>
                <w:sz w:val="20"/>
                <w:szCs w:val="20"/>
              </w:rPr>
              <w:t>0 IT</w:t>
            </w:r>
          </w:p>
        </w:tc>
      </w:tr>
      <w:tr w:rsidR="005C3212" w:rsidRPr="00D93187" w14:paraId="7CDE14F0" w14:textId="77777777" w:rsidTr="0074699E">
        <w:tc>
          <w:tcPr>
            <w:tcW w:w="1561" w:type="dxa"/>
          </w:tcPr>
          <w:p w14:paraId="0649B13F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rPr>
                <w:sz w:val="20"/>
                <w:szCs w:val="20"/>
              </w:rPr>
            </w:pPr>
            <w:r w:rsidRPr="00D93187">
              <w:rPr>
                <w:kern w:val="24"/>
                <w:sz w:val="20"/>
                <w:szCs w:val="20"/>
              </w:rPr>
              <w:t>T</w:t>
            </w:r>
            <w:r>
              <w:rPr>
                <w:kern w:val="24"/>
                <w:sz w:val="20"/>
                <w:szCs w:val="20"/>
              </w:rPr>
              <w:t>SAT</w:t>
            </w:r>
          </w:p>
        </w:tc>
        <w:tc>
          <w:tcPr>
            <w:tcW w:w="876" w:type="dxa"/>
          </w:tcPr>
          <w:p w14:paraId="5421623A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14:paraId="1FC22895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D93187">
              <w:rPr>
                <w:kern w:val="24"/>
                <w:sz w:val="20"/>
                <w:szCs w:val="20"/>
              </w:rPr>
              <w:t>Calculated</w:t>
            </w:r>
            <w:r>
              <w:rPr>
                <w:kern w:val="24"/>
                <w:sz w:val="20"/>
                <w:szCs w:val="20"/>
              </w:rPr>
              <w:t xml:space="preserve"> Iron/TIBC</w:t>
            </w:r>
          </w:p>
        </w:tc>
        <w:tc>
          <w:tcPr>
            <w:tcW w:w="1377" w:type="dxa"/>
          </w:tcPr>
          <w:p w14:paraId="769BA9FA" w14:textId="77777777" w:rsidR="005C3212" w:rsidRPr="00D93187" w:rsidRDefault="005C3212" w:rsidP="007469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Calculated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Iron/TIBC</w:t>
            </w:r>
          </w:p>
        </w:tc>
        <w:tc>
          <w:tcPr>
            <w:tcW w:w="1292" w:type="dxa"/>
          </w:tcPr>
          <w:p w14:paraId="4CD4D175" w14:textId="77777777" w:rsidR="005C3212" w:rsidRPr="00D93187" w:rsidRDefault="005C3212" w:rsidP="007469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Calculated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Iron/TIBC</w:t>
            </w:r>
          </w:p>
        </w:tc>
        <w:tc>
          <w:tcPr>
            <w:tcW w:w="1292" w:type="dxa"/>
          </w:tcPr>
          <w:p w14:paraId="1B74563D" w14:textId="77777777" w:rsidR="005C3212" w:rsidRPr="00D93187" w:rsidRDefault="005C3212" w:rsidP="007469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Calculated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Iron/TIBC</w:t>
            </w:r>
          </w:p>
        </w:tc>
        <w:tc>
          <w:tcPr>
            <w:tcW w:w="1292" w:type="dxa"/>
          </w:tcPr>
          <w:p w14:paraId="591D28BE" w14:textId="77777777" w:rsidR="005C3212" w:rsidRPr="00D93187" w:rsidRDefault="005C3212" w:rsidP="007469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C</w:t>
            </w:r>
            <w:r w:rsidRPr="00D931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alculated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Iron/TIBC</w:t>
            </w:r>
            <w:r w:rsidRPr="00014A21">
              <w:rPr>
                <w:rFonts w:ascii="Times New Roman" w:hAnsi="Times New Roman" w:cs="Times New Roman"/>
                <w:kern w:val="24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92" w:type="dxa"/>
          </w:tcPr>
          <w:p w14:paraId="4EB0DEE8" w14:textId="77777777" w:rsidR="005C3212" w:rsidRPr="00D93187" w:rsidRDefault="005C3212" w:rsidP="007469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Calculated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Iron/(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Iron+UIBC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72645AF8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02E37E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C3212" w:rsidRPr="00D93187" w14:paraId="6717F30F" w14:textId="77777777" w:rsidTr="0074699E">
        <w:tc>
          <w:tcPr>
            <w:tcW w:w="1561" w:type="dxa"/>
          </w:tcPr>
          <w:p w14:paraId="6ED635EB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rPr>
                <w:kern w:val="24"/>
                <w:sz w:val="20"/>
                <w:szCs w:val="20"/>
              </w:rPr>
            </w:pPr>
            <w:r w:rsidRPr="00D93187">
              <w:rPr>
                <w:kern w:val="24"/>
                <w:sz w:val="20"/>
                <w:szCs w:val="20"/>
              </w:rPr>
              <w:t xml:space="preserve">   Iron</w:t>
            </w:r>
          </w:p>
        </w:tc>
        <w:tc>
          <w:tcPr>
            <w:tcW w:w="876" w:type="dxa"/>
          </w:tcPr>
          <w:p w14:paraId="2ADF6698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rPr>
                <w:kern w:val="24"/>
                <w:sz w:val="20"/>
                <w:szCs w:val="20"/>
              </w:rPr>
            </w:pPr>
            <w:r w:rsidRPr="00D93187">
              <w:rPr>
                <w:kern w:val="24"/>
                <w:sz w:val="20"/>
                <w:szCs w:val="20"/>
              </w:rPr>
              <w:t>Serum</w:t>
            </w:r>
          </w:p>
        </w:tc>
        <w:tc>
          <w:tcPr>
            <w:tcW w:w="1292" w:type="dxa"/>
          </w:tcPr>
          <w:p w14:paraId="576F9030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D93187">
              <w:rPr>
                <w:bCs/>
                <w:kern w:val="24"/>
                <w:sz w:val="20"/>
                <w:szCs w:val="20"/>
              </w:rPr>
              <w:t>Manual colorimetric</w:t>
            </w:r>
          </w:p>
        </w:tc>
        <w:tc>
          <w:tcPr>
            <w:tcW w:w="1377" w:type="dxa"/>
          </w:tcPr>
          <w:p w14:paraId="6DFB5967" w14:textId="77777777" w:rsidR="005C3212" w:rsidRPr="00D93187" w:rsidRDefault="005C3212" w:rsidP="007469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7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Manual colorimetric</w:t>
            </w:r>
          </w:p>
        </w:tc>
        <w:tc>
          <w:tcPr>
            <w:tcW w:w="1292" w:type="dxa"/>
          </w:tcPr>
          <w:p w14:paraId="5EA1A7B2" w14:textId="77777777" w:rsidR="005C3212" w:rsidRPr="00D93187" w:rsidRDefault="005C3212" w:rsidP="007469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7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Manual colorimetric</w:t>
            </w:r>
          </w:p>
        </w:tc>
        <w:tc>
          <w:tcPr>
            <w:tcW w:w="1292" w:type="dxa"/>
          </w:tcPr>
          <w:p w14:paraId="7AAB4B6D" w14:textId="77777777" w:rsidR="005C3212" w:rsidRPr="00D93187" w:rsidRDefault="005C3212" w:rsidP="007469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7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Manual colorimetric</w:t>
            </w:r>
          </w:p>
        </w:tc>
        <w:tc>
          <w:tcPr>
            <w:tcW w:w="1292" w:type="dxa"/>
          </w:tcPr>
          <w:p w14:paraId="187986CB" w14:textId="77777777" w:rsidR="005C3212" w:rsidRPr="00D93187" w:rsidRDefault="005C3212" w:rsidP="007469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7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Manual colorimetric</w:t>
            </w:r>
            <w:r w:rsidRPr="00014A21">
              <w:rPr>
                <w:rFonts w:ascii="Times New Roman" w:hAnsi="Times New Roman" w:cs="Times New Roman"/>
                <w:kern w:val="24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92" w:type="dxa"/>
          </w:tcPr>
          <w:p w14:paraId="0934C655" w14:textId="77777777" w:rsidR="005C3212" w:rsidRPr="00D93187" w:rsidRDefault="005C3212" w:rsidP="007469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7">
              <w:rPr>
                <w:rFonts w:ascii="Times New Roman" w:hAnsi="Times New Roman" w:cs="Times New Roman"/>
                <w:sz w:val="20"/>
                <w:szCs w:val="20"/>
              </w:rPr>
              <w:t>Beckman LX20 colorimetric</w:t>
            </w:r>
          </w:p>
        </w:tc>
        <w:tc>
          <w:tcPr>
            <w:tcW w:w="1440" w:type="dxa"/>
          </w:tcPr>
          <w:p w14:paraId="48A96147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505B5B0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C3212" w:rsidRPr="00D93187" w14:paraId="791DCF60" w14:textId="77777777" w:rsidTr="0074699E">
        <w:tc>
          <w:tcPr>
            <w:tcW w:w="1561" w:type="dxa"/>
          </w:tcPr>
          <w:p w14:paraId="1CD4634A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rPr>
                <w:kern w:val="24"/>
                <w:sz w:val="20"/>
                <w:szCs w:val="20"/>
              </w:rPr>
            </w:pPr>
            <w:r w:rsidRPr="00D93187">
              <w:rPr>
                <w:kern w:val="24"/>
                <w:sz w:val="20"/>
                <w:szCs w:val="20"/>
              </w:rPr>
              <w:t xml:space="preserve">   TIBC</w:t>
            </w:r>
          </w:p>
        </w:tc>
        <w:tc>
          <w:tcPr>
            <w:tcW w:w="876" w:type="dxa"/>
          </w:tcPr>
          <w:p w14:paraId="1AF1C362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rPr>
                <w:kern w:val="24"/>
                <w:sz w:val="20"/>
                <w:szCs w:val="20"/>
              </w:rPr>
            </w:pPr>
            <w:r w:rsidRPr="00D93187">
              <w:rPr>
                <w:kern w:val="24"/>
                <w:sz w:val="20"/>
                <w:szCs w:val="20"/>
              </w:rPr>
              <w:t>Serum</w:t>
            </w:r>
          </w:p>
        </w:tc>
        <w:tc>
          <w:tcPr>
            <w:tcW w:w="1292" w:type="dxa"/>
          </w:tcPr>
          <w:p w14:paraId="47E1549A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D93187">
              <w:rPr>
                <w:bCs/>
                <w:kern w:val="24"/>
                <w:sz w:val="20"/>
                <w:szCs w:val="20"/>
              </w:rPr>
              <w:t>Manual colorimetric</w:t>
            </w:r>
          </w:p>
        </w:tc>
        <w:tc>
          <w:tcPr>
            <w:tcW w:w="1377" w:type="dxa"/>
          </w:tcPr>
          <w:p w14:paraId="2A777528" w14:textId="77777777" w:rsidR="005C3212" w:rsidRPr="00D93187" w:rsidRDefault="005C3212" w:rsidP="007469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7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Manual colorimetric</w:t>
            </w:r>
          </w:p>
        </w:tc>
        <w:tc>
          <w:tcPr>
            <w:tcW w:w="1292" w:type="dxa"/>
          </w:tcPr>
          <w:p w14:paraId="43D657DF" w14:textId="77777777" w:rsidR="005C3212" w:rsidRPr="00D93187" w:rsidRDefault="005C3212" w:rsidP="007469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7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Manual colorimetric</w:t>
            </w:r>
          </w:p>
        </w:tc>
        <w:tc>
          <w:tcPr>
            <w:tcW w:w="1292" w:type="dxa"/>
          </w:tcPr>
          <w:p w14:paraId="10F5E5C6" w14:textId="77777777" w:rsidR="005C3212" w:rsidRPr="00D93187" w:rsidRDefault="005C3212" w:rsidP="007469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7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Manual colorimetric</w:t>
            </w:r>
          </w:p>
        </w:tc>
        <w:tc>
          <w:tcPr>
            <w:tcW w:w="1292" w:type="dxa"/>
          </w:tcPr>
          <w:p w14:paraId="447C95A7" w14:textId="77777777" w:rsidR="005C3212" w:rsidRPr="00D93187" w:rsidRDefault="005C3212" w:rsidP="007469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7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Manual colorimetric</w:t>
            </w:r>
            <w:r w:rsidRPr="00014A21">
              <w:rPr>
                <w:rFonts w:ascii="Times New Roman" w:hAnsi="Times New Roman" w:cs="Times New Roman"/>
                <w:kern w:val="24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92" w:type="dxa"/>
          </w:tcPr>
          <w:p w14:paraId="7A85EE66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F17AADF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A033BE6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</w:p>
        </w:tc>
      </w:tr>
      <w:tr w:rsidR="005C3212" w:rsidRPr="00D93187" w14:paraId="3313F15B" w14:textId="77777777" w:rsidTr="0074699E">
        <w:tc>
          <w:tcPr>
            <w:tcW w:w="1561" w:type="dxa"/>
          </w:tcPr>
          <w:p w14:paraId="07A99A80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rPr>
                <w:kern w:val="24"/>
                <w:sz w:val="20"/>
                <w:szCs w:val="20"/>
              </w:rPr>
            </w:pPr>
            <w:r w:rsidRPr="00D93187">
              <w:rPr>
                <w:kern w:val="24"/>
                <w:sz w:val="20"/>
                <w:szCs w:val="20"/>
              </w:rPr>
              <w:t xml:space="preserve">   UIBC</w:t>
            </w:r>
          </w:p>
        </w:tc>
        <w:tc>
          <w:tcPr>
            <w:tcW w:w="876" w:type="dxa"/>
          </w:tcPr>
          <w:p w14:paraId="1098E776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rPr>
                <w:kern w:val="24"/>
                <w:sz w:val="20"/>
                <w:szCs w:val="20"/>
              </w:rPr>
            </w:pPr>
            <w:r w:rsidRPr="00D93187">
              <w:rPr>
                <w:kern w:val="24"/>
                <w:sz w:val="20"/>
                <w:szCs w:val="20"/>
              </w:rPr>
              <w:t>Serum</w:t>
            </w:r>
          </w:p>
        </w:tc>
        <w:tc>
          <w:tcPr>
            <w:tcW w:w="1292" w:type="dxa"/>
          </w:tcPr>
          <w:p w14:paraId="54F44DDE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1377" w:type="dxa"/>
          </w:tcPr>
          <w:p w14:paraId="3B5C19BC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1292" w:type="dxa"/>
          </w:tcPr>
          <w:p w14:paraId="57542433" w14:textId="77777777" w:rsidR="005C3212" w:rsidRPr="00D93187" w:rsidRDefault="005C3212" w:rsidP="007469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14:paraId="51FDAFBD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1292" w:type="dxa"/>
          </w:tcPr>
          <w:p w14:paraId="0C4BBF21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1292" w:type="dxa"/>
          </w:tcPr>
          <w:p w14:paraId="50F003D1" w14:textId="77777777" w:rsidR="005C3212" w:rsidRPr="00D93187" w:rsidRDefault="005C3212" w:rsidP="007469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7">
              <w:rPr>
                <w:rFonts w:ascii="Times New Roman" w:hAnsi="Times New Roman" w:cs="Times New Roman"/>
                <w:sz w:val="20"/>
                <w:szCs w:val="20"/>
              </w:rPr>
              <w:t>Beckman LX20 colorimetric</w:t>
            </w:r>
          </w:p>
        </w:tc>
        <w:tc>
          <w:tcPr>
            <w:tcW w:w="1440" w:type="dxa"/>
          </w:tcPr>
          <w:p w14:paraId="22CF56EC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7466817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C3212" w:rsidRPr="00D93187" w14:paraId="0A49B385" w14:textId="77777777" w:rsidTr="0074699E">
        <w:tc>
          <w:tcPr>
            <w:tcW w:w="1561" w:type="dxa"/>
          </w:tcPr>
          <w:p w14:paraId="1F1EEFFA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E</w:t>
            </w:r>
            <w:r w:rsidRPr="00D93187">
              <w:rPr>
                <w:kern w:val="24"/>
                <w:sz w:val="20"/>
                <w:szCs w:val="20"/>
              </w:rPr>
              <w:t>P</w:t>
            </w:r>
          </w:p>
        </w:tc>
        <w:tc>
          <w:tcPr>
            <w:tcW w:w="876" w:type="dxa"/>
          </w:tcPr>
          <w:p w14:paraId="00E8FAFA" w14:textId="77777777" w:rsidR="005C3212" w:rsidRPr="00D93187" w:rsidRDefault="005C3212" w:rsidP="007469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7">
              <w:rPr>
                <w:rFonts w:ascii="Times New Roman" w:hAnsi="Times New Roman" w:cs="Times New Roman"/>
                <w:sz w:val="20"/>
                <w:szCs w:val="20"/>
              </w:rPr>
              <w:t>Whole blood</w:t>
            </w:r>
          </w:p>
        </w:tc>
        <w:tc>
          <w:tcPr>
            <w:tcW w:w="1292" w:type="dxa"/>
          </w:tcPr>
          <w:p w14:paraId="04F1024B" w14:textId="77777777" w:rsidR="005C3212" w:rsidRPr="00D93187" w:rsidRDefault="005C3212" w:rsidP="007469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2CF1B6F0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D93187">
              <w:rPr>
                <w:kern w:val="24"/>
                <w:sz w:val="20"/>
                <w:szCs w:val="20"/>
              </w:rPr>
              <w:t>Fluorescence extraction</w:t>
            </w:r>
            <w:r w:rsidRPr="00014A21">
              <w:rPr>
                <w:kern w:val="24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92" w:type="dxa"/>
          </w:tcPr>
          <w:p w14:paraId="5003E34B" w14:textId="77777777" w:rsidR="005C3212" w:rsidRPr="00D93187" w:rsidRDefault="005C3212" w:rsidP="007469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Fluorescence extraction</w:t>
            </w:r>
            <w:r w:rsidRPr="00415CA9">
              <w:rPr>
                <w:rFonts w:ascii="Times New Roman" w:hAnsi="Times New Roman" w:cs="Times New Roman"/>
                <w:kern w:val="24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92" w:type="dxa"/>
          </w:tcPr>
          <w:p w14:paraId="4033A773" w14:textId="77777777" w:rsidR="005C3212" w:rsidRPr="00D93187" w:rsidRDefault="005C3212" w:rsidP="007469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Fluorescence extraction</w:t>
            </w:r>
            <w:r w:rsidRPr="00415CA9">
              <w:rPr>
                <w:rFonts w:ascii="Times New Roman" w:hAnsi="Times New Roman" w:cs="Times New Roman"/>
                <w:kern w:val="24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92" w:type="dxa"/>
          </w:tcPr>
          <w:p w14:paraId="18ABB7DA" w14:textId="77777777" w:rsidR="005C3212" w:rsidRPr="00D93187" w:rsidRDefault="005C3212" w:rsidP="007469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Fluorescence extraction</w:t>
            </w:r>
            <w:r w:rsidRPr="00415CA9">
              <w:rPr>
                <w:rFonts w:ascii="Times New Roman" w:hAnsi="Times New Roman" w:cs="Times New Roman"/>
                <w:kern w:val="24"/>
                <w:sz w:val="20"/>
                <w:szCs w:val="20"/>
                <w:vertAlign w:val="superscript"/>
              </w:rPr>
              <w:t>5</w:t>
            </w:r>
            <w:r>
              <w:rPr>
                <w:kern w:val="24"/>
                <w:sz w:val="20"/>
                <w:szCs w:val="20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92" w:type="dxa"/>
          </w:tcPr>
          <w:p w14:paraId="0EB8EE34" w14:textId="77777777" w:rsidR="005C3212" w:rsidRPr="00D93187" w:rsidRDefault="005C3212" w:rsidP="007469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Fluorescence extraction</w:t>
            </w:r>
            <w:r w:rsidRPr="00415CA9">
              <w:rPr>
                <w:rFonts w:ascii="Times New Roman" w:hAnsi="Times New Roman" w:cs="Times New Roman"/>
                <w:kern w:val="24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440" w:type="dxa"/>
          </w:tcPr>
          <w:p w14:paraId="679709B8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85CC6F7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</w:p>
        </w:tc>
      </w:tr>
      <w:tr w:rsidR="005C3212" w:rsidRPr="00D93187" w14:paraId="1F38BE9D" w14:textId="77777777" w:rsidTr="0074699E">
        <w:tc>
          <w:tcPr>
            <w:tcW w:w="1561" w:type="dxa"/>
          </w:tcPr>
          <w:p w14:paraId="4878BB39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rPr>
                <w:sz w:val="20"/>
                <w:szCs w:val="20"/>
              </w:rPr>
            </w:pPr>
            <w:proofErr w:type="spellStart"/>
            <w:r w:rsidRPr="00D93187">
              <w:rPr>
                <w:kern w:val="24"/>
                <w:sz w:val="20"/>
                <w:szCs w:val="20"/>
              </w:rPr>
              <w:t>sTfR</w:t>
            </w:r>
            <w:proofErr w:type="spellEnd"/>
          </w:p>
        </w:tc>
        <w:tc>
          <w:tcPr>
            <w:tcW w:w="876" w:type="dxa"/>
          </w:tcPr>
          <w:p w14:paraId="5AB3659A" w14:textId="77777777" w:rsidR="005C3212" w:rsidRPr="00D93187" w:rsidRDefault="005C3212" w:rsidP="0074699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7">
              <w:rPr>
                <w:rFonts w:ascii="Times New Roman" w:hAnsi="Times New Roman" w:cs="Times New Roman"/>
                <w:sz w:val="20"/>
                <w:szCs w:val="20"/>
              </w:rPr>
              <w:t>Serum</w:t>
            </w:r>
          </w:p>
        </w:tc>
        <w:tc>
          <w:tcPr>
            <w:tcW w:w="1292" w:type="dxa"/>
          </w:tcPr>
          <w:p w14:paraId="2F4DB45D" w14:textId="77777777" w:rsidR="005C3212" w:rsidRPr="00D93187" w:rsidRDefault="005C3212" w:rsidP="007469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14:paraId="530D3172" w14:textId="77777777" w:rsidR="005C3212" w:rsidRPr="00D93187" w:rsidRDefault="005C3212" w:rsidP="007469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14:paraId="3C2EBE34" w14:textId="77777777" w:rsidR="005C3212" w:rsidRPr="00D93187" w:rsidRDefault="005C3212" w:rsidP="007469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14:paraId="684397EC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D93187">
              <w:rPr>
                <w:kern w:val="24"/>
                <w:sz w:val="20"/>
                <w:szCs w:val="20"/>
              </w:rPr>
              <w:t>ELISA</w:t>
            </w:r>
            <w:r>
              <w:rPr>
                <w:kern w:val="24"/>
                <w:position w:val="8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292" w:type="dxa"/>
          </w:tcPr>
          <w:p w14:paraId="04281A12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D93187">
              <w:rPr>
                <w:kern w:val="24"/>
                <w:sz w:val="20"/>
                <w:szCs w:val="20"/>
              </w:rPr>
              <w:t>Hitachi 912 IT</w:t>
            </w:r>
          </w:p>
        </w:tc>
        <w:tc>
          <w:tcPr>
            <w:tcW w:w="1292" w:type="dxa"/>
          </w:tcPr>
          <w:p w14:paraId="117CD625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D93187">
              <w:rPr>
                <w:kern w:val="24"/>
                <w:sz w:val="20"/>
                <w:szCs w:val="20"/>
              </w:rPr>
              <w:t>Hitachi 912 IT</w:t>
            </w:r>
          </w:p>
        </w:tc>
        <w:tc>
          <w:tcPr>
            <w:tcW w:w="1440" w:type="dxa"/>
          </w:tcPr>
          <w:p w14:paraId="7D30065B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D93187">
              <w:rPr>
                <w:kern w:val="24"/>
                <w:sz w:val="20"/>
                <w:szCs w:val="20"/>
              </w:rPr>
              <w:t>Roche Mod P IT</w:t>
            </w:r>
          </w:p>
        </w:tc>
        <w:tc>
          <w:tcPr>
            <w:tcW w:w="1440" w:type="dxa"/>
          </w:tcPr>
          <w:p w14:paraId="3670C4C0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D93187">
              <w:rPr>
                <w:kern w:val="24"/>
                <w:sz w:val="20"/>
                <w:szCs w:val="20"/>
              </w:rPr>
              <w:t>Roche Mod P IT</w:t>
            </w:r>
          </w:p>
        </w:tc>
      </w:tr>
      <w:tr w:rsidR="005C3212" w:rsidRPr="00D93187" w14:paraId="007BC2B7" w14:textId="77777777" w:rsidTr="0074699E">
        <w:tc>
          <w:tcPr>
            <w:tcW w:w="1561" w:type="dxa"/>
          </w:tcPr>
          <w:p w14:paraId="5EF53DBD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rPr>
                <w:sz w:val="20"/>
                <w:szCs w:val="20"/>
              </w:rPr>
            </w:pPr>
            <w:proofErr w:type="spellStart"/>
            <w:r w:rsidRPr="00D93187">
              <w:rPr>
                <w:kern w:val="24"/>
                <w:sz w:val="20"/>
                <w:szCs w:val="20"/>
              </w:rPr>
              <w:t>Hb</w:t>
            </w:r>
            <w:proofErr w:type="spellEnd"/>
          </w:p>
        </w:tc>
        <w:tc>
          <w:tcPr>
            <w:tcW w:w="876" w:type="dxa"/>
          </w:tcPr>
          <w:p w14:paraId="014E580D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rPr>
                <w:sz w:val="20"/>
                <w:szCs w:val="20"/>
              </w:rPr>
            </w:pPr>
            <w:r w:rsidRPr="00D93187">
              <w:rPr>
                <w:kern w:val="24"/>
                <w:sz w:val="20"/>
                <w:szCs w:val="20"/>
              </w:rPr>
              <w:t>WB</w:t>
            </w:r>
          </w:p>
        </w:tc>
        <w:tc>
          <w:tcPr>
            <w:tcW w:w="1292" w:type="dxa"/>
          </w:tcPr>
          <w:p w14:paraId="35949CC7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D93187">
              <w:rPr>
                <w:kern w:val="24"/>
                <w:sz w:val="20"/>
                <w:szCs w:val="20"/>
              </w:rPr>
              <w:t>Coulter FN</w:t>
            </w:r>
          </w:p>
        </w:tc>
        <w:tc>
          <w:tcPr>
            <w:tcW w:w="1377" w:type="dxa"/>
          </w:tcPr>
          <w:p w14:paraId="214F3EA9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D93187">
              <w:rPr>
                <w:kern w:val="24"/>
                <w:sz w:val="20"/>
                <w:szCs w:val="20"/>
              </w:rPr>
              <w:t>Coulter FN</w:t>
            </w:r>
          </w:p>
        </w:tc>
        <w:tc>
          <w:tcPr>
            <w:tcW w:w="1292" w:type="dxa"/>
          </w:tcPr>
          <w:p w14:paraId="78239975" w14:textId="77777777" w:rsidR="005C3212" w:rsidRPr="00D93187" w:rsidRDefault="005C3212" w:rsidP="007469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Coulter ZBI</w:t>
            </w:r>
          </w:p>
        </w:tc>
        <w:tc>
          <w:tcPr>
            <w:tcW w:w="1292" w:type="dxa"/>
          </w:tcPr>
          <w:p w14:paraId="08C302F6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D93187">
              <w:rPr>
                <w:kern w:val="24"/>
                <w:sz w:val="20"/>
                <w:szCs w:val="20"/>
              </w:rPr>
              <w:t>Coulter S Plus Jr</w:t>
            </w:r>
          </w:p>
        </w:tc>
        <w:tc>
          <w:tcPr>
            <w:tcW w:w="1292" w:type="dxa"/>
          </w:tcPr>
          <w:p w14:paraId="3C5548BF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D93187">
              <w:rPr>
                <w:kern w:val="24"/>
                <w:sz w:val="20"/>
                <w:szCs w:val="20"/>
              </w:rPr>
              <w:t>Coulter MAXM</w:t>
            </w:r>
          </w:p>
        </w:tc>
        <w:tc>
          <w:tcPr>
            <w:tcW w:w="1292" w:type="dxa"/>
          </w:tcPr>
          <w:p w14:paraId="2ED495C3" w14:textId="77777777" w:rsidR="005C3212" w:rsidRPr="00D93187" w:rsidRDefault="005C3212" w:rsidP="007469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Coulter MAXM</w:t>
            </w:r>
          </w:p>
        </w:tc>
        <w:tc>
          <w:tcPr>
            <w:tcW w:w="1440" w:type="dxa"/>
          </w:tcPr>
          <w:p w14:paraId="2C823388" w14:textId="77777777" w:rsidR="005C3212" w:rsidRPr="00D93187" w:rsidRDefault="005C3212" w:rsidP="007469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Coulter MAXM</w:t>
            </w:r>
          </w:p>
        </w:tc>
        <w:tc>
          <w:tcPr>
            <w:tcW w:w="1440" w:type="dxa"/>
          </w:tcPr>
          <w:p w14:paraId="19FFAC25" w14:textId="77777777" w:rsidR="005C3212" w:rsidRPr="00D93187" w:rsidRDefault="005C3212" w:rsidP="007469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Coulter MAXM</w:t>
            </w:r>
          </w:p>
        </w:tc>
      </w:tr>
      <w:tr w:rsidR="005C3212" w:rsidRPr="00D93187" w14:paraId="118DC3DE" w14:textId="77777777" w:rsidTr="0074699E">
        <w:tc>
          <w:tcPr>
            <w:tcW w:w="1561" w:type="dxa"/>
          </w:tcPr>
          <w:p w14:paraId="26E98D98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rPr>
                <w:kern w:val="24"/>
                <w:sz w:val="20"/>
                <w:szCs w:val="20"/>
              </w:rPr>
            </w:pPr>
            <w:proofErr w:type="spellStart"/>
            <w:r w:rsidRPr="00D93187">
              <w:rPr>
                <w:kern w:val="24"/>
                <w:sz w:val="20"/>
                <w:szCs w:val="20"/>
              </w:rPr>
              <w:t>Hct</w:t>
            </w:r>
            <w:proofErr w:type="spellEnd"/>
          </w:p>
        </w:tc>
        <w:tc>
          <w:tcPr>
            <w:tcW w:w="876" w:type="dxa"/>
          </w:tcPr>
          <w:p w14:paraId="68E9D303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rPr>
                <w:kern w:val="24"/>
                <w:sz w:val="20"/>
                <w:szCs w:val="20"/>
              </w:rPr>
            </w:pPr>
            <w:r w:rsidRPr="00D93187">
              <w:rPr>
                <w:kern w:val="24"/>
                <w:sz w:val="20"/>
                <w:szCs w:val="20"/>
              </w:rPr>
              <w:t>WB</w:t>
            </w:r>
          </w:p>
        </w:tc>
        <w:tc>
          <w:tcPr>
            <w:tcW w:w="1292" w:type="dxa"/>
          </w:tcPr>
          <w:p w14:paraId="6D511AC7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kern w:val="24"/>
                <w:sz w:val="20"/>
                <w:szCs w:val="20"/>
              </w:rPr>
            </w:pPr>
            <w:r w:rsidRPr="00D93187">
              <w:rPr>
                <w:kern w:val="24"/>
                <w:sz w:val="20"/>
                <w:szCs w:val="20"/>
              </w:rPr>
              <w:t>Centrifuge</w:t>
            </w:r>
          </w:p>
        </w:tc>
        <w:tc>
          <w:tcPr>
            <w:tcW w:w="1377" w:type="dxa"/>
          </w:tcPr>
          <w:p w14:paraId="5B7D300A" w14:textId="77777777" w:rsidR="005C3212" w:rsidRPr="00D93187" w:rsidRDefault="005C3212" w:rsidP="007469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Centrifuge</w:t>
            </w:r>
          </w:p>
        </w:tc>
        <w:tc>
          <w:tcPr>
            <w:tcW w:w="1292" w:type="dxa"/>
          </w:tcPr>
          <w:p w14:paraId="6CA8D143" w14:textId="77777777" w:rsidR="005C3212" w:rsidRPr="00D93187" w:rsidRDefault="005C3212" w:rsidP="007469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Centrifuge</w:t>
            </w:r>
          </w:p>
        </w:tc>
        <w:tc>
          <w:tcPr>
            <w:tcW w:w="1292" w:type="dxa"/>
          </w:tcPr>
          <w:p w14:paraId="2370EB2E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D93187">
              <w:rPr>
                <w:kern w:val="24"/>
                <w:sz w:val="20"/>
                <w:szCs w:val="20"/>
              </w:rPr>
              <w:t>Coulter S Plus Jr</w:t>
            </w:r>
          </w:p>
        </w:tc>
        <w:tc>
          <w:tcPr>
            <w:tcW w:w="1292" w:type="dxa"/>
          </w:tcPr>
          <w:p w14:paraId="3DFB16A8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D93187">
              <w:rPr>
                <w:kern w:val="24"/>
                <w:sz w:val="20"/>
                <w:szCs w:val="20"/>
              </w:rPr>
              <w:t>Coulter MAXM</w:t>
            </w:r>
          </w:p>
        </w:tc>
        <w:tc>
          <w:tcPr>
            <w:tcW w:w="1292" w:type="dxa"/>
          </w:tcPr>
          <w:p w14:paraId="64A107CA" w14:textId="77777777" w:rsidR="005C3212" w:rsidRPr="00D93187" w:rsidRDefault="005C3212" w:rsidP="007469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Coulter MAXM</w:t>
            </w:r>
          </w:p>
        </w:tc>
        <w:tc>
          <w:tcPr>
            <w:tcW w:w="1440" w:type="dxa"/>
          </w:tcPr>
          <w:p w14:paraId="10B4CBA5" w14:textId="77777777" w:rsidR="005C3212" w:rsidRPr="00D93187" w:rsidRDefault="005C3212" w:rsidP="007469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Coulter MAXM</w:t>
            </w:r>
          </w:p>
        </w:tc>
        <w:tc>
          <w:tcPr>
            <w:tcW w:w="1440" w:type="dxa"/>
          </w:tcPr>
          <w:p w14:paraId="02F524B4" w14:textId="77777777" w:rsidR="005C3212" w:rsidRPr="00D93187" w:rsidRDefault="005C3212" w:rsidP="007469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Coulter MAXM</w:t>
            </w:r>
          </w:p>
        </w:tc>
      </w:tr>
      <w:tr w:rsidR="005C3212" w:rsidRPr="00D93187" w14:paraId="43CB3814" w14:textId="77777777" w:rsidTr="0074699E">
        <w:tc>
          <w:tcPr>
            <w:tcW w:w="1561" w:type="dxa"/>
          </w:tcPr>
          <w:p w14:paraId="069FD127" w14:textId="77777777" w:rsidR="005C3212" w:rsidRPr="00415CA9" w:rsidRDefault="005C3212" w:rsidP="0074699E">
            <w:pPr>
              <w:pStyle w:val="NormalWeb"/>
              <w:spacing w:before="120" w:beforeAutospacing="0" w:after="120" w:afterAutospacing="0"/>
              <w:rPr>
                <w:kern w:val="24"/>
                <w:sz w:val="20"/>
                <w:szCs w:val="20"/>
              </w:rPr>
            </w:pPr>
            <w:r w:rsidRPr="00D93187">
              <w:rPr>
                <w:kern w:val="24"/>
                <w:sz w:val="20"/>
                <w:szCs w:val="20"/>
              </w:rPr>
              <w:t>Other red cell indices</w:t>
            </w:r>
          </w:p>
        </w:tc>
        <w:tc>
          <w:tcPr>
            <w:tcW w:w="876" w:type="dxa"/>
          </w:tcPr>
          <w:p w14:paraId="3C2783CF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rPr>
                <w:kern w:val="24"/>
                <w:sz w:val="20"/>
                <w:szCs w:val="20"/>
              </w:rPr>
            </w:pPr>
            <w:r w:rsidRPr="00D93187">
              <w:rPr>
                <w:kern w:val="24"/>
                <w:sz w:val="20"/>
                <w:szCs w:val="20"/>
              </w:rPr>
              <w:t>WB</w:t>
            </w:r>
          </w:p>
        </w:tc>
        <w:tc>
          <w:tcPr>
            <w:tcW w:w="1292" w:type="dxa"/>
          </w:tcPr>
          <w:p w14:paraId="52F87058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1377" w:type="dxa"/>
          </w:tcPr>
          <w:p w14:paraId="1FFAB923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D93187">
              <w:rPr>
                <w:kern w:val="24"/>
                <w:sz w:val="20"/>
                <w:szCs w:val="20"/>
              </w:rPr>
              <w:t>Calculated</w:t>
            </w:r>
          </w:p>
        </w:tc>
        <w:tc>
          <w:tcPr>
            <w:tcW w:w="1292" w:type="dxa"/>
          </w:tcPr>
          <w:p w14:paraId="709D2D08" w14:textId="77777777" w:rsidR="005C3212" w:rsidRPr="00D93187" w:rsidRDefault="005C3212" w:rsidP="007469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Calculated</w:t>
            </w:r>
          </w:p>
        </w:tc>
        <w:tc>
          <w:tcPr>
            <w:tcW w:w="1292" w:type="dxa"/>
          </w:tcPr>
          <w:p w14:paraId="58D58A62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D93187">
              <w:rPr>
                <w:kern w:val="24"/>
                <w:sz w:val="20"/>
                <w:szCs w:val="20"/>
              </w:rPr>
              <w:t>Coulter S Plus Jr</w:t>
            </w:r>
          </w:p>
        </w:tc>
        <w:tc>
          <w:tcPr>
            <w:tcW w:w="1292" w:type="dxa"/>
          </w:tcPr>
          <w:p w14:paraId="132AC2D2" w14:textId="77777777" w:rsidR="005C3212" w:rsidRPr="00D93187" w:rsidRDefault="005C3212" w:rsidP="0074699E">
            <w:pPr>
              <w:pStyle w:val="NormalWeb"/>
              <w:spacing w:before="120" w:beforeAutospacing="0" w:after="120" w:afterAutospacing="0"/>
              <w:jc w:val="center"/>
              <w:rPr>
                <w:sz w:val="20"/>
                <w:szCs w:val="20"/>
              </w:rPr>
            </w:pPr>
            <w:r w:rsidRPr="00D93187">
              <w:rPr>
                <w:kern w:val="24"/>
                <w:sz w:val="20"/>
                <w:szCs w:val="20"/>
              </w:rPr>
              <w:t>Coulter MAXM</w:t>
            </w:r>
          </w:p>
        </w:tc>
        <w:tc>
          <w:tcPr>
            <w:tcW w:w="1292" w:type="dxa"/>
          </w:tcPr>
          <w:p w14:paraId="6A80B75F" w14:textId="77777777" w:rsidR="005C3212" w:rsidRPr="00D93187" w:rsidRDefault="005C3212" w:rsidP="007469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Coulter MAXM</w:t>
            </w:r>
          </w:p>
        </w:tc>
        <w:tc>
          <w:tcPr>
            <w:tcW w:w="1440" w:type="dxa"/>
          </w:tcPr>
          <w:p w14:paraId="6707A37B" w14:textId="77777777" w:rsidR="005C3212" w:rsidRPr="00D93187" w:rsidRDefault="005C3212" w:rsidP="007469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Coulter MAXM</w:t>
            </w:r>
          </w:p>
        </w:tc>
        <w:tc>
          <w:tcPr>
            <w:tcW w:w="1440" w:type="dxa"/>
          </w:tcPr>
          <w:p w14:paraId="2B179C12" w14:textId="77777777" w:rsidR="005C3212" w:rsidRPr="00D93187" w:rsidRDefault="005C3212" w:rsidP="0074699E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18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Coulter MAXM</w:t>
            </w:r>
          </w:p>
        </w:tc>
      </w:tr>
    </w:tbl>
    <w:p w14:paraId="6633336D" w14:textId="4B9C9899" w:rsidR="005C3212" w:rsidRPr="00CB4B83" w:rsidRDefault="005C3212" w:rsidP="002A6F79">
      <w:pPr>
        <w:spacing w:before="120" w:after="120" w:line="480" w:lineRule="auto"/>
        <w:rPr>
          <w:rFonts w:ascii="Times New Roman" w:hAnsi="Times New Roman" w:cs="Times New Roman"/>
          <w:kern w:val="24"/>
        </w:rPr>
      </w:pPr>
      <w:r w:rsidRPr="00C67304">
        <w:rPr>
          <w:rFonts w:ascii="Times New Roman" w:hAnsi="Times New Roman" w:cs="Times New Roman"/>
          <w:kern w:val="24"/>
          <w:vertAlign w:val="superscript"/>
        </w:rPr>
        <w:lastRenderedPageBreak/>
        <w:t>1</w:t>
      </w:r>
      <w:r w:rsidRPr="00C67304">
        <w:rPr>
          <w:rFonts w:ascii="Times New Roman" w:hAnsi="Times New Roman" w:cs="Times New Roman"/>
          <w:kern w:val="24"/>
        </w:rPr>
        <w:t xml:space="preserve"> Laboratory analyses for biochemical indicators were conducted by the CDC Nutritional Biomarkers Laboratory unless otherwise indicated; laboratory analyses for hematologic indicators were conducted at the Mobile Examination Center; </w:t>
      </w:r>
      <w:r>
        <w:rPr>
          <w:rFonts w:ascii="Times New Roman" w:hAnsi="Times New Roman" w:cs="Times New Roman"/>
          <w:kern w:val="24"/>
          <w:szCs w:val="24"/>
        </w:rPr>
        <w:t>n</w:t>
      </w:r>
      <w:r w:rsidRPr="00C67304">
        <w:rPr>
          <w:rFonts w:ascii="Times New Roman" w:hAnsi="Times New Roman" w:cs="Times New Roman"/>
          <w:kern w:val="24"/>
          <w:szCs w:val="24"/>
        </w:rPr>
        <w:t xml:space="preserve">o biochemical iron status indicators were measured during 2011–2014; </w:t>
      </w:r>
      <w:r w:rsidRPr="00C67304">
        <w:rPr>
          <w:rFonts w:ascii="Times New Roman" w:hAnsi="Times New Roman" w:cs="Times New Roman"/>
          <w:kern w:val="24"/>
        </w:rPr>
        <w:t>ELISA, enzyme linked imm</w:t>
      </w:r>
      <w:r w:rsidR="002622D4">
        <w:rPr>
          <w:rFonts w:ascii="Times New Roman" w:hAnsi="Times New Roman" w:cs="Times New Roman"/>
          <w:kern w:val="24"/>
        </w:rPr>
        <w:t>u</w:t>
      </w:r>
      <w:r w:rsidRPr="00C67304">
        <w:rPr>
          <w:rFonts w:ascii="Times New Roman" w:hAnsi="Times New Roman" w:cs="Times New Roman"/>
          <w:kern w:val="24"/>
        </w:rPr>
        <w:t xml:space="preserve">nosorbent assay; EP, erythrocyte </w:t>
      </w:r>
      <w:proofErr w:type="spellStart"/>
      <w:r w:rsidRPr="00C67304">
        <w:rPr>
          <w:rFonts w:ascii="Times New Roman" w:hAnsi="Times New Roman" w:cs="Times New Roman"/>
          <w:kern w:val="24"/>
        </w:rPr>
        <w:t>protoporphyrin</w:t>
      </w:r>
      <w:proofErr w:type="spellEnd"/>
      <w:r w:rsidRPr="00C67304">
        <w:rPr>
          <w:rFonts w:ascii="Times New Roman" w:hAnsi="Times New Roman" w:cs="Times New Roman"/>
          <w:kern w:val="24"/>
        </w:rPr>
        <w:t xml:space="preserve"> (measured as free EP after extraction);</w:t>
      </w:r>
      <w:r>
        <w:rPr>
          <w:rFonts w:ascii="Times New Roman" w:hAnsi="Times New Roman" w:cs="Times New Roman"/>
          <w:kern w:val="24"/>
        </w:rPr>
        <w:t xml:space="preserve"> </w:t>
      </w:r>
      <w:r w:rsidRPr="00C67304">
        <w:rPr>
          <w:rFonts w:ascii="Times New Roman" w:hAnsi="Times New Roman" w:cs="Times New Roman"/>
          <w:kern w:val="24"/>
        </w:rPr>
        <w:t xml:space="preserve">IRMA, </w:t>
      </w:r>
      <w:proofErr w:type="spellStart"/>
      <w:r w:rsidRPr="00C67304">
        <w:rPr>
          <w:rFonts w:ascii="Times New Roman" w:hAnsi="Times New Roman" w:cs="Times New Roman"/>
          <w:kern w:val="24"/>
        </w:rPr>
        <w:t>immun</w:t>
      </w:r>
      <w:r>
        <w:rPr>
          <w:rFonts w:ascii="Times New Roman" w:hAnsi="Times New Roman" w:cs="Times New Roman"/>
          <w:kern w:val="24"/>
        </w:rPr>
        <w:t>o</w:t>
      </w:r>
      <w:r w:rsidRPr="00C67304">
        <w:rPr>
          <w:rFonts w:ascii="Times New Roman" w:hAnsi="Times New Roman" w:cs="Times New Roman"/>
          <w:kern w:val="24"/>
        </w:rPr>
        <w:t>radiometric</w:t>
      </w:r>
      <w:proofErr w:type="spellEnd"/>
      <w:r w:rsidRPr="00C67304">
        <w:rPr>
          <w:rFonts w:ascii="Times New Roman" w:hAnsi="Times New Roman" w:cs="Times New Roman"/>
          <w:kern w:val="24"/>
        </w:rPr>
        <w:t xml:space="preserve"> assay; IT, </w:t>
      </w:r>
      <w:proofErr w:type="spellStart"/>
      <w:r w:rsidRPr="00CB4B83">
        <w:rPr>
          <w:rFonts w:ascii="Times New Roman" w:hAnsi="Times New Roman" w:cs="Times New Roman"/>
          <w:kern w:val="24"/>
        </w:rPr>
        <w:t>immunoturbidimetry</w:t>
      </w:r>
      <w:proofErr w:type="spellEnd"/>
      <w:r w:rsidRPr="00CB4B83">
        <w:rPr>
          <w:rFonts w:ascii="Times New Roman" w:hAnsi="Times New Roman" w:cs="Times New Roman"/>
          <w:kern w:val="24"/>
        </w:rPr>
        <w:t xml:space="preserve">; </w:t>
      </w:r>
      <w:proofErr w:type="spellStart"/>
      <w:r w:rsidRPr="00CB4B83">
        <w:rPr>
          <w:rFonts w:ascii="Times New Roman" w:hAnsi="Times New Roman" w:cs="Times New Roman"/>
          <w:kern w:val="24"/>
        </w:rPr>
        <w:t>Hb</w:t>
      </w:r>
      <w:proofErr w:type="spellEnd"/>
      <w:r w:rsidRPr="00CB4B83">
        <w:rPr>
          <w:rFonts w:ascii="Times New Roman" w:hAnsi="Times New Roman" w:cs="Times New Roman"/>
          <w:kern w:val="24"/>
        </w:rPr>
        <w:t xml:space="preserve">, hemoglobin; </w:t>
      </w:r>
      <w:proofErr w:type="spellStart"/>
      <w:r w:rsidRPr="00CB4B83">
        <w:rPr>
          <w:rFonts w:ascii="Times New Roman" w:hAnsi="Times New Roman" w:cs="Times New Roman"/>
          <w:kern w:val="24"/>
        </w:rPr>
        <w:t>Hct</w:t>
      </w:r>
      <w:proofErr w:type="spellEnd"/>
      <w:r w:rsidRPr="00CB4B83">
        <w:rPr>
          <w:rFonts w:ascii="Times New Roman" w:hAnsi="Times New Roman" w:cs="Times New Roman"/>
          <w:kern w:val="24"/>
        </w:rPr>
        <w:t xml:space="preserve">, hematocrit; SF, serum ferritin; </w:t>
      </w:r>
      <w:proofErr w:type="spellStart"/>
      <w:r w:rsidRPr="00CB4B83">
        <w:rPr>
          <w:rFonts w:ascii="Times New Roman" w:hAnsi="Times New Roman" w:cs="Times New Roman"/>
          <w:kern w:val="24"/>
        </w:rPr>
        <w:t>sTfR</w:t>
      </w:r>
      <w:proofErr w:type="spellEnd"/>
      <w:r w:rsidRPr="00CB4B83">
        <w:rPr>
          <w:rFonts w:ascii="Times New Roman" w:hAnsi="Times New Roman" w:cs="Times New Roman"/>
          <w:kern w:val="24"/>
        </w:rPr>
        <w:t>, soluble transferrin receptor; TIBC, total iron-binding capacity; UIBC, unsaturated iron-binding capacity</w:t>
      </w:r>
      <w:r w:rsidR="002A6F79">
        <w:rPr>
          <w:rFonts w:ascii="Times New Roman" w:hAnsi="Times New Roman" w:cs="Times New Roman"/>
          <w:kern w:val="24"/>
        </w:rPr>
        <w:t>.</w:t>
      </w:r>
    </w:p>
    <w:p w14:paraId="5548C678" w14:textId="3EDA52D3" w:rsidR="005C3212" w:rsidRPr="00CB4B83" w:rsidRDefault="005C3212" w:rsidP="002A6F79">
      <w:pPr>
        <w:spacing w:after="120" w:line="480" w:lineRule="auto"/>
        <w:rPr>
          <w:rFonts w:ascii="Times New Roman" w:hAnsi="Times New Roman" w:cs="Times New Roman"/>
          <w:kern w:val="24"/>
        </w:rPr>
      </w:pPr>
      <w:r w:rsidRPr="00CB4B83">
        <w:rPr>
          <w:rFonts w:ascii="Times New Roman" w:hAnsi="Times New Roman" w:cs="Times New Roman"/>
          <w:kern w:val="24"/>
          <w:vertAlign w:val="superscript"/>
        </w:rPr>
        <w:t>2</w:t>
      </w:r>
      <w:r w:rsidRPr="00CB4B83">
        <w:rPr>
          <w:rFonts w:ascii="Times New Roman" w:hAnsi="Times New Roman" w:cs="Times New Roman"/>
          <w:kern w:val="24"/>
        </w:rPr>
        <w:t xml:space="preserve"> University of Kansas Medical Center (laboratory of James D. Cook, M.D.)</w:t>
      </w:r>
      <w:r w:rsidR="002A6F79">
        <w:rPr>
          <w:rFonts w:ascii="Times New Roman" w:hAnsi="Times New Roman" w:cs="Times New Roman"/>
          <w:kern w:val="24"/>
        </w:rPr>
        <w:t>.</w:t>
      </w:r>
    </w:p>
    <w:p w14:paraId="63F2DCAF" w14:textId="58A83FB8" w:rsidR="005C3212" w:rsidRPr="00CB4B83" w:rsidRDefault="005C3212" w:rsidP="002A6F79">
      <w:pPr>
        <w:spacing w:after="120" w:line="480" w:lineRule="auto"/>
        <w:rPr>
          <w:rFonts w:ascii="Times New Roman" w:hAnsi="Times New Roman" w:cs="Times New Roman"/>
        </w:rPr>
      </w:pPr>
      <w:r w:rsidRPr="00CB4B83">
        <w:rPr>
          <w:rFonts w:ascii="Times New Roman" w:hAnsi="Times New Roman" w:cs="Times New Roman"/>
          <w:kern w:val="24"/>
          <w:vertAlign w:val="superscript"/>
        </w:rPr>
        <w:t>3</w:t>
      </w:r>
      <w:r w:rsidRPr="00CB4B83">
        <w:rPr>
          <w:rFonts w:ascii="Times New Roman" w:hAnsi="Times New Roman" w:cs="Times New Roman"/>
          <w:kern w:val="24"/>
        </w:rPr>
        <w:t xml:space="preserve"> </w:t>
      </w:r>
      <w:proofErr w:type="spellStart"/>
      <w:r w:rsidRPr="00CB4B83">
        <w:rPr>
          <w:rFonts w:ascii="Times New Roman" w:hAnsi="Times New Roman" w:cs="Times New Roman"/>
          <w:kern w:val="24"/>
        </w:rPr>
        <w:t>BioRad</w:t>
      </w:r>
      <w:proofErr w:type="spellEnd"/>
      <w:r w:rsidRPr="00CB4B83">
        <w:rPr>
          <w:rFonts w:ascii="Times New Roman" w:hAnsi="Times New Roman" w:cs="Times New Roman"/>
          <w:kern w:val="24"/>
        </w:rPr>
        <w:t xml:space="preserve"> IRMA was used in 2003; data were adjusted to Hitachi 912 IT assay prior to release</w:t>
      </w:r>
      <w:r w:rsidR="002A6F79">
        <w:rPr>
          <w:rFonts w:ascii="Times New Roman" w:hAnsi="Times New Roman" w:cs="Times New Roman"/>
          <w:kern w:val="24"/>
        </w:rPr>
        <w:t>.</w:t>
      </w:r>
    </w:p>
    <w:p w14:paraId="7708FF69" w14:textId="49A1523B" w:rsidR="005C3212" w:rsidRPr="00CB4B83" w:rsidRDefault="005C3212" w:rsidP="002A6F79">
      <w:pPr>
        <w:spacing w:after="120" w:line="480" w:lineRule="auto"/>
        <w:rPr>
          <w:rFonts w:ascii="Times New Roman" w:hAnsi="Times New Roman" w:cs="Times New Roman"/>
          <w:kern w:val="24"/>
        </w:rPr>
      </w:pPr>
      <w:r w:rsidRPr="00CB4B83">
        <w:rPr>
          <w:rFonts w:ascii="Times New Roman" w:hAnsi="Times New Roman" w:cs="Times New Roman"/>
          <w:kern w:val="24"/>
          <w:vertAlign w:val="superscript"/>
        </w:rPr>
        <w:t>4</w:t>
      </w:r>
      <w:r w:rsidRPr="00CB4B83">
        <w:rPr>
          <w:rFonts w:ascii="Times New Roman" w:hAnsi="Times New Roman" w:cs="Times New Roman"/>
          <w:kern w:val="24"/>
        </w:rPr>
        <w:t xml:space="preserve"> Collaborative Laboratory Services (laboratory of David Witte, M.D., Ph.D.) analyzed samples for NHANES 2002 with the same methods as for NHANES 2003</w:t>
      </w:r>
      <w:r w:rsidRPr="00CB4B83">
        <w:rPr>
          <w:rFonts w:ascii="Times New Roman" w:hAnsi="Times New Roman"/>
        </w:rPr>
        <w:t>–</w:t>
      </w:r>
      <w:r w:rsidRPr="00CB4B83">
        <w:rPr>
          <w:rFonts w:ascii="Times New Roman" w:hAnsi="Times New Roman" w:cs="Times New Roman"/>
          <w:kern w:val="24"/>
        </w:rPr>
        <w:t>2006</w:t>
      </w:r>
      <w:r w:rsidR="002A6F79">
        <w:rPr>
          <w:rFonts w:ascii="Times New Roman" w:hAnsi="Times New Roman" w:cs="Times New Roman"/>
          <w:kern w:val="24"/>
        </w:rPr>
        <w:t>.</w:t>
      </w:r>
    </w:p>
    <w:p w14:paraId="2F3B572E" w14:textId="4CDC79D9" w:rsidR="005C3212" w:rsidRPr="00F564AD" w:rsidRDefault="005C3212" w:rsidP="002A6F79">
      <w:pPr>
        <w:spacing w:after="120" w:line="480" w:lineRule="auto"/>
        <w:rPr>
          <w:rFonts w:ascii="Times New Roman" w:hAnsi="Times New Roman" w:cs="Times New Roman"/>
          <w:kern w:val="24"/>
        </w:rPr>
      </w:pPr>
      <w:r w:rsidRPr="00CB4B83">
        <w:rPr>
          <w:rFonts w:ascii="Times New Roman" w:hAnsi="Times New Roman" w:cs="Times New Roman"/>
          <w:kern w:val="24"/>
          <w:vertAlign w:val="superscript"/>
        </w:rPr>
        <w:t>5</w:t>
      </w:r>
      <w:r w:rsidRPr="00CB4B83">
        <w:rPr>
          <w:rFonts w:ascii="Times New Roman" w:hAnsi="Times New Roman" w:cs="Times New Roman"/>
          <w:kern w:val="24"/>
        </w:rPr>
        <w:t xml:space="preserve"> CDC modification of </w:t>
      </w:r>
      <w:proofErr w:type="spellStart"/>
      <w:r w:rsidRPr="00CB4B83">
        <w:rPr>
          <w:rFonts w:ascii="Times New Roman" w:hAnsi="Times New Roman" w:cs="Times New Roman"/>
          <w:kern w:val="24"/>
        </w:rPr>
        <w:t>Sassa</w:t>
      </w:r>
      <w:proofErr w:type="spellEnd"/>
      <w:r w:rsidRPr="00CB4B83">
        <w:rPr>
          <w:rFonts w:ascii="Times New Roman" w:hAnsi="Times New Roman" w:cs="Times New Roman"/>
          <w:kern w:val="24"/>
        </w:rPr>
        <w:t xml:space="preserve"> &amp; </w:t>
      </w:r>
      <w:r w:rsidRPr="00F564AD">
        <w:rPr>
          <w:rFonts w:ascii="Times New Roman" w:hAnsi="Times New Roman" w:cs="Times New Roman"/>
          <w:kern w:val="24"/>
        </w:rPr>
        <w:t xml:space="preserve">Granick method </w:t>
      </w:r>
      <w:r w:rsidR="00F564AD" w:rsidRPr="00F564AD">
        <w:rPr>
          <w:rFonts w:ascii="Times New Roman" w:hAnsi="Times New Roman" w:cs="Times New Roman"/>
          <w:kern w:val="24"/>
        </w:rPr>
        <w:t>was used during 1976</w:t>
      </w:r>
      <w:r w:rsidR="00F564AD" w:rsidRPr="00F564AD">
        <w:rPr>
          <w:rFonts w:ascii="Times New Roman" w:hAnsi="Times New Roman"/>
        </w:rPr>
        <w:t>–2</w:t>
      </w:r>
      <w:r w:rsidR="00F564AD" w:rsidRPr="00F564AD">
        <w:rPr>
          <w:rFonts w:ascii="Times New Roman" w:hAnsi="Times New Roman" w:cs="Times New Roman"/>
          <w:kern w:val="24"/>
        </w:rPr>
        <w:t xml:space="preserve">001 </w:t>
      </w:r>
      <w:r w:rsidRPr="00F564AD">
        <w:rPr>
          <w:rFonts w:ascii="Times New Roman" w:hAnsi="Times New Roman" w:cs="Times New Roman"/>
          <w:kern w:val="24"/>
        </w:rPr>
        <w:t>(</w:t>
      </w:r>
      <w:proofErr w:type="spellStart"/>
      <w:r w:rsidR="00F564AD" w:rsidRPr="00F564AD">
        <w:rPr>
          <w:rFonts w:ascii="Times New Roman" w:hAnsi="Times New Roman"/>
        </w:rPr>
        <w:t>Sassa</w:t>
      </w:r>
      <w:proofErr w:type="spellEnd"/>
      <w:r w:rsidR="00F564AD" w:rsidRPr="00F564AD">
        <w:rPr>
          <w:rFonts w:ascii="Times New Roman" w:hAnsi="Times New Roman"/>
        </w:rPr>
        <w:t xml:space="preserve"> S, Granick JL, Granick S, </w:t>
      </w:r>
      <w:proofErr w:type="spellStart"/>
      <w:r w:rsidR="00F564AD" w:rsidRPr="00F564AD">
        <w:rPr>
          <w:rFonts w:ascii="Times New Roman" w:hAnsi="Times New Roman"/>
        </w:rPr>
        <w:t>Kappas</w:t>
      </w:r>
      <w:proofErr w:type="spellEnd"/>
      <w:r w:rsidR="00F564AD" w:rsidRPr="00F564AD">
        <w:rPr>
          <w:rFonts w:ascii="Times New Roman" w:hAnsi="Times New Roman"/>
        </w:rPr>
        <w:t xml:space="preserve"> A, </w:t>
      </w:r>
      <w:proofErr w:type="spellStart"/>
      <w:r w:rsidR="00F564AD" w:rsidRPr="00F564AD">
        <w:rPr>
          <w:rFonts w:ascii="Times New Roman" w:hAnsi="Times New Roman"/>
        </w:rPr>
        <w:t>Levere</w:t>
      </w:r>
      <w:proofErr w:type="spellEnd"/>
      <w:r w:rsidR="00F564AD" w:rsidRPr="00F564AD">
        <w:rPr>
          <w:rFonts w:ascii="Times New Roman" w:hAnsi="Times New Roman"/>
        </w:rPr>
        <w:t xml:space="preserve"> RD. Microanalysis of erythrocyte </w:t>
      </w:r>
      <w:proofErr w:type="spellStart"/>
      <w:r w:rsidR="00F564AD" w:rsidRPr="00F564AD">
        <w:rPr>
          <w:rFonts w:ascii="Times New Roman" w:hAnsi="Times New Roman"/>
        </w:rPr>
        <w:t>protoporphyrin</w:t>
      </w:r>
      <w:proofErr w:type="spellEnd"/>
      <w:r w:rsidR="00F564AD" w:rsidRPr="00F564AD">
        <w:rPr>
          <w:rFonts w:ascii="Times New Roman" w:hAnsi="Times New Roman"/>
        </w:rPr>
        <w:t xml:space="preserve"> levels by spectrophotometry in the detection of chronic lead intoxication in the subclinical range. </w:t>
      </w:r>
      <w:proofErr w:type="spellStart"/>
      <w:r w:rsidR="00F564AD" w:rsidRPr="00F564AD">
        <w:rPr>
          <w:rFonts w:ascii="Times New Roman" w:hAnsi="Times New Roman"/>
        </w:rPr>
        <w:t>Biochem</w:t>
      </w:r>
      <w:proofErr w:type="spellEnd"/>
      <w:r w:rsidR="00F564AD" w:rsidRPr="00F564AD">
        <w:rPr>
          <w:rFonts w:ascii="Times New Roman" w:hAnsi="Times New Roman"/>
        </w:rPr>
        <w:t xml:space="preserve"> Med 1973</w:t>
      </w:r>
      <w:proofErr w:type="gramStart"/>
      <w:r w:rsidR="00F564AD" w:rsidRPr="00F564AD">
        <w:rPr>
          <w:rFonts w:ascii="Times New Roman" w:hAnsi="Times New Roman"/>
        </w:rPr>
        <w:t>;8:135</w:t>
      </w:r>
      <w:proofErr w:type="gramEnd"/>
      <w:r w:rsidR="00F564AD" w:rsidRPr="00F564AD">
        <w:rPr>
          <w:rFonts w:ascii="Times New Roman" w:hAnsi="Times New Roman"/>
        </w:rPr>
        <w:t>–48</w:t>
      </w:r>
      <w:r w:rsidRPr="00F564AD">
        <w:rPr>
          <w:rFonts w:ascii="Times New Roman" w:hAnsi="Times New Roman" w:cs="Times New Roman"/>
          <w:kern w:val="24"/>
        </w:rPr>
        <w:t>)</w:t>
      </w:r>
      <w:r w:rsidR="002A6F79">
        <w:rPr>
          <w:rFonts w:ascii="Times New Roman" w:hAnsi="Times New Roman" w:cs="Times New Roman"/>
          <w:kern w:val="24"/>
        </w:rPr>
        <w:t>.</w:t>
      </w:r>
      <w:r w:rsidRPr="00F564AD">
        <w:rPr>
          <w:rFonts w:ascii="Times New Roman" w:hAnsi="Times New Roman" w:cs="Times New Roman"/>
          <w:kern w:val="24"/>
        </w:rPr>
        <w:t xml:space="preserve"> </w:t>
      </w:r>
    </w:p>
    <w:p w14:paraId="128C5941" w14:textId="413B608F" w:rsidR="005C3212" w:rsidRPr="00CB4B83" w:rsidRDefault="005C3212" w:rsidP="002A6F79">
      <w:pPr>
        <w:spacing w:after="120" w:line="480" w:lineRule="auto"/>
        <w:rPr>
          <w:rFonts w:ascii="Times New Roman" w:hAnsi="Times New Roman" w:cs="Times New Roman"/>
          <w:kern w:val="24"/>
        </w:rPr>
      </w:pPr>
      <w:r w:rsidRPr="00CB4B83">
        <w:rPr>
          <w:rFonts w:ascii="Times New Roman" w:hAnsi="Times New Roman" w:cs="Times New Roman"/>
          <w:kern w:val="24"/>
          <w:vertAlign w:val="superscript"/>
        </w:rPr>
        <w:t>6</w:t>
      </w:r>
      <w:r w:rsidRPr="00CB4B83">
        <w:rPr>
          <w:rFonts w:ascii="Times New Roman" w:hAnsi="Times New Roman" w:cs="Times New Roman"/>
          <w:kern w:val="24"/>
        </w:rPr>
        <w:t xml:space="preserve"> Wadsworth Center, NY State Department (laboratory of Patrick Parsons, Ph.D.) analyzed samples for NHANES 2002</w:t>
      </w:r>
      <w:r w:rsidRPr="00CB4B83">
        <w:rPr>
          <w:rFonts w:ascii="Times New Roman" w:hAnsi="Times New Roman"/>
        </w:rPr>
        <w:t>–</w:t>
      </w:r>
      <w:r w:rsidRPr="00CB4B83">
        <w:rPr>
          <w:rFonts w:ascii="Times New Roman" w:hAnsi="Times New Roman" w:cs="Times New Roman"/>
          <w:kern w:val="24"/>
        </w:rPr>
        <w:t xml:space="preserve">2006 with the </w:t>
      </w:r>
      <w:proofErr w:type="spellStart"/>
      <w:r w:rsidRPr="00CB4B83">
        <w:rPr>
          <w:rFonts w:ascii="Times New Roman" w:hAnsi="Times New Roman" w:cs="Times New Roman"/>
          <w:kern w:val="24"/>
        </w:rPr>
        <w:t>Sassa</w:t>
      </w:r>
      <w:proofErr w:type="spellEnd"/>
      <w:r w:rsidRPr="00CB4B83">
        <w:rPr>
          <w:rFonts w:ascii="Times New Roman" w:hAnsi="Times New Roman" w:cs="Times New Roman"/>
          <w:kern w:val="24"/>
        </w:rPr>
        <w:t xml:space="preserve"> &amp; Granick method</w:t>
      </w:r>
      <w:r w:rsidR="002A6F79">
        <w:rPr>
          <w:rFonts w:ascii="Times New Roman" w:hAnsi="Times New Roman" w:cs="Times New Roman"/>
          <w:kern w:val="24"/>
        </w:rPr>
        <w:t>.</w:t>
      </w:r>
    </w:p>
    <w:p w14:paraId="2D48C86A" w14:textId="1DF428EA" w:rsidR="005C3212" w:rsidRPr="00C67304" w:rsidRDefault="005C3212" w:rsidP="002A6F79">
      <w:pPr>
        <w:spacing w:after="120" w:line="480" w:lineRule="auto"/>
        <w:rPr>
          <w:rFonts w:ascii="Times New Roman" w:hAnsi="Times New Roman" w:cs="Times New Roman"/>
          <w:kern w:val="24"/>
        </w:rPr>
      </w:pPr>
      <w:r w:rsidRPr="00C67304">
        <w:rPr>
          <w:rFonts w:ascii="Times New Roman" w:hAnsi="Times New Roman" w:cs="Times New Roman"/>
          <w:kern w:val="24"/>
          <w:vertAlign w:val="superscript"/>
        </w:rPr>
        <w:t>7</w:t>
      </w:r>
      <w:r w:rsidRPr="00C67304">
        <w:rPr>
          <w:rFonts w:ascii="Times New Roman" w:hAnsi="Times New Roman" w:cs="Times New Roman"/>
          <w:kern w:val="24"/>
        </w:rPr>
        <w:t xml:space="preserve"> University of Kansas Medical Center (laboratory of James D. Cook, M.D.)</w:t>
      </w:r>
      <w:r w:rsidR="002A6F79">
        <w:rPr>
          <w:rFonts w:ascii="Times New Roman" w:hAnsi="Times New Roman" w:cs="Times New Roman"/>
          <w:kern w:val="24"/>
        </w:rPr>
        <w:t>.</w:t>
      </w:r>
    </w:p>
    <w:p w14:paraId="5C3D4E04" w14:textId="77777777" w:rsidR="005C3212" w:rsidRDefault="005C3212" w:rsidP="005C3212"/>
    <w:sectPr w:rsidR="005C3212" w:rsidSect="005C321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3CBD2" w14:textId="77777777" w:rsidR="00545C2F" w:rsidRDefault="00545C2F" w:rsidP="00545C2F">
      <w:pPr>
        <w:spacing w:after="0" w:line="240" w:lineRule="auto"/>
      </w:pPr>
      <w:r>
        <w:separator/>
      </w:r>
    </w:p>
  </w:endnote>
  <w:endnote w:type="continuationSeparator" w:id="0">
    <w:p w14:paraId="5526E87B" w14:textId="77777777" w:rsidR="00545C2F" w:rsidRDefault="00545C2F" w:rsidP="0054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4C3CA" w14:textId="77777777" w:rsidR="00545C2F" w:rsidRDefault="00545C2F" w:rsidP="00545C2F">
      <w:pPr>
        <w:spacing w:after="0" w:line="240" w:lineRule="auto"/>
      </w:pPr>
      <w:r>
        <w:separator/>
      </w:r>
    </w:p>
  </w:footnote>
  <w:footnote w:type="continuationSeparator" w:id="0">
    <w:p w14:paraId="0BD5AC02" w14:textId="77777777" w:rsidR="00545C2F" w:rsidRDefault="00545C2F" w:rsidP="00545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B87F8" w14:textId="1DB4FBAA" w:rsidR="00545C2F" w:rsidRDefault="00545C2F">
    <w:pPr>
      <w:pStyle w:val="Header"/>
    </w:pPr>
    <w:r>
      <w:t>Online Supplemental Material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96E8F"/>
    <w:multiLevelType w:val="hybridMultilevel"/>
    <w:tmpl w:val="AFDC0AA6"/>
    <w:lvl w:ilvl="0" w:tplc="EC96EF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72C5B"/>
    <w:multiLevelType w:val="hybridMultilevel"/>
    <w:tmpl w:val="D5747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12"/>
    <w:rsid w:val="00031D91"/>
    <w:rsid w:val="001D3BD5"/>
    <w:rsid w:val="002622D4"/>
    <w:rsid w:val="002A6F79"/>
    <w:rsid w:val="003314AD"/>
    <w:rsid w:val="00347C73"/>
    <w:rsid w:val="00491FAE"/>
    <w:rsid w:val="00545C2F"/>
    <w:rsid w:val="00585EA1"/>
    <w:rsid w:val="005C3212"/>
    <w:rsid w:val="006A7C39"/>
    <w:rsid w:val="00713C4D"/>
    <w:rsid w:val="00813A14"/>
    <w:rsid w:val="009136E6"/>
    <w:rsid w:val="009260F6"/>
    <w:rsid w:val="00993E7F"/>
    <w:rsid w:val="00C54B5A"/>
    <w:rsid w:val="00C57F5D"/>
    <w:rsid w:val="00CD6496"/>
    <w:rsid w:val="00E43BBC"/>
    <w:rsid w:val="00EA3DF8"/>
    <w:rsid w:val="00F06642"/>
    <w:rsid w:val="00F26CC2"/>
    <w:rsid w:val="00F564AD"/>
    <w:rsid w:val="00F6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20BBA"/>
  <w15:chartTrackingRefBased/>
  <w15:docId w15:val="{C7214AFD-A0B9-4AF5-B51B-FCDBED91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C3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3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21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5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C2F"/>
  </w:style>
  <w:style w:type="paragraph" w:styleId="Footer">
    <w:name w:val="footer"/>
    <w:basedOn w:val="Normal"/>
    <w:link w:val="FooterChar"/>
    <w:uiPriority w:val="99"/>
    <w:unhideWhenUsed/>
    <w:rsid w:val="00545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C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8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66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Pfeiffer, Christine (CDC/ONDIEH/NCEH)</dc:creator>
  <cp:keywords/>
  <dc:description/>
  <cp:lastModifiedBy>Pfeiffer, Christine (CDC/ONDIEH/NCEH)</cp:lastModifiedBy>
  <cp:revision>2</cp:revision>
  <cp:lastPrinted>2017-06-04T17:25:00Z</cp:lastPrinted>
  <dcterms:created xsi:type="dcterms:W3CDTF">2017-06-12T20:37:00Z</dcterms:created>
  <dcterms:modified xsi:type="dcterms:W3CDTF">2017-06-12T20:37:00Z</dcterms:modified>
</cp:coreProperties>
</file>