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3975" w14:textId="77777777" w:rsidR="00925FE5" w:rsidRPr="00925FE5" w:rsidRDefault="00925FE5" w:rsidP="00925FE5">
      <w:pPr>
        <w:spacing w:after="0" w:line="240" w:lineRule="auto"/>
        <w:jc w:val="center"/>
        <w:rPr>
          <w:rFonts w:ascii="Garamond" w:hAnsi="Garamond" w:cs="Times New Roman"/>
          <w:bCs/>
          <w:smallCaps/>
          <w:sz w:val="28"/>
          <w:szCs w:val="24"/>
        </w:rPr>
      </w:pPr>
      <w:r w:rsidRPr="00925FE5">
        <w:rPr>
          <w:rFonts w:ascii="Garamond" w:hAnsi="Garamond" w:cs="Times New Roman"/>
          <w:bCs/>
          <w:smallCaps/>
          <w:sz w:val="28"/>
          <w:szCs w:val="24"/>
        </w:rPr>
        <w:t>Supplementary Material: Appendix</w:t>
      </w:r>
    </w:p>
    <w:p w14:paraId="3159CB9C" w14:textId="77777777" w:rsidR="00F340B9" w:rsidRPr="00925FE5" w:rsidRDefault="00F340B9" w:rsidP="00F340B9">
      <w:pPr>
        <w:spacing w:after="0" w:line="240" w:lineRule="auto"/>
        <w:rPr>
          <w:rFonts w:ascii="Garamond" w:hAnsi="Garamond" w:cs="Times New Roman"/>
          <w:b/>
          <w:bCs/>
          <w:sz w:val="24"/>
          <w:szCs w:val="24"/>
        </w:rPr>
      </w:pPr>
      <w:bookmarkStart w:id="0" w:name="_GoBack"/>
      <w:bookmarkEnd w:id="0"/>
    </w:p>
    <w:p w14:paraId="5CE4F1DE" w14:textId="77777777" w:rsidR="00F340B9" w:rsidRPr="00925FE5" w:rsidRDefault="00F340B9" w:rsidP="00F340B9">
      <w:pPr>
        <w:spacing w:after="0" w:line="240" w:lineRule="auto"/>
        <w:rPr>
          <w:rFonts w:ascii="Garamond" w:hAnsi="Garamond" w:cs="Times New Roman"/>
          <w:b/>
          <w:bCs/>
          <w:sz w:val="24"/>
          <w:szCs w:val="24"/>
        </w:rPr>
      </w:pPr>
    </w:p>
    <w:p w14:paraId="561FB574" w14:textId="77777777" w:rsidR="00F340B9" w:rsidRPr="00925FE5" w:rsidRDefault="00F340B9" w:rsidP="00F340B9">
      <w:pPr>
        <w:spacing w:after="0" w:line="240" w:lineRule="auto"/>
        <w:rPr>
          <w:rFonts w:ascii="Garamond" w:hAnsi="Garamond" w:cs="Times New Roman"/>
          <w:b/>
          <w:bCs/>
          <w:sz w:val="24"/>
          <w:szCs w:val="24"/>
        </w:rPr>
      </w:pPr>
      <w:r w:rsidRPr="00925FE5">
        <w:rPr>
          <w:rFonts w:ascii="Garamond" w:hAnsi="Garamond" w:cs="Times New Roman"/>
          <w:b/>
          <w:bCs/>
          <w:sz w:val="24"/>
          <w:szCs w:val="24"/>
        </w:rPr>
        <w:t xml:space="preserve">Notes: </w:t>
      </w:r>
    </w:p>
    <w:p w14:paraId="1980FAE2" w14:textId="77777777" w:rsidR="00F340B9" w:rsidRPr="00925FE5" w:rsidRDefault="00F340B9" w:rsidP="00F340B9">
      <w:pPr>
        <w:spacing w:after="0" w:line="240" w:lineRule="auto"/>
        <w:rPr>
          <w:rFonts w:ascii="Garamond" w:hAnsi="Garamond" w:cs="Times New Roman"/>
          <w:b/>
          <w:bCs/>
          <w:sz w:val="24"/>
          <w:szCs w:val="24"/>
        </w:rPr>
      </w:pPr>
    </w:p>
    <w:p w14:paraId="04257E7B" w14:textId="057F37AA" w:rsidR="00F340B9" w:rsidRPr="00925FE5" w:rsidRDefault="00F340B9" w:rsidP="00F340B9">
      <w:pPr>
        <w:spacing w:after="0" w:line="240" w:lineRule="auto"/>
        <w:rPr>
          <w:rFonts w:ascii="Garamond" w:hAnsi="Garamond" w:cs="Times New Roman"/>
          <w:b/>
          <w:bCs/>
          <w:sz w:val="24"/>
          <w:szCs w:val="24"/>
        </w:rPr>
      </w:pPr>
      <w:r w:rsidRPr="00925FE5">
        <w:rPr>
          <w:rFonts w:ascii="Garamond" w:hAnsi="Garamond" w:cs="Times New Roman"/>
          <w:b/>
          <w:bCs/>
          <w:sz w:val="24"/>
          <w:szCs w:val="24"/>
        </w:rPr>
        <w:t>A) Prior</w:t>
      </w:r>
      <w:r w:rsidR="007F1FD8" w:rsidRPr="00925FE5">
        <w:rPr>
          <w:rFonts w:ascii="Garamond" w:hAnsi="Garamond" w:cs="Times New Roman"/>
          <w:b/>
          <w:bCs/>
          <w:sz w:val="24"/>
          <w:szCs w:val="24"/>
        </w:rPr>
        <w:t>ity global health security</w:t>
      </w:r>
      <w:r w:rsidRPr="00925FE5">
        <w:rPr>
          <w:rFonts w:ascii="Garamond" w:hAnsi="Garamond" w:cs="Times New Roman"/>
          <w:b/>
          <w:bCs/>
          <w:sz w:val="24"/>
          <w:szCs w:val="24"/>
        </w:rPr>
        <w:t xml:space="preserve"> </w:t>
      </w:r>
      <w:r w:rsidR="00F350B9" w:rsidRPr="00925FE5">
        <w:rPr>
          <w:rFonts w:ascii="Garamond" w:hAnsi="Garamond" w:cs="Times New Roman"/>
          <w:b/>
          <w:bCs/>
          <w:sz w:val="24"/>
          <w:szCs w:val="24"/>
        </w:rPr>
        <w:t xml:space="preserve">priority </w:t>
      </w:r>
      <w:r w:rsidRPr="00925FE5">
        <w:rPr>
          <w:rFonts w:ascii="Garamond" w:hAnsi="Garamond" w:cs="Times New Roman"/>
          <w:b/>
          <w:bCs/>
          <w:sz w:val="24"/>
          <w:szCs w:val="24"/>
        </w:rPr>
        <w:t>countries: Definition and inclusion</w:t>
      </w:r>
    </w:p>
    <w:p w14:paraId="2D71E803" w14:textId="77777777" w:rsidR="00F340B9" w:rsidRPr="00925FE5" w:rsidRDefault="00F340B9" w:rsidP="00F340B9">
      <w:pPr>
        <w:spacing w:after="0" w:line="240" w:lineRule="auto"/>
        <w:rPr>
          <w:rFonts w:ascii="Garamond" w:hAnsi="Garamond" w:cs="Times New Roman"/>
          <w:bCs/>
          <w:sz w:val="24"/>
          <w:szCs w:val="24"/>
        </w:rPr>
      </w:pPr>
    </w:p>
    <w:p w14:paraId="05DE7ED4" w14:textId="44BCA35E" w:rsidR="00F340B9" w:rsidRPr="00925FE5" w:rsidRDefault="00F340B9" w:rsidP="00F340B9">
      <w:pPr>
        <w:spacing w:after="0" w:line="240" w:lineRule="auto"/>
        <w:rPr>
          <w:rFonts w:ascii="Garamond" w:hAnsi="Garamond" w:cs="Times New Roman"/>
          <w:bCs/>
          <w:sz w:val="24"/>
          <w:szCs w:val="24"/>
        </w:rPr>
      </w:pPr>
      <w:r w:rsidRPr="00925FE5">
        <w:rPr>
          <w:rFonts w:ascii="Garamond" w:hAnsi="Garamond" w:cs="Times New Roman"/>
          <w:bCs/>
          <w:sz w:val="24"/>
          <w:szCs w:val="24"/>
        </w:rPr>
        <w:t xml:space="preserve">For this analysis, </w:t>
      </w:r>
      <w:r w:rsidR="00D04E33" w:rsidRPr="00925FE5">
        <w:rPr>
          <w:rFonts w:ascii="Garamond" w:hAnsi="Garamond" w:cs="Times New Roman"/>
          <w:bCs/>
          <w:sz w:val="24"/>
          <w:szCs w:val="24"/>
        </w:rPr>
        <w:t xml:space="preserve">global </w:t>
      </w:r>
      <w:r w:rsidRPr="00925FE5">
        <w:rPr>
          <w:rFonts w:ascii="Garamond" w:hAnsi="Garamond" w:cs="Times New Roman"/>
          <w:bCs/>
          <w:sz w:val="24"/>
          <w:szCs w:val="24"/>
        </w:rPr>
        <w:t>health security priority countries (priority countries) met one or both inclusion criteria:</w:t>
      </w:r>
    </w:p>
    <w:p w14:paraId="43B44649" w14:textId="1C990733" w:rsidR="00F340B9" w:rsidRPr="00925FE5" w:rsidRDefault="00F340B9" w:rsidP="00F340B9">
      <w:pPr>
        <w:spacing w:after="0" w:line="240" w:lineRule="auto"/>
        <w:rPr>
          <w:rFonts w:ascii="Garamond" w:hAnsi="Garamond" w:cs="Times New Roman"/>
          <w:bCs/>
          <w:sz w:val="24"/>
          <w:szCs w:val="24"/>
        </w:rPr>
      </w:pPr>
      <w:r w:rsidRPr="00925FE5">
        <w:rPr>
          <w:rFonts w:ascii="Garamond" w:hAnsi="Garamond" w:cs="Times New Roman"/>
          <w:bCs/>
          <w:sz w:val="24"/>
          <w:szCs w:val="24"/>
        </w:rPr>
        <w:t>1) Countries designated by the U.S. government as Phase I or Phase II countries under the Global Health Security Agenda (GHSA) (</w:t>
      </w:r>
      <w:r w:rsidR="00697619" w:rsidRPr="00925FE5">
        <w:rPr>
          <w:rFonts w:ascii="Garamond" w:hAnsi="Garamond" w:cs="Times New Roman"/>
          <w:bCs/>
          <w:sz w:val="24"/>
          <w:szCs w:val="24"/>
        </w:rPr>
        <w:t>7</w:t>
      </w:r>
      <w:r w:rsidRPr="00925FE5">
        <w:rPr>
          <w:rFonts w:ascii="Garamond" w:hAnsi="Garamond" w:cs="Times New Roman"/>
          <w:bCs/>
          <w:sz w:val="24"/>
          <w:szCs w:val="24"/>
        </w:rPr>
        <w:t>,</w:t>
      </w:r>
      <w:r w:rsidR="00697619" w:rsidRPr="00925FE5">
        <w:rPr>
          <w:rFonts w:ascii="Garamond" w:hAnsi="Garamond" w:cs="Times New Roman"/>
          <w:bCs/>
          <w:sz w:val="24"/>
          <w:szCs w:val="24"/>
        </w:rPr>
        <w:t>8</w:t>
      </w:r>
      <w:r w:rsidRPr="00925FE5">
        <w:rPr>
          <w:rFonts w:ascii="Garamond" w:hAnsi="Garamond" w:cs="Times New Roman"/>
          <w:bCs/>
          <w:sz w:val="24"/>
          <w:szCs w:val="24"/>
        </w:rPr>
        <w:t>);</w:t>
      </w:r>
      <w:r w:rsidR="00DA050B" w:rsidRPr="00925FE5">
        <w:rPr>
          <w:rFonts w:ascii="Garamond" w:hAnsi="Garamond" w:cs="Times New Roman"/>
          <w:bCs/>
          <w:sz w:val="24"/>
          <w:szCs w:val="24"/>
        </w:rPr>
        <w:t xml:space="preserve"> and</w:t>
      </w:r>
    </w:p>
    <w:p w14:paraId="75F92BFE" w14:textId="4E5BC9EC" w:rsidR="00F340B9" w:rsidRPr="00925FE5" w:rsidRDefault="00F340B9" w:rsidP="00F340B9">
      <w:pPr>
        <w:spacing w:after="0" w:line="240" w:lineRule="auto"/>
        <w:rPr>
          <w:rFonts w:ascii="Garamond" w:hAnsi="Garamond" w:cs="Times New Roman"/>
          <w:bCs/>
          <w:sz w:val="24"/>
          <w:szCs w:val="24"/>
        </w:rPr>
      </w:pPr>
      <w:r w:rsidRPr="00925FE5">
        <w:rPr>
          <w:rFonts w:ascii="Garamond" w:hAnsi="Garamond" w:cs="Times New Roman"/>
          <w:bCs/>
          <w:sz w:val="24"/>
          <w:szCs w:val="24"/>
        </w:rPr>
        <w:t>2) Countries designated as Global Disease Detection (GDD) Centers</w:t>
      </w:r>
      <w:r w:rsidR="00DC0648" w:rsidRPr="00925FE5">
        <w:rPr>
          <w:rFonts w:ascii="Garamond" w:hAnsi="Garamond" w:cs="Times New Roman"/>
          <w:bCs/>
          <w:sz w:val="24"/>
          <w:szCs w:val="24"/>
        </w:rPr>
        <w:t xml:space="preserve"> (</w:t>
      </w:r>
      <w:r w:rsidR="00697619" w:rsidRPr="00925FE5">
        <w:rPr>
          <w:rFonts w:ascii="Garamond" w:hAnsi="Garamond" w:cs="Times New Roman"/>
          <w:bCs/>
          <w:sz w:val="24"/>
          <w:szCs w:val="24"/>
        </w:rPr>
        <w:t>10,11</w:t>
      </w:r>
      <w:r w:rsidR="00DC0648" w:rsidRPr="00925FE5">
        <w:rPr>
          <w:rFonts w:ascii="Garamond" w:hAnsi="Garamond" w:cs="Times New Roman"/>
          <w:bCs/>
          <w:sz w:val="24"/>
          <w:szCs w:val="24"/>
        </w:rPr>
        <w:t>)</w:t>
      </w:r>
      <w:r w:rsidRPr="00925FE5">
        <w:rPr>
          <w:rFonts w:ascii="Garamond" w:hAnsi="Garamond" w:cs="Times New Roman"/>
          <w:bCs/>
          <w:sz w:val="24"/>
          <w:szCs w:val="24"/>
        </w:rPr>
        <w:t xml:space="preserve">. </w:t>
      </w:r>
      <w:r w:rsidR="00DA050B" w:rsidRPr="00925FE5">
        <w:rPr>
          <w:rFonts w:ascii="Garamond" w:hAnsi="Garamond" w:cs="Times New Roman"/>
          <w:bCs/>
          <w:sz w:val="24"/>
          <w:szCs w:val="24"/>
        </w:rPr>
        <w:t>These countries are listed below.</w:t>
      </w:r>
    </w:p>
    <w:p w14:paraId="7319A86E" w14:textId="77777777" w:rsidR="00F340B9" w:rsidRPr="00925FE5" w:rsidRDefault="00F340B9" w:rsidP="00F340B9">
      <w:pPr>
        <w:spacing w:after="0" w:line="240" w:lineRule="auto"/>
        <w:rPr>
          <w:rFonts w:ascii="Garamond" w:hAnsi="Garamond" w:cs="Times New Roman"/>
          <w:bCs/>
          <w:sz w:val="24"/>
          <w:szCs w:val="24"/>
        </w:rPr>
      </w:pPr>
    </w:p>
    <w:p w14:paraId="3A5F7939" w14:textId="67C50472" w:rsidR="00F340B9" w:rsidRPr="00925FE5" w:rsidRDefault="00F340B9" w:rsidP="00F340B9">
      <w:pPr>
        <w:spacing w:after="0" w:line="240" w:lineRule="auto"/>
        <w:rPr>
          <w:rFonts w:ascii="Garamond" w:hAnsi="Garamond" w:cs="Times New Roman"/>
          <w:bCs/>
          <w:sz w:val="24"/>
          <w:szCs w:val="24"/>
        </w:rPr>
      </w:pPr>
      <w:r w:rsidRPr="00925FE5">
        <w:rPr>
          <w:rFonts w:ascii="Garamond" w:hAnsi="Garamond" w:cs="Times New Roman"/>
          <w:bCs/>
          <w:sz w:val="24"/>
          <w:szCs w:val="24"/>
        </w:rPr>
        <w:t>Designated GHSA Phase I and Phase II countries are: Bangladesh, Benin, Burkina Faso, Cambodia, Cameroon, Congo, Ethiopia, Georgia, Ghana, Guinea, Haiti, India, Indonesia, Cote d’Ivoire, Jordan, Kazakhstan, Kenya, Laos, Liberia, Mali, Malaysia, Mozambique, Pakistan, Peru, Rwanda, Senegal, Sierra Leone, Tanzania, Thailand, Uganda, Ukraine, Vietnam, and the Caribbean Community (CARICOM), an organization of fifteen Caribbean nations and dependencies: Antigua and Barbuda, Bahamas, Barbados, Belize, Dominica, Grenada, Guyana, Jamaica, Montserrat, St. Kitts and Nevis, St. Lucia, St</w:t>
      </w:r>
      <w:r w:rsidR="00D04E33" w:rsidRPr="00925FE5">
        <w:rPr>
          <w:rFonts w:ascii="Garamond" w:hAnsi="Garamond" w:cs="Times New Roman"/>
          <w:bCs/>
          <w:sz w:val="24"/>
          <w:szCs w:val="24"/>
        </w:rPr>
        <w:t xml:space="preserve">. </w:t>
      </w:r>
      <w:r w:rsidRPr="00925FE5">
        <w:rPr>
          <w:rFonts w:ascii="Garamond" w:hAnsi="Garamond" w:cs="Times New Roman"/>
          <w:bCs/>
          <w:sz w:val="24"/>
          <w:szCs w:val="24"/>
        </w:rPr>
        <w:t>Vincent and Grenadines, Suriname, and Trinidad and Tobago (</w:t>
      </w:r>
      <w:r w:rsidR="0021008F" w:rsidRPr="00925FE5">
        <w:rPr>
          <w:rFonts w:ascii="Garamond" w:hAnsi="Garamond" w:cs="Times New Roman"/>
          <w:bCs/>
          <w:sz w:val="24"/>
          <w:szCs w:val="24"/>
        </w:rPr>
        <w:t>7</w:t>
      </w:r>
      <w:r w:rsidRPr="00925FE5">
        <w:rPr>
          <w:rFonts w:ascii="Garamond" w:hAnsi="Garamond" w:cs="Times New Roman"/>
          <w:bCs/>
          <w:sz w:val="24"/>
          <w:szCs w:val="24"/>
        </w:rPr>
        <w:t>).</w:t>
      </w:r>
    </w:p>
    <w:p w14:paraId="7BBA63E2" w14:textId="77777777" w:rsidR="00F340B9" w:rsidRPr="00925FE5" w:rsidRDefault="00F340B9" w:rsidP="00F340B9">
      <w:pPr>
        <w:spacing w:after="0" w:line="240" w:lineRule="auto"/>
        <w:rPr>
          <w:rFonts w:ascii="Garamond" w:hAnsi="Garamond" w:cs="Times New Roman"/>
          <w:bCs/>
          <w:sz w:val="24"/>
          <w:szCs w:val="24"/>
        </w:rPr>
      </w:pPr>
    </w:p>
    <w:p w14:paraId="0CAA4CB6" w14:textId="5526B76E" w:rsidR="00F340B9" w:rsidRPr="00925FE5" w:rsidRDefault="00F340B9" w:rsidP="00237293">
      <w:pPr>
        <w:spacing w:after="0" w:line="240" w:lineRule="auto"/>
        <w:rPr>
          <w:rFonts w:ascii="Garamond" w:hAnsi="Garamond" w:cs="Times New Roman"/>
          <w:bCs/>
          <w:sz w:val="24"/>
          <w:szCs w:val="24"/>
        </w:rPr>
      </w:pPr>
      <w:r w:rsidRPr="00925FE5">
        <w:rPr>
          <w:rFonts w:ascii="Garamond" w:hAnsi="Garamond" w:cs="Times New Roman"/>
          <w:bCs/>
          <w:sz w:val="24"/>
          <w:szCs w:val="24"/>
        </w:rPr>
        <w:t>CDC’s Global Disease Detection (GDD) Centers are: Bangladesh, India, China, Kazakhstan and Central America, Egypt, Kenya, Georgia and the South Caucasus, South Africa, Guatemala and Central America, and Thailand (</w:t>
      </w:r>
      <w:r w:rsidR="00697619" w:rsidRPr="00925FE5">
        <w:rPr>
          <w:rFonts w:ascii="Garamond" w:hAnsi="Garamond" w:cs="Times New Roman"/>
          <w:bCs/>
          <w:sz w:val="24"/>
          <w:szCs w:val="24"/>
        </w:rPr>
        <w:t>10,11</w:t>
      </w:r>
      <w:r w:rsidRPr="00925FE5">
        <w:rPr>
          <w:rFonts w:ascii="Garamond" w:hAnsi="Garamond" w:cs="Times New Roman"/>
          <w:bCs/>
          <w:sz w:val="24"/>
          <w:szCs w:val="24"/>
        </w:rPr>
        <w:t>).</w:t>
      </w:r>
    </w:p>
    <w:p w14:paraId="4957DC1D" w14:textId="77777777" w:rsidR="00237293" w:rsidRPr="00925FE5" w:rsidRDefault="00237293" w:rsidP="00237293">
      <w:pPr>
        <w:spacing w:after="0" w:line="240" w:lineRule="auto"/>
        <w:rPr>
          <w:rFonts w:ascii="Garamond" w:hAnsi="Garamond" w:cs="Times New Roman"/>
          <w:bCs/>
          <w:sz w:val="24"/>
          <w:szCs w:val="24"/>
        </w:rPr>
      </w:pPr>
    </w:p>
    <w:p w14:paraId="7C4D9750" w14:textId="11EEA53A"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
          <w:bCs/>
          <w:iCs/>
          <w:noProof/>
          <w:sz w:val="24"/>
          <w:szCs w:val="24"/>
        </w:rPr>
        <w:t>B) Service related exports: Definition</w:t>
      </w:r>
      <w:r w:rsidR="00F350B9" w:rsidRPr="00925FE5">
        <w:rPr>
          <w:rFonts w:ascii="Garamond" w:hAnsi="Garamond" w:cs="Times New Roman"/>
          <w:b/>
          <w:bCs/>
          <w:iCs/>
          <w:noProof/>
          <w:sz w:val="24"/>
          <w:szCs w:val="24"/>
        </w:rPr>
        <w:t>s</w:t>
      </w:r>
    </w:p>
    <w:p w14:paraId="47B2D6EA" w14:textId="51802440"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t xml:space="preserve">As defined by the U.S. </w:t>
      </w:r>
      <w:r w:rsidR="00D04E33" w:rsidRPr="00925FE5">
        <w:rPr>
          <w:rFonts w:ascii="Garamond" w:hAnsi="Garamond" w:cs="Times New Roman"/>
          <w:bCs/>
          <w:iCs/>
          <w:noProof/>
          <w:sz w:val="24"/>
          <w:szCs w:val="24"/>
        </w:rPr>
        <w:t xml:space="preserve">Department of Commerce </w:t>
      </w:r>
      <w:r w:rsidRPr="00925FE5">
        <w:rPr>
          <w:rFonts w:ascii="Garamond" w:hAnsi="Garamond" w:cs="Times New Roman"/>
          <w:bCs/>
          <w:iCs/>
          <w:noProof/>
          <w:sz w:val="24"/>
          <w:szCs w:val="24"/>
        </w:rPr>
        <w:t>Bureau of Economic Aanalysis</w:t>
      </w:r>
      <w:r w:rsidR="00D04E33" w:rsidRPr="00925FE5">
        <w:rPr>
          <w:rFonts w:ascii="Garamond" w:hAnsi="Garamond" w:cs="Times New Roman"/>
          <w:bCs/>
          <w:iCs/>
          <w:noProof/>
          <w:sz w:val="24"/>
          <w:szCs w:val="24"/>
        </w:rPr>
        <w:t xml:space="preserve"> (BEA)</w:t>
      </w:r>
      <w:r w:rsidRPr="00925FE5">
        <w:rPr>
          <w:rFonts w:ascii="Garamond" w:hAnsi="Garamond" w:cs="Times New Roman"/>
          <w:bCs/>
          <w:iCs/>
          <w:noProof/>
          <w:sz w:val="24"/>
          <w:szCs w:val="24"/>
        </w:rPr>
        <w:t xml:space="preserve">, services trade data are </w:t>
      </w:r>
      <w:r w:rsidR="00F350B9" w:rsidRPr="00925FE5">
        <w:rPr>
          <w:rFonts w:ascii="Garamond" w:hAnsi="Garamond" w:cs="Times New Roman"/>
          <w:bCs/>
          <w:iCs/>
          <w:noProof/>
          <w:sz w:val="24"/>
          <w:szCs w:val="24"/>
        </w:rPr>
        <w:t xml:space="preserve">described </w:t>
      </w:r>
      <w:r w:rsidRPr="00925FE5">
        <w:rPr>
          <w:rFonts w:ascii="Garamond" w:hAnsi="Garamond" w:cs="Times New Roman"/>
          <w:bCs/>
          <w:iCs/>
          <w:noProof/>
          <w:sz w:val="24"/>
          <w:szCs w:val="24"/>
        </w:rPr>
        <w:t xml:space="preserve">in nine broad categories, as </w:t>
      </w:r>
      <w:r w:rsidR="00F350B9" w:rsidRPr="00925FE5">
        <w:rPr>
          <w:rFonts w:ascii="Garamond" w:hAnsi="Garamond" w:cs="Times New Roman"/>
          <w:bCs/>
          <w:iCs/>
          <w:noProof/>
          <w:sz w:val="24"/>
          <w:szCs w:val="24"/>
        </w:rPr>
        <w:t xml:space="preserve">defined below </w:t>
      </w:r>
      <w:r w:rsidRPr="00925FE5">
        <w:rPr>
          <w:rFonts w:ascii="Garamond" w:hAnsi="Garamond" w:cs="Times New Roman"/>
          <w:bCs/>
          <w:iCs/>
          <w:noProof/>
          <w:sz w:val="24"/>
          <w:szCs w:val="24"/>
        </w:rPr>
        <w:t>(</w:t>
      </w:r>
      <w:r w:rsidR="00F350B9" w:rsidRPr="00925FE5">
        <w:rPr>
          <w:rFonts w:ascii="Garamond" w:hAnsi="Garamond" w:cs="Times New Roman"/>
          <w:bCs/>
          <w:iCs/>
          <w:noProof/>
          <w:sz w:val="24"/>
          <w:szCs w:val="24"/>
        </w:rPr>
        <w:t>1</w:t>
      </w:r>
      <w:r w:rsidR="00697619" w:rsidRPr="00925FE5">
        <w:rPr>
          <w:rFonts w:ascii="Garamond" w:hAnsi="Garamond" w:cs="Times New Roman"/>
          <w:bCs/>
          <w:iCs/>
          <w:noProof/>
          <w:sz w:val="24"/>
          <w:szCs w:val="24"/>
        </w:rPr>
        <w:t>2</w:t>
      </w:r>
      <w:r w:rsidRPr="00925FE5">
        <w:rPr>
          <w:rFonts w:ascii="Garamond" w:hAnsi="Garamond" w:cs="Times New Roman"/>
          <w:bCs/>
          <w:iCs/>
          <w:noProof/>
          <w:sz w:val="24"/>
          <w:szCs w:val="24"/>
        </w:rPr>
        <w:t>):</w:t>
      </w:r>
    </w:p>
    <w:p w14:paraId="32EBBCC7" w14:textId="1E659397"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t xml:space="preserve">i) Maintenance and repair services (not included elsewhere) - Consists of maintenance and repair services performed by residents of one country on goods that are owned by residents of another country.  Maintenance and repair of </w:t>
      </w:r>
      <w:r w:rsidR="00F350B9" w:rsidRPr="00925FE5">
        <w:rPr>
          <w:rFonts w:ascii="Garamond" w:hAnsi="Garamond" w:cs="Times New Roman"/>
          <w:bCs/>
          <w:iCs/>
          <w:noProof/>
          <w:sz w:val="24"/>
          <w:szCs w:val="24"/>
        </w:rPr>
        <w:t>airc</w:t>
      </w:r>
      <w:r w:rsidR="00697619" w:rsidRPr="00925FE5">
        <w:rPr>
          <w:rFonts w:ascii="Garamond" w:hAnsi="Garamond" w:cs="Times New Roman"/>
          <w:bCs/>
          <w:iCs/>
          <w:noProof/>
          <w:sz w:val="24"/>
          <w:szCs w:val="24"/>
        </w:rPr>
        <w:t>r</w:t>
      </w:r>
      <w:r w:rsidR="00F350B9" w:rsidRPr="00925FE5">
        <w:rPr>
          <w:rFonts w:ascii="Garamond" w:hAnsi="Garamond" w:cs="Times New Roman"/>
          <w:bCs/>
          <w:iCs/>
          <w:noProof/>
          <w:sz w:val="24"/>
          <w:szCs w:val="24"/>
        </w:rPr>
        <w:t xml:space="preserve">aft, </w:t>
      </w:r>
      <w:r w:rsidRPr="00925FE5">
        <w:rPr>
          <w:rFonts w:ascii="Garamond" w:hAnsi="Garamond" w:cs="Times New Roman"/>
          <w:bCs/>
          <w:iCs/>
          <w:noProof/>
          <w:sz w:val="24"/>
          <w:szCs w:val="24"/>
        </w:rPr>
        <w:t>ships, and other transport equipment are included under transport services, and maintenance and repair of computers are included under computer services.</w:t>
      </w:r>
    </w:p>
    <w:p w14:paraId="18B5FC1B" w14:textId="4DBC3E87"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t xml:space="preserve">ii) Transport - Consists of transactions associated with moving people and freight from one location to another and includes related supporting and auxiliary services. Transport covers all modes of transportation, including </w:t>
      </w:r>
      <w:r w:rsidR="00F350B9" w:rsidRPr="00925FE5">
        <w:rPr>
          <w:rFonts w:ascii="Garamond" w:hAnsi="Garamond" w:cs="Times New Roman"/>
          <w:bCs/>
          <w:iCs/>
          <w:noProof/>
          <w:sz w:val="24"/>
          <w:szCs w:val="24"/>
        </w:rPr>
        <w:t xml:space="preserve">sea, </w:t>
      </w:r>
      <w:r w:rsidRPr="00925FE5">
        <w:rPr>
          <w:rFonts w:ascii="Garamond" w:hAnsi="Garamond" w:cs="Times New Roman"/>
          <w:bCs/>
          <w:iCs/>
          <w:noProof/>
          <w:sz w:val="24"/>
          <w:szCs w:val="24"/>
        </w:rPr>
        <w:t xml:space="preserve">air, </w:t>
      </w:r>
      <w:r w:rsidR="00F350B9" w:rsidRPr="00925FE5">
        <w:rPr>
          <w:rFonts w:ascii="Garamond" w:hAnsi="Garamond" w:cs="Times New Roman"/>
          <w:bCs/>
          <w:iCs/>
          <w:noProof/>
          <w:sz w:val="24"/>
          <w:szCs w:val="24"/>
        </w:rPr>
        <w:t xml:space="preserve">road, </w:t>
      </w:r>
      <w:r w:rsidRPr="00925FE5">
        <w:rPr>
          <w:rFonts w:ascii="Garamond" w:hAnsi="Garamond" w:cs="Times New Roman"/>
          <w:bCs/>
          <w:iCs/>
          <w:noProof/>
          <w:sz w:val="24"/>
          <w:szCs w:val="24"/>
        </w:rPr>
        <w:t>rail, space, and pipeline. Postal and courier services and port services</w:t>
      </w:r>
      <w:r w:rsidR="00F350B9" w:rsidRPr="00925FE5">
        <w:rPr>
          <w:rFonts w:ascii="Garamond" w:hAnsi="Garamond" w:cs="Times New Roman"/>
          <w:bCs/>
          <w:iCs/>
          <w:noProof/>
          <w:sz w:val="24"/>
          <w:szCs w:val="24"/>
        </w:rPr>
        <w:t xml:space="preserve"> that</w:t>
      </w:r>
      <w:r w:rsidRPr="00925FE5">
        <w:rPr>
          <w:rFonts w:ascii="Garamond" w:hAnsi="Garamond" w:cs="Times New Roman"/>
          <w:bCs/>
          <w:iCs/>
          <w:noProof/>
          <w:sz w:val="24"/>
          <w:szCs w:val="24"/>
        </w:rPr>
        <w:t xml:space="preserve"> cover cargo handling, storage and warehousing, and other related transport services, are also included.</w:t>
      </w:r>
    </w:p>
    <w:p w14:paraId="18955B2C" w14:textId="0EA4ED8A"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t xml:space="preserve">iii) Travel (for all purposes including education) – Includes goods and services acquired by nonresidents while abroad. A traveler is defined as a person who stays, or intends to stay, for less than one year in a country of which </w:t>
      </w:r>
      <w:r w:rsidR="00F350B9" w:rsidRPr="00925FE5">
        <w:rPr>
          <w:rFonts w:ascii="Garamond" w:hAnsi="Garamond" w:cs="Times New Roman"/>
          <w:bCs/>
          <w:iCs/>
          <w:noProof/>
          <w:sz w:val="24"/>
          <w:szCs w:val="24"/>
        </w:rPr>
        <w:t>one</w:t>
      </w:r>
      <w:r w:rsidRPr="00925FE5">
        <w:rPr>
          <w:rFonts w:ascii="Garamond" w:hAnsi="Garamond" w:cs="Times New Roman"/>
          <w:bCs/>
          <w:iCs/>
          <w:noProof/>
          <w:sz w:val="24"/>
          <w:szCs w:val="24"/>
        </w:rPr>
        <w:t xml:space="preserve"> is not a resident or as a nonresident whose purpose is to obtain education or medical treatment, no matter how long the stay. Travel is a transactor-based component that covers a variety of goods and services, primarily lodging, meals, transportation in the country of travel, amusement, entertainment, and gifts. This category excludes air passenger services for travel between countries</w:t>
      </w:r>
      <w:r w:rsidR="00F350B9" w:rsidRPr="00925FE5">
        <w:rPr>
          <w:rFonts w:ascii="Garamond" w:hAnsi="Garamond" w:cs="Times New Roman"/>
          <w:bCs/>
          <w:iCs/>
          <w:noProof/>
          <w:sz w:val="24"/>
          <w:szCs w:val="24"/>
        </w:rPr>
        <w:t xml:space="preserve"> that</w:t>
      </w:r>
      <w:r w:rsidRPr="00925FE5">
        <w:rPr>
          <w:rFonts w:ascii="Garamond" w:hAnsi="Garamond" w:cs="Times New Roman"/>
          <w:bCs/>
          <w:iCs/>
          <w:noProof/>
          <w:sz w:val="24"/>
          <w:szCs w:val="24"/>
        </w:rPr>
        <w:t xml:space="preserve"> are included in transport, and goods for resale</w:t>
      </w:r>
      <w:r w:rsidR="00F350B9" w:rsidRPr="00925FE5">
        <w:rPr>
          <w:rFonts w:ascii="Garamond" w:hAnsi="Garamond" w:cs="Times New Roman"/>
          <w:bCs/>
          <w:iCs/>
          <w:noProof/>
          <w:sz w:val="24"/>
          <w:szCs w:val="24"/>
        </w:rPr>
        <w:t xml:space="preserve"> that</w:t>
      </w:r>
      <w:r w:rsidRPr="00925FE5">
        <w:rPr>
          <w:rFonts w:ascii="Garamond" w:hAnsi="Garamond" w:cs="Times New Roman"/>
          <w:bCs/>
          <w:iCs/>
          <w:noProof/>
          <w:sz w:val="24"/>
          <w:szCs w:val="24"/>
        </w:rPr>
        <w:t xml:space="preserve"> are included in goods.</w:t>
      </w:r>
    </w:p>
    <w:p w14:paraId="34D765C6" w14:textId="0B3C80BA"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lastRenderedPageBreak/>
        <w:t xml:space="preserve">iv) Insurance services - Includes the direct insurance services of providing life insurance and annuities, </w:t>
      </w:r>
      <w:r w:rsidR="00F350B9" w:rsidRPr="00925FE5">
        <w:rPr>
          <w:rFonts w:ascii="Garamond" w:hAnsi="Garamond" w:cs="Times New Roman"/>
          <w:bCs/>
          <w:iCs/>
          <w:noProof/>
          <w:sz w:val="24"/>
          <w:szCs w:val="24"/>
        </w:rPr>
        <w:t xml:space="preserve">insurance, reinsurance, </w:t>
      </w:r>
      <w:r w:rsidRPr="00925FE5">
        <w:rPr>
          <w:rFonts w:ascii="Garamond" w:hAnsi="Garamond" w:cs="Times New Roman"/>
          <w:bCs/>
          <w:iCs/>
          <w:noProof/>
          <w:sz w:val="24"/>
          <w:szCs w:val="24"/>
        </w:rPr>
        <w:t>non-life (</w:t>
      </w:r>
      <w:r w:rsidR="00F350B9" w:rsidRPr="00925FE5">
        <w:rPr>
          <w:rFonts w:ascii="Garamond" w:hAnsi="Garamond" w:cs="Times New Roman"/>
          <w:bCs/>
          <w:iCs/>
          <w:noProof/>
          <w:sz w:val="24"/>
          <w:szCs w:val="24"/>
        </w:rPr>
        <w:t xml:space="preserve">casualty and </w:t>
      </w:r>
      <w:r w:rsidRPr="00925FE5">
        <w:rPr>
          <w:rFonts w:ascii="Garamond" w:hAnsi="Garamond" w:cs="Times New Roman"/>
          <w:bCs/>
          <w:iCs/>
          <w:noProof/>
          <w:sz w:val="24"/>
          <w:szCs w:val="24"/>
        </w:rPr>
        <w:t>property)</w:t>
      </w:r>
      <w:r w:rsidR="00F350B9" w:rsidRPr="00925FE5">
        <w:rPr>
          <w:rFonts w:ascii="Garamond" w:hAnsi="Garamond" w:cs="Times New Roman"/>
          <w:bCs/>
          <w:iCs/>
          <w:noProof/>
          <w:sz w:val="24"/>
          <w:szCs w:val="24"/>
        </w:rPr>
        <w:t>,</w:t>
      </w:r>
      <w:r w:rsidRPr="00925FE5">
        <w:rPr>
          <w:rFonts w:ascii="Garamond" w:hAnsi="Garamond" w:cs="Times New Roman"/>
          <w:bCs/>
          <w:iCs/>
          <w:noProof/>
          <w:sz w:val="24"/>
          <w:szCs w:val="24"/>
        </w:rPr>
        <w:t xml:space="preserve"> auxiliary insurance services</w:t>
      </w:r>
      <w:r w:rsidR="00F350B9" w:rsidRPr="00925FE5">
        <w:rPr>
          <w:rFonts w:ascii="Garamond" w:hAnsi="Garamond" w:cs="Times New Roman"/>
          <w:bCs/>
          <w:iCs/>
          <w:noProof/>
          <w:sz w:val="24"/>
          <w:szCs w:val="24"/>
        </w:rPr>
        <w:t>, and freight insurance.</w:t>
      </w:r>
    </w:p>
    <w:p w14:paraId="46683F03" w14:textId="77777777"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t>v) Financial services - Includes financial intermediary and auxiliary services, except insurance services. These services include those normally provided by banks and other financial institutions. Services primarily include those for which an explicit commission or a fee is charged; implicit fees for bond transactions, measured as the difference between bid and ask prices, are also included</w:t>
      </w:r>
    </w:p>
    <w:p w14:paraId="28462704" w14:textId="77777777"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t>vi) Charges for the use of intellectual property – Includes charges for the use of proprietary rights, such as patents, trademarks, and copyrights, and charges for licenses to use, reproduce, distribute, and sell or purchase intellectual property.</w:t>
      </w:r>
    </w:p>
    <w:p w14:paraId="26537E86" w14:textId="29C0FED9"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t xml:space="preserve">vii) Telecommunications, computer, and information services - Telecommunications services include the broadcast or transmission of sound, images, data, or other information by electronic means. These services </w:t>
      </w:r>
      <w:r w:rsidR="00F350B9" w:rsidRPr="00925FE5">
        <w:rPr>
          <w:rFonts w:ascii="Garamond" w:hAnsi="Garamond" w:cs="Times New Roman"/>
          <w:bCs/>
          <w:iCs/>
          <w:noProof/>
          <w:sz w:val="24"/>
          <w:szCs w:val="24"/>
        </w:rPr>
        <w:t xml:space="preserve">exclude </w:t>
      </w:r>
      <w:r w:rsidRPr="00925FE5">
        <w:rPr>
          <w:rFonts w:ascii="Garamond" w:hAnsi="Garamond" w:cs="Times New Roman"/>
          <w:bCs/>
          <w:iCs/>
          <w:noProof/>
          <w:sz w:val="24"/>
          <w:szCs w:val="24"/>
        </w:rPr>
        <w:t xml:space="preserve">the value of the information transmitted. Computer services consist of hardware- and software-related services and data processing services. Sales of customized software and related use licenses, as well as licenses to use noncustomized software with a periodic license fee, are also included, as is software downloaded or otherwise electronically delivered. </w:t>
      </w:r>
    </w:p>
    <w:p w14:paraId="6C29ABC0" w14:textId="77777777"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t xml:space="preserve">viii) Other business services - Consists of research and development services, professional and management consulting services, and technical, trade-related, and other business services. </w:t>
      </w:r>
    </w:p>
    <w:p w14:paraId="6EE6152A" w14:textId="1F6FFB64" w:rsidR="00F340B9" w:rsidRPr="00925FE5" w:rsidRDefault="00F340B9" w:rsidP="00F340B9">
      <w:pPr>
        <w:spacing w:line="240" w:lineRule="auto"/>
        <w:rPr>
          <w:rFonts w:ascii="Garamond" w:hAnsi="Garamond" w:cs="Times New Roman"/>
          <w:bCs/>
          <w:iCs/>
          <w:noProof/>
          <w:sz w:val="24"/>
          <w:szCs w:val="24"/>
        </w:rPr>
      </w:pPr>
      <w:r w:rsidRPr="00925FE5">
        <w:rPr>
          <w:rFonts w:ascii="Garamond" w:hAnsi="Garamond" w:cs="Times New Roman"/>
          <w:bCs/>
          <w:iCs/>
          <w:noProof/>
          <w:sz w:val="24"/>
          <w:szCs w:val="24"/>
        </w:rPr>
        <w:t>ix) G</w:t>
      </w:r>
      <w:r w:rsidR="007F1FD8" w:rsidRPr="00925FE5">
        <w:rPr>
          <w:rFonts w:ascii="Garamond" w:hAnsi="Garamond" w:cs="Times New Roman"/>
          <w:bCs/>
          <w:iCs/>
          <w:noProof/>
          <w:sz w:val="24"/>
          <w:szCs w:val="24"/>
        </w:rPr>
        <w:t>overnment goods and services not included elsewhere</w:t>
      </w:r>
      <w:r w:rsidRPr="00925FE5">
        <w:rPr>
          <w:rFonts w:ascii="Garamond" w:hAnsi="Garamond" w:cs="Times New Roman"/>
          <w:bCs/>
          <w:iCs/>
          <w:noProof/>
          <w:sz w:val="24"/>
          <w:szCs w:val="24"/>
        </w:rPr>
        <w:t xml:space="preserve"> - Includes goods and services supplied by and to enclaves</w:t>
      </w:r>
      <w:r w:rsidR="00F350B9" w:rsidRPr="00925FE5">
        <w:rPr>
          <w:rFonts w:ascii="Garamond" w:hAnsi="Garamond" w:cs="Times New Roman"/>
          <w:bCs/>
          <w:iCs/>
          <w:noProof/>
          <w:sz w:val="24"/>
          <w:szCs w:val="24"/>
        </w:rPr>
        <w:t xml:space="preserve"> (e.g., </w:t>
      </w:r>
      <w:r w:rsidRPr="00925FE5">
        <w:rPr>
          <w:rFonts w:ascii="Garamond" w:hAnsi="Garamond" w:cs="Times New Roman"/>
          <w:bCs/>
          <w:iCs/>
          <w:noProof/>
          <w:sz w:val="24"/>
          <w:szCs w:val="24"/>
        </w:rPr>
        <w:t>embassies, military bases, and international organizations</w:t>
      </w:r>
      <w:r w:rsidR="00F350B9" w:rsidRPr="00925FE5">
        <w:rPr>
          <w:rFonts w:ascii="Garamond" w:hAnsi="Garamond" w:cs="Times New Roman"/>
          <w:bCs/>
          <w:iCs/>
          <w:noProof/>
          <w:sz w:val="24"/>
          <w:szCs w:val="24"/>
        </w:rPr>
        <w:t>)</w:t>
      </w:r>
      <w:r w:rsidRPr="00925FE5">
        <w:rPr>
          <w:rFonts w:ascii="Garamond" w:hAnsi="Garamond" w:cs="Times New Roman"/>
          <w:bCs/>
          <w:iCs/>
          <w:noProof/>
          <w:sz w:val="24"/>
          <w:szCs w:val="24"/>
        </w:rPr>
        <w:t>; goods and services acquired from the host economy by diplomats, consular staff, and military personnel located abroad and their dependents; and services supplied by and to governments that are not included in other services categories.</w:t>
      </w:r>
    </w:p>
    <w:p w14:paraId="0BC6E259" w14:textId="35106DDC" w:rsidR="00F340B9" w:rsidRPr="00925FE5" w:rsidRDefault="00F340B9" w:rsidP="00F340B9">
      <w:pPr>
        <w:spacing w:line="240" w:lineRule="auto"/>
        <w:rPr>
          <w:rFonts w:ascii="Garamond" w:hAnsi="Garamond" w:cs="Times New Roman"/>
          <w:b/>
          <w:bCs/>
          <w:iCs/>
          <w:noProof/>
          <w:sz w:val="24"/>
          <w:szCs w:val="24"/>
        </w:rPr>
      </w:pPr>
      <w:r w:rsidRPr="00925FE5">
        <w:rPr>
          <w:rFonts w:ascii="Garamond" w:hAnsi="Garamond" w:cs="Times New Roman"/>
          <w:b/>
          <w:bCs/>
          <w:iCs/>
          <w:noProof/>
          <w:sz w:val="24"/>
          <w:szCs w:val="24"/>
        </w:rPr>
        <w:t xml:space="preserve">C) Data from the U.S. </w:t>
      </w:r>
      <w:r w:rsidR="00E54EE5" w:rsidRPr="00925FE5">
        <w:rPr>
          <w:rFonts w:ascii="Garamond" w:hAnsi="Garamond" w:cs="Times New Roman"/>
          <w:b/>
          <w:bCs/>
          <w:iCs/>
          <w:noProof/>
          <w:sz w:val="24"/>
          <w:szCs w:val="24"/>
        </w:rPr>
        <w:t xml:space="preserve">Department </w:t>
      </w:r>
      <w:r w:rsidRPr="00925FE5">
        <w:rPr>
          <w:rFonts w:ascii="Garamond" w:hAnsi="Garamond" w:cs="Times New Roman"/>
          <w:b/>
          <w:bCs/>
          <w:iCs/>
          <w:noProof/>
          <w:sz w:val="24"/>
          <w:szCs w:val="24"/>
        </w:rPr>
        <w:t xml:space="preserve">of Commerce </w:t>
      </w:r>
    </w:p>
    <w:p w14:paraId="67E62DFF" w14:textId="32A5801E" w:rsidR="00F340B9" w:rsidRPr="00925FE5" w:rsidRDefault="00F340B9" w:rsidP="00F340B9">
      <w:pPr>
        <w:spacing w:after="0" w:line="240" w:lineRule="auto"/>
        <w:rPr>
          <w:rFonts w:ascii="Garamond" w:hAnsi="Garamond" w:cs="Times New Roman"/>
          <w:bCs/>
          <w:sz w:val="24"/>
          <w:szCs w:val="24"/>
        </w:rPr>
      </w:pPr>
      <w:r w:rsidRPr="00925FE5">
        <w:rPr>
          <w:rFonts w:ascii="Garamond" w:hAnsi="Garamond" w:cs="Times New Roman"/>
          <w:bCs/>
          <w:sz w:val="24"/>
          <w:szCs w:val="24"/>
        </w:rPr>
        <w:t xml:space="preserve">Our analysis employed established assumptions used by U.S. Department of Commerce’s BEA and International Trade Administration (ITA). </w:t>
      </w:r>
    </w:p>
    <w:p w14:paraId="76024E31" w14:textId="77777777" w:rsidR="0021008F" w:rsidRPr="00925FE5" w:rsidRDefault="0021008F" w:rsidP="00F340B9">
      <w:pPr>
        <w:spacing w:after="0" w:line="240" w:lineRule="auto"/>
        <w:rPr>
          <w:rFonts w:ascii="Garamond" w:hAnsi="Garamond" w:cs="Times New Roman"/>
          <w:bCs/>
          <w:sz w:val="24"/>
          <w:szCs w:val="24"/>
        </w:rPr>
      </w:pPr>
    </w:p>
    <w:p w14:paraId="047F7C49" w14:textId="4052F7C0" w:rsidR="00F340B9" w:rsidRPr="00925FE5" w:rsidRDefault="00F340B9" w:rsidP="00F340B9">
      <w:pPr>
        <w:spacing w:after="0" w:line="240" w:lineRule="auto"/>
        <w:rPr>
          <w:rFonts w:ascii="Garamond" w:hAnsi="Garamond" w:cs="Times New Roman"/>
          <w:sz w:val="24"/>
          <w:szCs w:val="24"/>
        </w:rPr>
      </w:pPr>
      <w:r w:rsidRPr="00925FE5">
        <w:rPr>
          <w:rFonts w:ascii="Garamond" w:hAnsi="Garamond" w:cs="Times New Roman"/>
          <w:bCs/>
          <w:sz w:val="24"/>
          <w:szCs w:val="24"/>
        </w:rPr>
        <w:t>i) Metric: Valuing exports: we valued exports using the producers’ price</w:t>
      </w:r>
      <w:r w:rsidR="00F350B9" w:rsidRPr="00925FE5">
        <w:rPr>
          <w:rFonts w:ascii="Garamond" w:hAnsi="Garamond" w:cs="Times New Roman"/>
          <w:bCs/>
          <w:sz w:val="24"/>
          <w:szCs w:val="24"/>
        </w:rPr>
        <w:t xml:space="preserve"> index</w:t>
      </w:r>
      <w:r w:rsidRPr="00925FE5">
        <w:rPr>
          <w:rFonts w:ascii="Garamond" w:hAnsi="Garamond" w:cs="Times New Roman"/>
          <w:bCs/>
          <w:i/>
          <w:sz w:val="24"/>
          <w:szCs w:val="24"/>
        </w:rPr>
        <w:t xml:space="preserve">, </w:t>
      </w:r>
      <w:r w:rsidRPr="00925FE5">
        <w:rPr>
          <w:rFonts w:ascii="Garamond" w:hAnsi="Garamond" w:cs="Times New Roman"/>
          <w:bCs/>
          <w:sz w:val="24"/>
          <w:szCs w:val="24"/>
        </w:rPr>
        <w:t xml:space="preserve">which </w:t>
      </w:r>
      <w:r w:rsidR="00F350B9" w:rsidRPr="00925FE5">
        <w:rPr>
          <w:rFonts w:ascii="Garamond" w:hAnsi="Garamond" w:cs="Times New Roman"/>
          <w:bCs/>
          <w:sz w:val="24"/>
          <w:szCs w:val="24"/>
        </w:rPr>
        <w:t xml:space="preserve">measures </w:t>
      </w:r>
      <w:r w:rsidRPr="00925FE5">
        <w:rPr>
          <w:rFonts w:ascii="Garamond" w:hAnsi="Garamond" w:cs="Times New Roman"/>
          <w:sz w:val="24"/>
          <w:szCs w:val="24"/>
        </w:rPr>
        <w:t xml:space="preserve">the </w:t>
      </w:r>
      <w:r w:rsidR="00F350B9" w:rsidRPr="00925FE5">
        <w:rPr>
          <w:rFonts w:ascii="Garamond" w:hAnsi="Garamond" w:cs="Times New Roman"/>
          <w:sz w:val="24"/>
          <w:szCs w:val="24"/>
        </w:rPr>
        <w:t xml:space="preserve">average change over time in selling prices (excluding sales and </w:t>
      </w:r>
      <w:r w:rsidR="00B578DC" w:rsidRPr="00925FE5">
        <w:rPr>
          <w:rFonts w:ascii="Garamond" w:hAnsi="Garamond" w:cs="Times New Roman"/>
          <w:sz w:val="24"/>
          <w:szCs w:val="24"/>
        </w:rPr>
        <w:t xml:space="preserve">excise taxes) </w:t>
      </w:r>
      <w:r w:rsidRPr="00925FE5">
        <w:rPr>
          <w:rFonts w:ascii="Garamond" w:hAnsi="Garamond" w:cs="Times New Roman"/>
          <w:sz w:val="24"/>
          <w:szCs w:val="24"/>
        </w:rPr>
        <w:t>received by producers</w:t>
      </w:r>
      <w:r w:rsidR="00B578DC" w:rsidRPr="00925FE5">
        <w:rPr>
          <w:rFonts w:ascii="Garamond" w:hAnsi="Garamond" w:cs="Times New Roman"/>
          <w:sz w:val="24"/>
          <w:szCs w:val="24"/>
        </w:rPr>
        <w:t xml:space="preserve"> of domestica</w:t>
      </w:r>
      <w:r w:rsidR="00697619" w:rsidRPr="00925FE5">
        <w:rPr>
          <w:rFonts w:ascii="Garamond" w:hAnsi="Garamond" w:cs="Times New Roman"/>
          <w:sz w:val="24"/>
          <w:szCs w:val="24"/>
        </w:rPr>
        <w:t>lly produced goods and services</w:t>
      </w:r>
      <w:r w:rsidRPr="00925FE5">
        <w:rPr>
          <w:rFonts w:ascii="Garamond" w:hAnsi="Garamond" w:cs="Times New Roman"/>
          <w:sz w:val="24"/>
          <w:szCs w:val="24"/>
        </w:rPr>
        <w:t xml:space="preserve">. </w:t>
      </w:r>
      <w:r w:rsidRPr="00925FE5">
        <w:rPr>
          <w:rFonts w:ascii="Garamond" w:hAnsi="Garamond" w:cs="Times New Roman"/>
          <w:bCs/>
          <w:sz w:val="24"/>
          <w:szCs w:val="24"/>
        </w:rPr>
        <w:t xml:space="preserve">Thus, </w:t>
      </w:r>
      <w:r w:rsidR="00B578DC" w:rsidRPr="00925FE5">
        <w:rPr>
          <w:rFonts w:ascii="Garamond" w:hAnsi="Garamond" w:cs="Times New Roman"/>
          <w:bCs/>
          <w:sz w:val="24"/>
          <w:szCs w:val="24"/>
        </w:rPr>
        <w:t xml:space="preserve">the </w:t>
      </w:r>
      <w:r w:rsidRPr="00925FE5">
        <w:rPr>
          <w:rFonts w:ascii="Garamond" w:hAnsi="Garamond" w:cs="Times New Roman"/>
          <w:bCs/>
          <w:sz w:val="24"/>
          <w:szCs w:val="24"/>
        </w:rPr>
        <w:t>value of exports refers to the summation of both goods and services</w:t>
      </w:r>
      <w:r w:rsidRPr="00925FE5">
        <w:rPr>
          <w:rFonts w:ascii="Garamond" w:hAnsi="Garamond" w:cs="Times New Roman"/>
          <w:sz w:val="24"/>
          <w:szCs w:val="24"/>
        </w:rPr>
        <w:t xml:space="preserve">. </w:t>
      </w:r>
      <w:r w:rsidRPr="00925FE5">
        <w:rPr>
          <w:rFonts w:ascii="Garamond" w:hAnsi="Garamond" w:cs="Times New Roman"/>
          <w:bCs/>
          <w:sz w:val="24"/>
          <w:szCs w:val="24"/>
        </w:rPr>
        <w:t>Job</w:t>
      </w:r>
      <w:r w:rsidRPr="00925FE5">
        <w:rPr>
          <w:rFonts w:ascii="Garamond" w:hAnsi="Garamond" w:cs="Times New Roman"/>
          <w:b/>
          <w:bCs/>
          <w:sz w:val="24"/>
          <w:szCs w:val="24"/>
        </w:rPr>
        <w:t> </w:t>
      </w:r>
      <w:r w:rsidRPr="00925FE5">
        <w:rPr>
          <w:rFonts w:ascii="Garamond" w:hAnsi="Garamond" w:cs="Times New Roman"/>
          <w:sz w:val="24"/>
          <w:szCs w:val="24"/>
        </w:rPr>
        <w:t>refers to a position where a worker is employed with positive earnings during the reference quarter and in the quarter prior to the reference quarter (</w:t>
      </w:r>
      <w:r w:rsidR="00F350B9" w:rsidRPr="00925FE5">
        <w:rPr>
          <w:rFonts w:ascii="Garamond" w:hAnsi="Garamond" w:cs="Times New Roman"/>
          <w:sz w:val="24"/>
          <w:szCs w:val="24"/>
        </w:rPr>
        <w:t>1</w:t>
      </w:r>
      <w:r w:rsidR="00697619" w:rsidRPr="00925FE5">
        <w:rPr>
          <w:rFonts w:ascii="Garamond" w:hAnsi="Garamond" w:cs="Times New Roman"/>
          <w:sz w:val="24"/>
          <w:szCs w:val="24"/>
        </w:rPr>
        <w:t>2</w:t>
      </w:r>
      <w:r w:rsidR="00F350B9" w:rsidRPr="00925FE5">
        <w:rPr>
          <w:rFonts w:ascii="Garamond" w:hAnsi="Garamond" w:cs="Times New Roman"/>
          <w:sz w:val="24"/>
          <w:szCs w:val="24"/>
        </w:rPr>
        <w:t>-</w:t>
      </w:r>
      <w:r w:rsidRPr="00925FE5">
        <w:rPr>
          <w:rFonts w:ascii="Garamond" w:hAnsi="Garamond" w:cs="Times New Roman"/>
          <w:sz w:val="24"/>
          <w:szCs w:val="24"/>
        </w:rPr>
        <w:t>1</w:t>
      </w:r>
      <w:r w:rsidR="00697619" w:rsidRPr="00925FE5">
        <w:rPr>
          <w:rFonts w:ascii="Garamond" w:hAnsi="Garamond" w:cs="Times New Roman"/>
          <w:sz w:val="24"/>
          <w:szCs w:val="24"/>
        </w:rPr>
        <w:t>7</w:t>
      </w:r>
      <w:r w:rsidRPr="00925FE5">
        <w:rPr>
          <w:rFonts w:ascii="Garamond" w:hAnsi="Garamond" w:cs="Times New Roman"/>
          <w:sz w:val="24"/>
          <w:szCs w:val="24"/>
        </w:rPr>
        <w:t xml:space="preserve">). Following ITA methodology, we assumed that exports-supporting jobs are a reflection of the labor embodied in exports across the entire supply chain of export production in the U.S. </w:t>
      </w:r>
      <w:r w:rsidRPr="00925FE5">
        <w:rPr>
          <w:rFonts w:ascii="Garamond" w:hAnsi="Garamond" w:cs="Times New Roman"/>
          <w:bCs/>
          <w:sz w:val="24"/>
          <w:szCs w:val="24"/>
        </w:rPr>
        <w:t>(</w:t>
      </w:r>
      <w:r w:rsidR="00F350B9" w:rsidRPr="00925FE5">
        <w:rPr>
          <w:rFonts w:ascii="Garamond" w:hAnsi="Garamond" w:cs="Times New Roman"/>
          <w:bCs/>
          <w:sz w:val="24"/>
          <w:szCs w:val="24"/>
        </w:rPr>
        <w:t>1</w:t>
      </w:r>
      <w:r w:rsidR="00697619" w:rsidRPr="00925FE5">
        <w:rPr>
          <w:rFonts w:ascii="Garamond" w:hAnsi="Garamond" w:cs="Times New Roman"/>
          <w:bCs/>
          <w:sz w:val="24"/>
          <w:szCs w:val="24"/>
        </w:rPr>
        <w:t>2</w:t>
      </w:r>
      <w:r w:rsidR="00F350B9" w:rsidRPr="00925FE5">
        <w:rPr>
          <w:rFonts w:ascii="Garamond" w:hAnsi="Garamond" w:cs="Times New Roman"/>
          <w:bCs/>
          <w:sz w:val="24"/>
          <w:szCs w:val="24"/>
        </w:rPr>
        <w:t>-</w:t>
      </w:r>
      <w:r w:rsidRPr="00925FE5">
        <w:rPr>
          <w:rFonts w:ascii="Garamond" w:hAnsi="Garamond" w:cs="Times New Roman"/>
          <w:bCs/>
          <w:sz w:val="24"/>
          <w:szCs w:val="24"/>
        </w:rPr>
        <w:t>1</w:t>
      </w:r>
      <w:r w:rsidR="00697619" w:rsidRPr="00925FE5">
        <w:rPr>
          <w:rFonts w:ascii="Garamond" w:hAnsi="Garamond" w:cs="Times New Roman"/>
          <w:bCs/>
          <w:sz w:val="24"/>
          <w:szCs w:val="24"/>
        </w:rPr>
        <w:t>7</w:t>
      </w:r>
      <w:r w:rsidRPr="00925FE5">
        <w:rPr>
          <w:rFonts w:ascii="Garamond" w:hAnsi="Garamond" w:cs="Times New Roman"/>
          <w:bCs/>
          <w:sz w:val="24"/>
          <w:szCs w:val="24"/>
        </w:rPr>
        <w:t>)</w:t>
      </w:r>
      <w:r w:rsidRPr="00925FE5">
        <w:rPr>
          <w:rFonts w:ascii="Garamond" w:hAnsi="Garamond" w:cs="Times New Roman"/>
          <w:sz w:val="24"/>
          <w:szCs w:val="24"/>
        </w:rPr>
        <w:t xml:space="preserve">. </w:t>
      </w:r>
    </w:p>
    <w:p w14:paraId="29CFBE88" w14:textId="77777777" w:rsidR="00F340B9" w:rsidRPr="00925FE5" w:rsidRDefault="00F340B9" w:rsidP="00F340B9">
      <w:pPr>
        <w:spacing w:after="0" w:line="240" w:lineRule="auto"/>
        <w:rPr>
          <w:rFonts w:ascii="Garamond" w:hAnsi="Garamond" w:cs="Times New Roman"/>
          <w:sz w:val="24"/>
          <w:szCs w:val="24"/>
        </w:rPr>
      </w:pPr>
    </w:p>
    <w:p w14:paraId="21CD4239" w14:textId="0CE94421" w:rsidR="00F340B9" w:rsidRPr="00925FE5" w:rsidRDefault="00F340B9" w:rsidP="00F340B9">
      <w:pPr>
        <w:spacing w:after="0" w:line="240" w:lineRule="auto"/>
        <w:rPr>
          <w:rFonts w:ascii="Garamond" w:eastAsia="Times New Roman" w:hAnsi="Garamond" w:cs="Times New Roman"/>
          <w:bCs/>
          <w:sz w:val="24"/>
          <w:szCs w:val="24"/>
        </w:rPr>
      </w:pPr>
      <w:r w:rsidRPr="00925FE5">
        <w:rPr>
          <w:rFonts w:ascii="Garamond" w:hAnsi="Garamond" w:cs="Times New Roman"/>
          <w:bCs/>
          <w:sz w:val="24"/>
          <w:szCs w:val="24"/>
        </w:rPr>
        <w:t>ii) Exports by sectors of the economy: The BEA and ITA data use sector codes and categories provided by the North America Industrial Classification Standard (NAICS). For this analysis, we used the same two digit NAICS sector codes that are used in other reports (</w:t>
      </w:r>
      <w:r w:rsidR="00F350B9" w:rsidRPr="00925FE5">
        <w:rPr>
          <w:rFonts w:ascii="Garamond" w:hAnsi="Garamond" w:cs="Times New Roman"/>
          <w:bCs/>
          <w:sz w:val="24"/>
          <w:szCs w:val="24"/>
        </w:rPr>
        <w:t>1</w:t>
      </w:r>
      <w:r w:rsidR="00697619" w:rsidRPr="00925FE5">
        <w:rPr>
          <w:rFonts w:ascii="Garamond" w:hAnsi="Garamond" w:cs="Times New Roman"/>
          <w:bCs/>
          <w:sz w:val="24"/>
          <w:szCs w:val="24"/>
        </w:rPr>
        <w:t>2</w:t>
      </w:r>
      <w:r w:rsidR="00F350B9" w:rsidRPr="00925FE5">
        <w:rPr>
          <w:rFonts w:ascii="Garamond" w:hAnsi="Garamond" w:cs="Times New Roman"/>
          <w:bCs/>
          <w:sz w:val="24"/>
          <w:szCs w:val="24"/>
        </w:rPr>
        <w:t>-1</w:t>
      </w:r>
      <w:r w:rsidR="00697619" w:rsidRPr="00925FE5">
        <w:rPr>
          <w:rFonts w:ascii="Garamond" w:hAnsi="Garamond" w:cs="Times New Roman"/>
          <w:bCs/>
          <w:sz w:val="24"/>
          <w:szCs w:val="24"/>
        </w:rPr>
        <w:t>7</w:t>
      </w:r>
      <w:r w:rsidRPr="00925FE5">
        <w:rPr>
          <w:rFonts w:ascii="Garamond" w:hAnsi="Garamond" w:cs="Times New Roman"/>
          <w:bCs/>
          <w:sz w:val="24"/>
          <w:szCs w:val="24"/>
        </w:rPr>
        <w:t>). To determine the value of material goods exported and their associated NAICS sectors, we used 2015 data from the TPIS website on “U.S. State Exports (1999-onward) and State Imports (2008-onward)” (1</w:t>
      </w:r>
      <w:r w:rsidR="00D55BA4" w:rsidRPr="00925FE5">
        <w:rPr>
          <w:rFonts w:ascii="Garamond" w:hAnsi="Garamond" w:cs="Times New Roman"/>
          <w:bCs/>
          <w:sz w:val="24"/>
          <w:szCs w:val="24"/>
        </w:rPr>
        <w:t>5</w:t>
      </w:r>
      <w:r w:rsidRPr="00925FE5">
        <w:rPr>
          <w:rFonts w:ascii="Garamond" w:hAnsi="Garamond" w:cs="Times New Roman"/>
          <w:bCs/>
          <w:sz w:val="24"/>
          <w:szCs w:val="24"/>
        </w:rPr>
        <w:t xml:space="preserve">). </w:t>
      </w:r>
      <w:r w:rsidRPr="00925FE5">
        <w:rPr>
          <w:rFonts w:ascii="Garamond" w:eastAsia="Times New Roman" w:hAnsi="Garamond" w:cs="Times New Roman"/>
          <w:bCs/>
          <w:sz w:val="24"/>
          <w:szCs w:val="24"/>
        </w:rPr>
        <w:t>Service data from 2015 were abstracted from the U.S. Department of Commerce BEA website under international services and then U.S. trade in services (</w:t>
      </w:r>
      <w:r w:rsidR="005C68A8" w:rsidRPr="00925FE5">
        <w:rPr>
          <w:rFonts w:ascii="Garamond" w:eastAsia="Times New Roman" w:hAnsi="Garamond" w:cs="Times New Roman"/>
          <w:bCs/>
          <w:sz w:val="24"/>
          <w:szCs w:val="24"/>
        </w:rPr>
        <w:t>12-17</w:t>
      </w:r>
      <w:r w:rsidRPr="00925FE5">
        <w:rPr>
          <w:rFonts w:ascii="Garamond" w:eastAsia="Times New Roman" w:hAnsi="Garamond" w:cs="Times New Roman"/>
          <w:bCs/>
          <w:sz w:val="24"/>
          <w:szCs w:val="24"/>
        </w:rPr>
        <w:t>).</w:t>
      </w:r>
      <w:r w:rsidRPr="00925FE5">
        <w:rPr>
          <w:rFonts w:ascii="Garamond" w:hAnsi="Garamond"/>
        </w:rPr>
        <w:t xml:space="preserve"> </w:t>
      </w:r>
      <w:r w:rsidRPr="00925FE5">
        <w:rPr>
          <w:rFonts w:ascii="Garamond" w:eastAsia="Times New Roman" w:hAnsi="Garamond" w:cs="Times New Roman"/>
          <w:bCs/>
          <w:sz w:val="24"/>
          <w:szCs w:val="24"/>
        </w:rPr>
        <w:t>Using estimates provided by the BEA, and ITA, we determined the total, sector specific and state-specific values of U.S. exports to each priority country.</w:t>
      </w:r>
    </w:p>
    <w:p w14:paraId="3FF5CC78" w14:textId="780285EE" w:rsidR="00F340B9" w:rsidRPr="00925FE5" w:rsidRDefault="00F340B9" w:rsidP="00F340B9">
      <w:pPr>
        <w:spacing w:line="240" w:lineRule="auto"/>
        <w:rPr>
          <w:rFonts w:ascii="Garamond" w:hAnsi="Garamond" w:cs="Times New Roman"/>
          <w:bCs/>
          <w:iCs/>
          <w:noProof/>
          <w:sz w:val="24"/>
          <w:szCs w:val="24"/>
        </w:rPr>
      </w:pPr>
    </w:p>
    <w:p w14:paraId="4C3E01FC" w14:textId="7F893FDE" w:rsidR="00237293" w:rsidRPr="00925FE5" w:rsidRDefault="00237293" w:rsidP="00237293">
      <w:pPr>
        <w:spacing w:after="0" w:line="240" w:lineRule="auto"/>
        <w:ind w:left="-450" w:right="-720"/>
        <w:rPr>
          <w:rFonts w:ascii="Garamond" w:eastAsia="Times New Roman" w:hAnsi="Garamond" w:cs="Times New Roman"/>
          <w:bCs/>
          <w:szCs w:val="24"/>
        </w:rPr>
      </w:pPr>
      <w:r w:rsidRPr="00925FE5">
        <w:rPr>
          <w:rFonts w:ascii="Garamond" w:eastAsia="Times New Roman" w:hAnsi="Garamond" w:cs="Times New Roman"/>
          <w:b/>
          <w:bCs/>
          <w:szCs w:val="24"/>
        </w:rPr>
        <w:lastRenderedPageBreak/>
        <w:t>Appendix Table 1.</w:t>
      </w:r>
      <w:r w:rsidRPr="00925FE5">
        <w:rPr>
          <w:rFonts w:ascii="Garamond" w:eastAsia="Times New Roman" w:hAnsi="Garamond" w:cs="Times New Roman"/>
          <w:bCs/>
          <w:szCs w:val="24"/>
        </w:rPr>
        <w:t xml:space="preserve"> Total Value and Percentage of Materials Goods Exported to Global Health Security Priority Countries Compared to U.S. Exports to </w:t>
      </w:r>
      <w:r w:rsidR="002A503F" w:rsidRPr="00925FE5">
        <w:rPr>
          <w:rFonts w:ascii="Garamond" w:eastAsia="Times New Roman" w:hAnsi="Garamond" w:cs="Times New Roman"/>
          <w:bCs/>
          <w:szCs w:val="24"/>
        </w:rPr>
        <w:t>All</w:t>
      </w:r>
    </w:p>
    <w:p w14:paraId="1798BDB5" w14:textId="79E56081" w:rsidR="00237293" w:rsidRPr="00925FE5" w:rsidRDefault="00237293" w:rsidP="00237293">
      <w:pPr>
        <w:spacing w:after="0" w:line="240" w:lineRule="auto"/>
        <w:ind w:left="-450" w:right="-720"/>
        <w:rPr>
          <w:rFonts w:ascii="Garamond" w:eastAsia="Times New Roman" w:hAnsi="Garamond" w:cs="Times New Roman"/>
          <w:bCs/>
          <w:szCs w:val="24"/>
        </w:rPr>
      </w:pPr>
      <w:r w:rsidRPr="00925FE5">
        <w:rPr>
          <w:rFonts w:ascii="Garamond" w:eastAsia="Times New Roman" w:hAnsi="Garamond" w:cs="Times New Roman"/>
          <w:bCs/>
          <w:szCs w:val="24"/>
        </w:rPr>
        <w:t>by Sector and U.S. State in 2015</w:t>
      </w:r>
      <w:r w:rsidRPr="00925FE5">
        <w:rPr>
          <w:rFonts w:ascii="Garamond" w:eastAsia="Times New Roman" w:hAnsi="Garamond" w:cs="Times New Roman"/>
          <w:bCs/>
          <w:szCs w:val="24"/>
          <w:vertAlign w:val="superscript"/>
        </w:rPr>
        <w:t>1,2</w:t>
      </w:r>
    </w:p>
    <w:tbl>
      <w:tblPr>
        <w:tblStyle w:val="TableGridLight1"/>
        <w:tblW w:w="13949" w:type="dxa"/>
        <w:tblInd w:w="-455" w:type="dxa"/>
        <w:tblLook w:val="04A0" w:firstRow="1" w:lastRow="0" w:firstColumn="1" w:lastColumn="0" w:noHBand="0" w:noVBand="1"/>
      </w:tblPr>
      <w:tblGrid>
        <w:gridCol w:w="1302"/>
        <w:gridCol w:w="1452"/>
        <w:gridCol w:w="1453"/>
        <w:gridCol w:w="1595"/>
        <w:gridCol w:w="1663"/>
        <w:gridCol w:w="2191"/>
        <w:gridCol w:w="2537"/>
        <w:gridCol w:w="1756"/>
      </w:tblGrid>
      <w:tr w:rsidR="00237293" w:rsidRPr="00925FE5" w14:paraId="22DDE70F" w14:textId="77777777" w:rsidTr="00237293">
        <w:trPr>
          <w:trHeight w:val="796"/>
        </w:trPr>
        <w:tc>
          <w:tcPr>
            <w:tcW w:w="1302" w:type="dxa"/>
            <w:hideMark/>
          </w:tcPr>
          <w:p w14:paraId="59B2776F" w14:textId="77777777" w:rsidR="00237293" w:rsidRPr="00925FE5" w:rsidRDefault="00237293" w:rsidP="00237293">
            <w:pPr>
              <w:rPr>
                <w:rFonts w:ascii="Garamond" w:eastAsia="Times New Roman" w:hAnsi="Garamond" w:cs="Times New Roman"/>
                <w:b/>
                <w:sz w:val="18"/>
                <w:szCs w:val="20"/>
              </w:rPr>
            </w:pPr>
            <w:r w:rsidRPr="00925FE5">
              <w:rPr>
                <w:rFonts w:ascii="Garamond" w:eastAsia="Times New Roman" w:hAnsi="Garamond" w:cs="Times New Roman"/>
                <w:b/>
                <w:sz w:val="18"/>
                <w:szCs w:val="20"/>
              </w:rPr>
              <w:t>State</w:t>
            </w:r>
          </w:p>
        </w:tc>
        <w:tc>
          <w:tcPr>
            <w:tcW w:w="1452" w:type="dxa"/>
            <w:hideMark/>
          </w:tcPr>
          <w:p w14:paraId="2E9CBD62" w14:textId="77777777" w:rsidR="00237293" w:rsidRPr="00925FE5" w:rsidRDefault="00237293" w:rsidP="00237293">
            <w:pPr>
              <w:rPr>
                <w:rFonts w:ascii="Garamond" w:eastAsia="Times New Roman" w:hAnsi="Garamond" w:cs="Times New Roman"/>
                <w:b/>
                <w:bCs/>
                <w:color w:val="000000"/>
                <w:sz w:val="18"/>
                <w:szCs w:val="20"/>
              </w:rPr>
            </w:pPr>
            <w:r w:rsidRPr="00925FE5">
              <w:rPr>
                <w:rFonts w:ascii="Garamond" w:eastAsia="Times New Roman" w:hAnsi="Garamond" w:cs="Times New Roman"/>
                <w:b/>
                <w:bCs/>
                <w:color w:val="000000"/>
                <w:sz w:val="18"/>
                <w:szCs w:val="20"/>
              </w:rPr>
              <w:t>Agriculture, Forestry, Fishing, and Hunting (USD)</w:t>
            </w:r>
          </w:p>
        </w:tc>
        <w:tc>
          <w:tcPr>
            <w:tcW w:w="1453" w:type="dxa"/>
            <w:hideMark/>
          </w:tcPr>
          <w:p w14:paraId="4E1A2D32" w14:textId="77777777" w:rsidR="00237293" w:rsidRPr="00925FE5" w:rsidRDefault="00237293" w:rsidP="00237293">
            <w:pPr>
              <w:rPr>
                <w:rFonts w:ascii="Garamond" w:eastAsia="Times New Roman" w:hAnsi="Garamond" w:cs="Times New Roman"/>
                <w:b/>
                <w:bCs/>
                <w:color w:val="000000"/>
                <w:sz w:val="18"/>
                <w:szCs w:val="20"/>
              </w:rPr>
            </w:pPr>
            <w:r w:rsidRPr="00925FE5">
              <w:rPr>
                <w:rFonts w:ascii="Garamond" w:eastAsia="Times New Roman" w:hAnsi="Garamond" w:cs="Times New Roman"/>
                <w:b/>
                <w:bCs/>
                <w:color w:val="000000"/>
                <w:sz w:val="18"/>
                <w:szCs w:val="20"/>
              </w:rPr>
              <w:t xml:space="preserve">Mining, Quarrying, and Oil/Gas extraction </w:t>
            </w:r>
          </w:p>
          <w:p w14:paraId="5D44B3C6" w14:textId="77777777" w:rsidR="00237293" w:rsidRPr="00925FE5" w:rsidRDefault="00237293" w:rsidP="00237293">
            <w:pPr>
              <w:rPr>
                <w:rFonts w:ascii="Garamond" w:eastAsia="Times New Roman" w:hAnsi="Garamond" w:cs="Times New Roman"/>
                <w:b/>
                <w:bCs/>
                <w:color w:val="000000"/>
                <w:sz w:val="18"/>
                <w:szCs w:val="20"/>
              </w:rPr>
            </w:pPr>
            <w:r w:rsidRPr="00925FE5">
              <w:rPr>
                <w:rFonts w:ascii="Garamond" w:eastAsia="Times New Roman" w:hAnsi="Garamond" w:cs="Times New Roman"/>
                <w:b/>
                <w:bCs/>
                <w:color w:val="000000"/>
                <w:sz w:val="18"/>
                <w:szCs w:val="20"/>
              </w:rPr>
              <w:t>(USD)</w:t>
            </w:r>
          </w:p>
        </w:tc>
        <w:tc>
          <w:tcPr>
            <w:tcW w:w="1595" w:type="dxa"/>
            <w:hideMark/>
          </w:tcPr>
          <w:p w14:paraId="2FB1A040" w14:textId="77777777" w:rsidR="00237293" w:rsidRPr="00925FE5" w:rsidRDefault="00237293" w:rsidP="00237293">
            <w:pPr>
              <w:rPr>
                <w:rFonts w:ascii="Garamond" w:eastAsia="Times New Roman" w:hAnsi="Garamond" w:cs="Times New Roman"/>
                <w:b/>
                <w:bCs/>
                <w:color w:val="000000"/>
                <w:sz w:val="18"/>
                <w:szCs w:val="20"/>
              </w:rPr>
            </w:pPr>
            <w:r w:rsidRPr="00925FE5">
              <w:rPr>
                <w:rFonts w:ascii="Garamond" w:eastAsia="Times New Roman" w:hAnsi="Garamond" w:cs="Times New Roman"/>
                <w:b/>
                <w:bCs/>
                <w:color w:val="000000"/>
                <w:sz w:val="18"/>
                <w:szCs w:val="20"/>
              </w:rPr>
              <w:t>Manufactured Goods (USD)</w:t>
            </w:r>
          </w:p>
        </w:tc>
        <w:tc>
          <w:tcPr>
            <w:tcW w:w="1663" w:type="dxa"/>
            <w:hideMark/>
          </w:tcPr>
          <w:p w14:paraId="4C5D919D" w14:textId="77777777" w:rsidR="00237293" w:rsidRPr="00925FE5" w:rsidRDefault="00237293" w:rsidP="00237293">
            <w:pPr>
              <w:rPr>
                <w:rFonts w:ascii="Garamond" w:eastAsia="Times New Roman" w:hAnsi="Garamond" w:cs="Times New Roman"/>
                <w:b/>
                <w:bCs/>
                <w:color w:val="000000"/>
                <w:sz w:val="18"/>
                <w:szCs w:val="20"/>
              </w:rPr>
            </w:pPr>
            <w:r w:rsidRPr="00925FE5">
              <w:rPr>
                <w:rFonts w:ascii="Garamond" w:eastAsia="Times New Roman" w:hAnsi="Garamond" w:cs="Times New Roman"/>
                <w:b/>
                <w:bCs/>
                <w:color w:val="000000"/>
                <w:sz w:val="18"/>
                <w:szCs w:val="20"/>
              </w:rPr>
              <w:t>Other Exports (USD)</w:t>
            </w:r>
          </w:p>
        </w:tc>
        <w:tc>
          <w:tcPr>
            <w:tcW w:w="2191" w:type="dxa"/>
            <w:hideMark/>
          </w:tcPr>
          <w:p w14:paraId="3CA8101F" w14:textId="77777777" w:rsidR="00237293" w:rsidRPr="00925FE5" w:rsidRDefault="00237293" w:rsidP="00237293">
            <w:pPr>
              <w:rPr>
                <w:rFonts w:ascii="Garamond" w:eastAsia="Times New Roman" w:hAnsi="Garamond" w:cs="Times New Roman"/>
                <w:b/>
                <w:bCs/>
                <w:color w:val="000000"/>
                <w:sz w:val="18"/>
                <w:szCs w:val="20"/>
              </w:rPr>
            </w:pPr>
            <w:r w:rsidRPr="00925FE5">
              <w:rPr>
                <w:rFonts w:ascii="Garamond" w:eastAsia="Times New Roman" w:hAnsi="Garamond" w:cs="Times New Roman"/>
                <w:b/>
                <w:bCs/>
                <w:color w:val="000000"/>
                <w:sz w:val="18"/>
                <w:szCs w:val="20"/>
              </w:rPr>
              <w:t>Total Value of Material Goods Exported to Global Health Security Priority Countries</w:t>
            </w:r>
            <w:r w:rsidRPr="00925FE5">
              <w:rPr>
                <w:rFonts w:ascii="Garamond" w:eastAsia="Times New Roman" w:hAnsi="Garamond" w:cs="Times New Roman"/>
                <w:b/>
                <w:bCs/>
                <w:color w:val="000000"/>
                <w:sz w:val="18"/>
                <w:szCs w:val="20"/>
                <w:vertAlign w:val="superscript"/>
              </w:rPr>
              <w:t>3</w:t>
            </w:r>
            <w:r w:rsidRPr="00925FE5">
              <w:rPr>
                <w:rFonts w:ascii="Garamond" w:eastAsia="Times New Roman" w:hAnsi="Garamond" w:cs="Times New Roman"/>
                <w:b/>
                <w:bCs/>
                <w:color w:val="000000"/>
                <w:sz w:val="18"/>
                <w:szCs w:val="20"/>
              </w:rPr>
              <w:t xml:space="preserve"> (USD) </w:t>
            </w:r>
          </w:p>
        </w:tc>
        <w:tc>
          <w:tcPr>
            <w:tcW w:w="2537" w:type="dxa"/>
            <w:hideMark/>
          </w:tcPr>
          <w:p w14:paraId="167F582C" w14:textId="77777777" w:rsidR="00237293" w:rsidRPr="00925FE5" w:rsidRDefault="00237293" w:rsidP="00237293">
            <w:pPr>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 xml:space="preserve">Total Value of Material Goods Exported to All Countries </w:t>
            </w:r>
            <w:r w:rsidRPr="00925FE5">
              <w:rPr>
                <w:rFonts w:ascii="Garamond" w:eastAsia="Times New Roman" w:hAnsi="Garamond" w:cs="Times New Roman"/>
                <w:b/>
                <w:bCs/>
                <w:color w:val="000000"/>
                <w:sz w:val="18"/>
                <w:szCs w:val="20"/>
              </w:rPr>
              <w:t>(USD)</w:t>
            </w:r>
          </w:p>
        </w:tc>
        <w:tc>
          <w:tcPr>
            <w:tcW w:w="1756" w:type="dxa"/>
            <w:hideMark/>
          </w:tcPr>
          <w:p w14:paraId="2E663A78" w14:textId="77777777" w:rsidR="00237293" w:rsidRPr="00925FE5" w:rsidRDefault="00237293" w:rsidP="00237293">
            <w:pPr>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Percentage of Value of Exports Global Health Security Priority Countries Relative to All Countries</w:t>
            </w:r>
            <w:r w:rsidRPr="00925FE5">
              <w:rPr>
                <w:rFonts w:ascii="Garamond" w:eastAsia="Times New Roman" w:hAnsi="Garamond" w:cs="Times New Roman"/>
                <w:b/>
                <w:bCs/>
                <w:color w:val="000000"/>
                <w:sz w:val="18"/>
                <w:vertAlign w:val="superscript"/>
              </w:rPr>
              <w:t>4</w:t>
            </w:r>
          </w:p>
        </w:tc>
      </w:tr>
      <w:tr w:rsidR="00237293" w:rsidRPr="00925FE5" w14:paraId="7E9C3F7F" w14:textId="77777777" w:rsidTr="00237293">
        <w:trPr>
          <w:trHeight w:val="257"/>
        </w:trPr>
        <w:tc>
          <w:tcPr>
            <w:tcW w:w="1302" w:type="dxa"/>
            <w:noWrap/>
            <w:hideMark/>
          </w:tcPr>
          <w:p w14:paraId="35F5FFA5"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Alabama</w:t>
            </w:r>
          </w:p>
        </w:tc>
        <w:tc>
          <w:tcPr>
            <w:tcW w:w="1452" w:type="dxa"/>
            <w:noWrap/>
            <w:hideMark/>
          </w:tcPr>
          <w:p w14:paraId="395D249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$284,287,080</w:t>
            </w:r>
          </w:p>
        </w:tc>
        <w:tc>
          <w:tcPr>
            <w:tcW w:w="1453" w:type="dxa"/>
            <w:noWrap/>
            <w:hideMark/>
          </w:tcPr>
          <w:p w14:paraId="4550E7C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$48,979,741</w:t>
            </w:r>
          </w:p>
        </w:tc>
        <w:tc>
          <w:tcPr>
            <w:tcW w:w="1595" w:type="dxa"/>
            <w:noWrap/>
            <w:hideMark/>
          </w:tcPr>
          <w:p w14:paraId="4BD7B47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$3,823,344,473</w:t>
            </w:r>
          </w:p>
        </w:tc>
        <w:tc>
          <w:tcPr>
            <w:tcW w:w="1663" w:type="dxa"/>
            <w:noWrap/>
            <w:hideMark/>
          </w:tcPr>
          <w:p w14:paraId="2D336C3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$53,278,796</w:t>
            </w:r>
          </w:p>
        </w:tc>
        <w:tc>
          <w:tcPr>
            <w:tcW w:w="2191" w:type="dxa"/>
            <w:noWrap/>
            <w:hideMark/>
          </w:tcPr>
          <w:p w14:paraId="28CC115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$4,209,890,090</w:t>
            </w:r>
          </w:p>
        </w:tc>
        <w:tc>
          <w:tcPr>
            <w:tcW w:w="2537" w:type="dxa"/>
            <w:noWrap/>
            <w:hideMark/>
          </w:tcPr>
          <w:p w14:paraId="37C109E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$17,594,701,765</w:t>
            </w:r>
          </w:p>
        </w:tc>
        <w:tc>
          <w:tcPr>
            <w:tcW w:w="1756" w:type="dxa"/>
            <w:noWrap/>
            <w:hideMark/>
          </w:tcPr>
          <w:p w14:paraId="03A57C3F"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23.9%</w:t>
            </w:r>
          </w:p>
        </w:tc>
      </w:tr>
      <w:tr w:rsidR="00237293" w:rsidRPr="00925FE5" w14:paraId="6685045D" w14:textId="77777777" w:rsidTr="00237293">
        <w:trPr>
          <w:trHeight w:val="257"/>
        </w:trPr>
        <w:tc>
          <w:tcPr>
            <w:tcW w:w="1302" w:type="dxa"/>
            <w:noWrap/>
            <w:hideMark/>
          </w:tcPr>
          <w:p w14:paraId="4B3CD755"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Alaska</w:t>
            </w:r>
          </w:p>
        </w:tc>
        <w:tc>
          <w:tcPr>
            <w:tcW w:w="1452" w:type="dxa"/>
            <w:noWrap/>
            <w:hideMark/>
          </w:tcPr>
          <w:p w14:paraId="781DBCC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$912,823,061</w:t>
            </w:r>
          </w:p>
        </w:tc>
        <w:tc>
          <w:tcPr>
            <w:tcW w:w="1453" w:type="dxa"/>
            <w:noWrap/>
            <w:hideMark/>
          </w:tcPr>
          <w:p w14:paraId="27E11E6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$351,268,823</w:t>
            </w:r>
          </w:p>
        </w:tc>
        <w:tc>
          <w:tcPr>
            <w:tcW w:w="1595" w:type="dxa"/>
            <w:noWrap/>
            <w:hideMark/>
          </w:tcPr>
          <w:p w14:paraId="0257265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$119,983,139</w:t>
            </w:r>
          </w:p>
        </w:tc>
        <w:tc>
          <w:tcPr>
            <w:tcW w:w="1663" w:type="dxa"/>
            <w:noWrap/>
            <w:hideMark/>
          </w:tcPr>
          <w:p w14:paraId="646591F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$253,249</w:t>
            </w:r>
          </w:p>
        </w:tc>
        <w:tc>
          <w:tcPr>
            <w:tcW w:w="2191" w:type="dxa"/>
            <w:noWrap/>
            <w:hideMark/>
          </w:tcPr>
          <w:p w14:paraId="279CC45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$1,384,328,272</w:t>
            </w:r>
          </w:p>
        </w:tc>
        <w:tc>
          <w:tcPr>
            <w:tcW w:w="2537" w:type="dxa"/>
            <w:noWrap/>
            <w:hideMark/>
          </w:tcPr>
          <w:p w14:paraId="442401E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$2,575,087,437</w:t>
            </w:r>
          </w:p>
        </w:tc>
        <w:tc>
          <w:tcPr>
            <w:tcW w:w="1756" w:type="dxa"/>
            <w:noWrap/>
            <w:hideMark/>
          </w:tcPr>
          <w:p w14:paraId="346A211C"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53.8%</w:t>
            </w:r>
          </w:p>
        </w:tc>
      </w:tr>
      <w:tr w:rsidR="00237293" w:rsidRPr="00925FE5" w14:paraId="5B92FDAA" w14:textId="77777777" w:rsidTr="00237293">
        <w:trPr>
          <w:trHeight w:val="257"/>
        </w:trPr>
        <w:tc>
          <w:tcPr>
            <w:tcW w:w="1302" w:type="dxa"/>
            <w:noWrap/>
            <w:hideMark/>
          </w:tcPr>
          <w:p w14:paraId="180551C8"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Arizona</w:t>
            </w:r>
          </w:p>
        </w:tc>
        <w:tc>
          <w:tcPr>
            <w:tcW w:w="1452" w:type="dxa"/>
            <w:noWrap/>
            <w:hideMark/>
          </w:tcPr>
          <w:p w14:paraId="1F1F320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$109,729,685</w:t>
            </w:r>
          </w:p>
        </w:tc>
        <w:tc>
          <w:tcPr>
            <w:tcW w:w="1453" w:type="dxa"/>
            <w:noWrap/>
            <w:hideMark/>
          </w:tcPr>
          <w:p w14:paraId="0ACE541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$1,568,946</w:t>
            </w:r>
          </w:p>
        </w:tc>
        <w:tc>
          <w:tcPr>
            <w:tcW w:w="1595" w:type="dxa"/>
            <w:noWrap/>
            <w:hideMark/>
          </w:tcPr>
          <w:p w14:paraId="287CB64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$2,559,315,780</w:t>
            </w:r>
          </w:p>
        </w:tc>
        <w:tc>
          <w:tcPr>
            <w:tcW w:w="1663" w:type="dxa"/>
            <w:noWrap/>
            <w:hideMark/>
          </w:tcPr>
          <w:p w14:paraId="53694C9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$74,357,987</w:t>
            </w:r>
          </w:p>
        </w:tc>
        <w:tc>
          <w:tcPr>
            <w:tcW w:w="2191" w:type="dxa"/>
            <w:noWrap/>
            <w:hideMark/>
          </w:tcPr>
          <w:p w14:paraId="09ABCFF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$2,744,972,398</w:t>
            </w:r>
          </w:p>
        </w:tc>
        <w:tc>
          <w:tcPr>
            <w:tcW w:w="2537" w:type="dxa"/>
            <w:noWrap/>
            <w:hideMark/>
          </w:tcPr>
          <w:p w14:paraId="1F55F66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$20,798,926,353</w:t>
            </w:r>
          </w:p>
        </w:tc>
        <w:tc>
          <w:tcPr>
            <w:tcW w:w="1756" w:type="dxa"/>
            <w:noWrap/>
            <w:hideMark/>
          </w:tcPr>
          <w:p w14:paraId="3FDB4FD9"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13.2%</w:t>
            </w:r>
          </w:p>
        </w:tc>
      </w:tr>
      <w:tr w:rsidR="00237293" w:rsidRPr="00925FE5" w14:paraId="2094B299" w14:textId="77777777" w:rsidTr="00237293">
        <w:trPr>
          <w:trHeight w:val="257"/>
        </w:trPr>
        <w:tc>
          <w:tcPr>
            <w:tcW w:w="1302" w:type="dxa"/>
            <w:noWrap/>
            <w:hideMark/>
          </w:tcPr>
          <w:p w14:paraId="311A47B0"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Arkansas</w:t>
            </w:r>
          </w:p>
        </w:tc>
        <w:tc>
          <w:tcPr>
            <w:tcW w:w="1452" w:type="dxa"/>
            <w:noWrap/>
            <w:hideMark/>
          </w:tcPr>
          <w:p w14:paraId="583CF81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$65,885,070</w:t>
            </w:r>
          </w:p>
        </w:tc>
        <w:tc>
          <w:tcPr>
            <w:tcW w:w="1453" w:type="dxa"/>
            <w:noWrap/>
            <w:hideMark/>
          </w:tcPr>
          <w:p w14:paraId="36074DD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$195,899</w:t>
            </w:r>
          </w:p>
        </w:tc>
        <w:tc>
          <w:tcPr>
            <w:tcW w:w="1595" w:type="dxa"/>
            <w:noWrap/>
            <w:hideMark/>
          </w:tcPr>
          <w:p w14:paraId="5141509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$495,930,574</w:t>
            </w:r>
          </w:p>
        </w:tc>
        <w:tc>
          <w:tcPr>
            <w:tcW w:w="1663" w:type="dxa"/>
            <w:noWrap/>
            <w:hideMark/>
          </w:tcPr>
          <w:p w14:paraId="51BDD93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$11,173,907</w:t>
            </w:r>
          </w:p>
        </w:tc>
        <w:tc>
          <w:tcPr>
            <w:tcW w:w="2191" w:type="dxa"/>
            <w:noWrap/>
            <w:hideMark/>
          </w:tcPr>
          <w:p w14:paraId="7B4318C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$573,185,450</w:t>
            </w:r>
          </w:p>
        </w:tc>
        <w:tc>
          <w:tcPr>
            <w:tcW w:w="2537" w:type="dxa"/>
            <w:noWrap/>
            <w:hideMark/>
          </w:tcPr>
          <w:p w14:paraId="581B5A0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$5,183,483,870</w:t>
            </w:r>
          </w:p>
        </w:tc>
        <w:tc>
          <w:tcPr>
            <w:tcW w:w="1756" w:type="dxa"/>
            <w:noWrap/>
            <w:hideMark/>
          </w:tcPr>
          <w:p w14:paraId="2C5A55A7"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11.1%</w:t>
            </w:r>
          </w:p>
        </w:tc>
      </w:tr>
      <w:tr w:rsidR="00237293" w:rsidRPr="00925FE5" w14:paraId="36465174" w14:textId="77777777" w:rsidTr="00237293">
        <w:trPr>
          <w:trHeight w:val="257"/>
        </w:trPr>
        <w:tc>
          <w:tcPr>
            <w:tcW w:w="1302" w:type="dxa"/>
            <w:noWrap/>
            <w:hideMark/>
          </w:tcPr>
          <w:p w14:paraId="039463A3"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California</w:t>
            </w:r>
          </w:p>
        </w:tc>
        <w:tc>
          <w:tcPr>
            <w:tcW w:w="1452" w:type="dxa"/>
            <w:noWrap/>
            <w:hideMark/>
          </w:tcPr>
          <w:p w14:paraId="6EBF25B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$2,309,635,540</w:t>
            </w:r>
          </w:p>
        </w:tc>
        <w:tc>
          <w:tcPr>
            <w:tcW w:w="1453" w:type="dxa"/>
            <w:noWrap/>
            <w:hideMark/>
          </w:tcPr>
          <w:p w14:paraId="36163AC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$58,948,211</w:t>
            </w:r>
          </w:p>
        </w:tc>
        <w:tc>
          <w:tcPr>
            <w:tcW w:w="1595" w:type="dxa"/>
            <w:noWrap/>
            <w:hideMark/>
          </w:tcPr>
          <w:p w14:paraId="0DDA2D7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$22,138,567,274</w:t>
            </w:r>
          </w:p>
        </w:tc>
        <w:tc>
          <w:tcPr>
            <w:tcW w:w="1663" w:type="dxa"/>
            <w:noWrap/>
            <w:hideMark/>
          </w:tcPr>
          <w:p w14:paraId="060F6FD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$2,731,454,776</w:t>
            </w:r>
          </w:p>
        </w:tc>
        <w:tc>
          <w:tcPr>
            <w:tcW w:w="2191" w:type="dxa"/>
            <w:noWrap/>
            <w:hideMark/>
          </w:tcPr>
          <w:p w14:paraId="1942991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$27,238,605,801</w:t>
            </w:r>
          </w:p>
        </w:tc>
        <w:tc>
          <w:tcPr>
            <w:tcW w:w="2537" w:type="dxa"/>
            <w:noWrap/>
            <w:hideMark/>
          </w:tcPr>
          <w:p w14:paraId="2AF80F9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$167,863,421,615</w:t>
            </w:r>
          </w:p>
        </w:tc>
        <w:tc>
          <w:tcPr>
            <w:tcW w:w="1756" w:type="dxa"/>
            <w:noWrap/>
            <w:hideMark/>
          </w:tcPr>
          <w:p w14:paraId="097A5CC9"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16.2%</w:t>
            </w:r>
          </w:p>
        </w:tc>
      </w:tr>
      <w:tr w:rsidR="00237293" w:rsidRPr="00925FE5" w14:paraId="060128C0" w14:textId="77777777" w:rsidTr="00237293">
        <w:trPr>
          <w:trHeight w:val="257"/>
        </w:trPr>
        <w:tc>
          <w:tcPr>
            <w:tcW w:w="1302" w:type="dxa"/>
            <w:noWrap/>
            <w:hideMark/>
          </w:tcPr>
          <w:p w14:paraId="42AF9F17"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Colorado</w:t>
            </w:r>
          </w:p>
        </w:tc>
        <w:tc>
          <w:tcPr>
            <w:tcW w:w="1452" w:type="dxa"/>
            <w:noWrap/>
            <w:hideMark/>
          </w:tcPr>
          <w:p w14:paraId="667707E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$17,715,025</w:t>
            </w:r>
          </w:p>
        </w:tc>
        <w:tc>
          <w:tcPr>
            <w:tcW w:w="1453" w:type="dxa"/>
            <w:noWrap/>
            <w:hideMark/>
          </w:tcPr>
          <w:p w14:paraId="7F77EF6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$2,640,884</w:t>
            </w:r>
          </w:p>
        </w:tc>
        <w:tc>
          <w:tcPr>
            <w:tcW w:w="1595" w:type="dxa"/>
            <w:noWrap/>
            <w:hideMark/>
          </w:tcPr>
          <w:p w14:paraId="372745B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$1,284,590,609</w:t>
            </w:r>
          </w:p>
        </w:tc>
        <w:tc>
          <w:tcPr>
            <w:tcW w:w="1663" w:type="dxa"/>
            <w:noWrap/>
            <w:hideMark/>
          </w:tcPr>
          <w:p w14:paraId="78AB33E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$95,880,419</w:t>
            </w:r>
          </w:p>
        </w:tc>
        <w:tc>
          <w:tcPr>
            <w:tcW w:w="2191" w:type="dxa"/>
            <w:noWrap/>
            <w:hideMark/>
          </w:tcPr>
          <w:p w14:paraId="5AF339B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$1,400,826,937</w:t>
            </w:r>
          </w:p>
        </w:tc>
        <w:tc>
          <w:tcPr>
            <w:tcW w:w="2537" w:type="dxa"/>
            <w:noWrap/>
            <w:hideMark/>
          </w:tcPr>
          <w:p w14:paraId="3FFA648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$8,822,562,469</w:t>
            </w:r>
          </w:p>
        </w:tc>
        <w:tc>
          <w:tcPr>
            <w:tcW w:w="1756" w:type="dxa"/>
            <w:noWrap/>
            <w:hideMark/>
          </w:tcPr>
          <w:p w14:paraId="03EF14E4"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15.9%</w:t>
            </w:r>
          </w:p>
        </w:tc>
      </w:tr>
      <w:tr w:rsidR="00237293" w:rsidRPr="00925FE5" w14:paraId="651C2601" w14:textId="77777777" w:rsidTr="00237293">
        <w:trPr>
          <w:trHeight w:val="257"/>
        </w:trPr>
        <w:tc>
          <w:tcPr>
            <w:tcW w:w="1302" w:type="dxa"/>
            <w:noWrap/>
            <w:hideMark/>
          </w:tcPr>
          <w:p w14:paraId="758510E2"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Connecticut</w:t>
            </w:r>
          </w:p>
        </w:tc>
        <w:tc>
          <w:tcPr>
            <w:tcW w:w="1452" w:type="dxa"/>
            <w:noWrap/>
            <w:hideMark/>
          </w:tcPr>
          <w:p w14:paraId="0CE5A4B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$8,387,777</w:t>
            </w:r>
          </w:p>
        </w:tc>
        <w:tc>
          <w:tcPr>
            <w:tcW w:w="1453" w:type="dxa"/>
            <w:noWrap/>
            <w:hideMark/>
          </w:tcPr>
          <w:p w14:paraId="60ECC8A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$3,550,285</w:t>
            </w:r>
          </w:p>
        </w:tc>
        <w:tc>
          <w:tcPr>
            <w:tcW w:w="1595" w:type="dxa"/>
            <w:noWrap/>
            <w:hideMark/>
          </w:tcPr>
          <w:p w14:paraId="76D9EBF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$1,483,253,335</w:t>
            </w:r>
          </w:p>
        </w:tc>
        <w:tc>
          <w:tcPr>
            <w:tcW w:w="1663" w:type="dxa"/>
            <w:noWrap/>
            <w:hideMark/>
          </w:tcPr>
          <w:p w14:paraId="213EE31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$42,692,460</w:t>
            </w:r>
          </w:p>
        </w:tc>
        <w:tc>
          <w:tcPr>
            <w:tcW w:w="2191" w:type="dxa"/>
            <w:noWrap/>
            <w:hideMark/>
          </w:tcPr>
          <w:p w14:paraId="04999F6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$1,537,883,857</w:t>
            </w:r>
          </w:p>
        </w:tc>
        <w:tc>
          <w:tcPr>
            <w:tcW w:w="2537" w:type="dxa"/>
            <w:noWrap/>
            <w:hideMark/>
          </w:tcPr>
          <w:p w14:paraId="1485DE6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$22,344,685,122</w:t>
            </w:r>
          </w:p>
        </w:tc>
        <w:tc>
          <w:tcPr>
            <w:tcW w:w="1756" w:type="dxa"/>
            <w:noWrap/>
            <w:hideMark/>
          </w:tcPr>
          <w:p w14:paraId="6EB306E3"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6.9%</w:t>
            </w:r>
          </w:p>
        </w:tc>
      </w:tr>
      <w:tr w:rsidR="00237293" w:rsidRPr="00925FE5" w14:paraId="1031696D" w14:textId="77777777" w:rsidTr="00237293">
        <w:trPr>
          <w:trHeight w:val="257"/>
        </w:trPr>
        <w:tc>
          <w:tcPr>
            <w:tcW w:w="1302" w:type="dxa"/>
            <w:noWrap/>
            <w:hideMark/>
          </w:tcPr>
          <w:p w14:paraId="03EAD1CE"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Delaware</w:t>
            </w:r>
          </w:p>
        </w:tc>
        <w:tc>
          <w:tcPr>
            <w:tcW w:w="1452" w:type="dxa"/>
            <w:noWrap/>
            <w:hideMark/>
          </w:tcPr>
          <w:p w14:paraId="627F6C5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$177,771</w:t>
            </w:r>
          </w:p>
        </w:tc>
        <w:tc>
          <w:tcPr>
            <w:tcW w:w="1453" w:type="dxa"/>
            <w:noWrap/>
            <w:hideMark/>
          </w:tcPr>
          <w:p w14:paraId="4D6CB27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$42,961</w:t>
            </w:r>
          </w:p>
        </w:tc>
        <w:tc>
          <w:tcPr>
            <w:tcW w:w="1595" w:type="dxa"/>
            <w:noWrap/>
            <w:hideMark/>
          </w:tcPr>
          <w:p w14:paraId="5E06EC5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$615,580,241</w:t>
            </w:r>
          </w:p>
        </w:tc>
        <w:tc>
          <w:tcPr>
            <w:tcW w:w="1663" w:type="dxa"/>
            <w:noWrap/>
            <w:hideMark/>
          </w:tcPr>
          <w:p w14:paraId="4AA5F4D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$32,320,670</w:t>
            </w:r>
          </w:p>
        </w:tc>
        <w:tc>
          <w:tcPr>
            <w:tcW w:w="2191" w:type="dxa"/>
            <w:noWrap/>
            <w:hideMark/>
          </w:tcPr>
          <w:p w14:paraId="5BAF96A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$648,121,643</w:t>
            </w:r>
          </w:p>
        </w:tc>
        <w:tc>
          <w:tcPr>
            <w:tcW w:w="2537" w:type="dxa"/>
            <w:noWrap/>
            <w:hideMark/>
          </w:tcPr>
          <w:p w14:paraId="7A3372B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$6,646,115,859</w:t>
            </w:r>
          </w:p>
        </w:tc>
        <w:tc>
          <w:tcPr>
            <w:tcW w:w="1756" w:type="dxa"/>
            <w:noWrap/>
            <w:hideMark/>
          </w:tcPr>
          <w:p w14:paraId="22C58FFC"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9.8%</w:t>
            </w:r>
          </w:p>
        </w:tc>
      </w:tr>
      <w:tr w:rsidR="00237293" w:rsidRPr="00925FE5" w14:paraId="255F8F91" w14:textId="77777777" w:rsidTr="00237293">
        <w:trPr>
          <w:trHeight w:val="257"/>
        </w:trPr>
        <w:tc>
          <w:tcPr>
            <w:tcW w:w="1302" w:type="dxa"/>
            <w:noWrap/>
            <w:hideMark/>
          </w:tcPr>
          <w:p w14:paraId="52A63AE3"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Florida</w:t>
            </w:r>
          </w:p>
        </w:tc>
        <w:tc>
          <w:tcPr>
            <w:tcW w:w="1452" w:type="dxa"/>
            <w:noWrap/>
            <w:hideMark/>
          </w:tcPr>
          <w:p w14:paraId="4E2DEA7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$216,576,891</w:t>
            </w:r>
          </w:p>
        </w:tc>
        <w:tc>
          <w:tcPr>
            <w:tcW w:w="1453" w:type="dxa"/>
            <w:noWrap/>
            <w:hideMark/>
          </w:tcPr>
          <w:p w14:paraId="52887C1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$21,287,949</w:t>
            </w:r>
          </w:p>
        </w:tc>
        <w:tc>
          <w:tcPr>
            <w:tcW w:w="1595" w:type="dxa"/>
            <w:noWrap/>
            <w:hideMark/>
          </w:tcPr>
          <w:p w14:paraId="590D8CA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$8,365,664,658</w:t>
            </w:r>
          </w:p>
        </w:tc>
        <w:tc>
          <w:tcPr>
            <w:tcW w:w="1663" w:type="dxa"/>
            <w:noWrap/>
            <w:hideMark/>
          </w:tcPr>
          <w:p w14:paraId="77D96D4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$838,333,945</w:t>
            </w:r>
          </w:p>
        </w:tc>
        <w:tc>
          <w:tcPr>
            <w:tcW w:w="2191" w:type="dxa"/>
            <w:noWrap/>
            <w:hideMark/>
          </w:tcPr>
          <w:p w14:paraId="6B43419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$9,441,863,443</w:t>
            </w:r>
          </w:p>
        </w:tc>
        <w:tc>
          <w:tcPr>
            <w:tcW w:w="2537" w:type="dxa"/>
            <w:noWrap/>
            <w:hideMark/>
          </w:tcPr>
          <w:p w14:paraId="0E38529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$52,341,021,886</w:t>
            </w:r>
          </w:p>
        </w:tc>
        <w:tc>
          <w:tcPr>
            <w:tcW w:w="1756" w:type="dxa"/>
            <w:noWrap/>
            <w:hideMark/>
          </w:tcPr>
          <w:p w14:paraId="21C533C3"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18.0%</w:t>
            </w:r>
          </w:p>
        </w:tc>
      </w:tr>
      <w:tr w:rsidR="00237293" w:rsidRPr="00925FE5" w14:paraId="66692AA8" w14:textId="77777777" w:rsidTr="00237293">
        <w:trPr>
          <w:trHeight w:val="257"/>
        </w:trPr>
        <w:tc>
          <w:tcPr>
            <w:tcW w:w="1302" w:type="dxa"/>
            <w:noWrap/>
            <w:hideMark/>
          </w:tcPr>
          <w:p w14:paraId="5E136B57"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Georgia</w:t>
            </w:r>
          </w:p>
        </w:tc>
        <w:tc>
          <w:tcPr>
            <w:tcW w:w="1452" w:type="dxa"/>
            <w:noWrap/>
            <w:hideMark/>
          </w:tcPr>
          <w:p w14:paraId="2A09D54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$534,642,580</w:t>
            </w:r>
          </w:p>
        </w:tc>
        <w:tc>
          <w:tcPr>
            <w:tcW w:w="1453" w:type="dxa"/>
            <w:noWrap/>
            <w:hideMark/>
          </w:tcPr>
          <w:p w14:paraId="5646E0A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$127,187,970</w:t>
            </w:r>
          </w:p>
        </w:tc>
        <w:tc>
          <w:tcPr>
            <w:tcW w:w="1595" w:type="dxa"/>
            <w:noWrap/>
            <w:hideMark/>
          </w:tcPr>
          <w:p w14:paraId="782434E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$5,044,112,143</w:t>
            </w:r>
          </w:p>
        </w:tc>
        <w:tc>
          <w:tcPr>
            <w:tcW w:w="1663" w:type="dxa"/>
            <w:noWrap/>
            <w:hideMark/>
          </w:tcPr>
          <w:p w14:paraId="200FBAB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$502,246,915</w:t>
            </w:r>
          </w:p>
        </w:tc>
        <w:tc>
          <w:tcPr>
            <w:tcW w:w="2191" w:type="dxa"/>
            <w:noWrap/>
            <w:hideMark/>
          </w:tcPr>
          <w:p w14:paraId="167B157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$6,208,189,608</w:t>
            </w:r>
          </w:p>
        </w:tc>
        <w:tc>
          <w:tcPr>
            <w:tcW w:w="2537" w:type="dxa"/>
            <w:noWrap/>
            <w:hideMark/>
          </w:tcPr>
          <w:p w14:paraId="0AF329E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$35,145,942,845</w:t>
            </w:r>
          </w:p>
        </w:tc>
        <w:tc>
          <w:tcPr>
            <w:tcW w:w="1756" w:type="dxa"/>
            <w:noWrap/>
            <w:hideMark/>
          </w:tcPr>
          <w:p w14:paraId="2D9C760A"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17.7%</w:t>
            </w:r>
          </w:p>
        </w:tc>
      </w:tr>
      <w:tr w:rsidR="00237293" w:rsidRPr="00925FE5" w14:paraId="18B92DC6" w14:textId="77777777" w:rsidTr="00237293">
        <w:trPr>
          <w:trHeight w:val="257"/>
        </w:trPr>
        <w:tc>
          <w:tcPr>
            <w:tcW w:w="1302" w:type="dxa"/>
            <w:noWrap/>
            <w:hideMark/>
          </w:tcPr>
          <w:p w14:paraId="6B9664BE"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Hawaii</w:t>
            </w:r>
          </w:p>
        </w:tc>
        <w:tc>
          <w:tcPr>
            <w:tcW w:w="1452" w:type="dxa"/>
            <w:noWrap/>
            <w:hideMark/>
          </w:tcPr>
          <w:p w14:paraId="03A3B49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$36,953,587</w:t>
            </w:r>
          </w:p>
        </w:tc>
        <w:tc>
          <w:tcPr>
            <w:tcW w:w="1453" w:type="dxa"/>
            <w:noWrap/>
            <w:hideMark/>
          </w:tcPr>
          <w:p w14:paraId="3A53467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 N/A</w:t>
            </w:r>
          </w:p>
        </w:tc>
        <w:tc>
          <w:tcPr>
            <w:tcW w:w="1595" w:type="dxa"/>
            <w:noWrap/>
            <w:hideMark/>
          </w:tcPr>
          <w:p w14:paraId="27C22B2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$128,787,915</w:t>
            </w:r>
          </w:p>
        </w:tc>
        <w:tc>
          <w:tcPr>
            <w:tcW w:w="1663" w:type="dxa"/>
            <w:noWrap/>
            <w:hideMark/>
          </w:tcPr>
          <w:p w14:paraId="5EFD4EC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$41,807,192</w:t>
            </w:r>
          </w:p>
        </w:tc>
        <w:tc>
          <w:tcPr>
            <w:tcW w:w="2191" w:type="dxa"/>
            <w:noWrap/>
            <w:hideMark/>
          </w:tcPr>
          <w:p w14:paraId="36C5090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$207,548,694</w:t>
            </w:r>
          </w:p>
        </w:tc>
        <w:tc>
          <w:tcPr>
            <w:tcW w:w="2537" w:type="dxa"/>
            <w:noWrap/>
            <w:hideMark/>
          </w:tcPr>
          <w:p w14:paraId="3FF93E3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$528,565,415</w:t>
            </w:r>
          </w:p>
        </w:tc>
        <w:tc>
          <w:tcPr>
            <w:tcW w:w="1756" w:type="dxa"/>
            <w:noWrap/>
            <w:hideMark/>
          </w:tcPr>
          <w:p w14:paraId="57D4C5E8"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39.3%</w:t>
            </w:r>
          </w:p>
        </w:tc>
      </w:tr>
      <w:tr w:rsidR="00237293" w:rsidRPr="00925FE5" w14:paraId="0471E412" w14:textId="77777777" w:rsidTr="00237293">
        <w:trPr>
          <w:trHeight w:val="257"/>
        </w:trPr>
        <w:tc>
          <w:tcPr>
            <w:tcW w:w="1302" w:type="dxa"/>
            <w:noWrap/>
            <w:hideMark/>
          </w:tcPr>
          <w:p w14:paraId="131DCC44"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Idaho</w:t>
            </w:r>
          </w:p>
        </w:tc>
        <w:tc>
          <w:tcPr>
            <w:tcW w:w="1452" w:type="dxa"/>
            <w:noWrap/>
            <w:hideMark/>
          </w:tcPr>
          <w:p w14:paraId="7931FD2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$37,608,102</w:t>
            </w:r>
          </w:p>
        </w:tc>
        <w:tc>
          <w:tcPr>
            <w:tcW w:w="1453" w:type="dxa"/>
            <w:noWrap/>
            <w:hideMark/>
          </w:tcPr>
          <w:p w14:paraId="0DCABB8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$404,960</w:t>
            </w:r>
          </w:p>
        </w:tc>
        <w:tc>
          <w:tcPr>
            <w:tcW w:w="1595" w:type="dxa"/>
            <w:noWrap/>
            <w:hideMark/>
          </w:tcPr>
          <w:p w14:paraId="358A1B8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$790,096,967</w:t>
            </w:r>
          </w:p>
        </w:tc>
        <w:tc>
          <w:tcPr>
            <w:tcW w:w="1663" w:type="dxa"/>
            <w:noWrap/>
            <w:hideMark/>
          </w:tcPr>
          <w:p w14:paraId="0E4E642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$2,028,895</w:t>
            </w:r>
          </w:p>
        </w:tc>
        <w:tc>
          <w:tcPr>
            <w:tcW w:w="2191" w:type="dxa"/>
            <w:noWrap/>
            <w:hideMark/>
          </w:tcPr>
          <w:p w14:paraId="7064234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$830,138,924</w:t>
            </w:r>
          </w:p>
        </w:tc>
        <w:tc>
          <w:tcPr>
            <w:tcW w:w="2537" w:type="dxa"/>
            <w:noWrap/>
            <w:hideMark/>
          </w:tcPr>
          <w:p w14:paraId="4CAA13B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$4,259,876,701</w:t>
            </w:r>
          </w:p>
        </w:tc>
        <w:tc>
          <w:tcPr>
            <w:tcW w:w="1756" w:type="dxa"/>
            <w:noWrap/>
            <w:hideMark/>
          </w:tcPr>
          <w:p w14:paraId="33C4154C"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19.5%</w:t>
            </w:r>
          </w:p>
        </w:tc>
      </w:tr>
      <w:tr w:rsidR="00237293" w:rsidRPr="00925FE5" w14:paraId="776222A1" w14:textId="77777777" w:rsidTr="00237293">
        <w:trPr>
          <w:trHeight w:val="257"/>
        </w:trPr>
        <w:tc>
          <w:tcPr>
            <w:tcW w:w="1302" w:type="dxa"/>
            <w:noWrap/>
            <w:hideMark/>
          </w:tcPr>
          <w:p w14:paraId="204749C1"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Illinois</w:t>
            </w:r>
          </w:p>
        </w:tc>
        <w:tc>
          <w:tcPr>
            <w:tcW w:w="1452" w:type="dxa"/>
            <w:noWrap/>
            <w:hideMark/>
          </w:tcPr>
          <w:p w14:paraId="69E521F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$1,412,801,845</w:t>
            </w:r>
          </w:p>
        </w:tc>
        <w:tc>
          <w:tcPr>
            <w:tcW w:w="1453" w:type="dxa"/>
            <w:noWrap/>
            <w:hideMark/>
          </w:tcPr>
          <w:p w14:paraId="1654EB0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$4,464,232</w:t>
            </w:r>
          </w:p>
        </w:tc>
        <w:tc>
          <w:tcPr>
            <w:tcW w:w="1595" w:type="dxa"/>
            <w:noWrap/>
            <w:hideMark/>
          </w:tcPr>
          <w:p w14:paraId="52CA484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$6,724,901,242</w:t>
            </w:r>
          </w:p>
        </w:tc>
        <w:tc>
          <w:tcPr>
            <w:tcW w:w="1663" w:type="dxa"/>
            <w:noWrap/>
            <w:hideMark/>
          </w:tcPr>
          <w:p w14:paraId="3542F37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$554,395,226</w:t>
            </w:r>
          </w:p>
        </w:tc>
        <w:tc>
          <w:tcPr>
            <w:tcW w:w="2191" w:type="dxa"/>
            <w:noWrap/>
            <w:hideMark/>
          </w:tcPr>
          <w:p w14:paraId="64827D0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$8,696,562,545</w:t>
            </w:r>
          </w:p>
        </w:tc>
        <w:tc>
          <w:tcPr>
            <w:tcW w:w="2537" w:type="dxa"/>
            <w:noWrap/>
            <w:hideMark/>
          </w:tcPr>
          <w:p w14:paraId="7D04931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$72,233,965,083</w:t>
            </w:r>
          </w:p>
        </w:tc>
        <w:tc>
          <w:tcPr>
            <w:tcW w:w="1756" w:type="dxa"/>
            <w:noWrap/>
            <w:hideMark/>
          </w:tcPr>
          <w:p w14:paraId="338B0596"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12.0%</w:t>
            </w:r>
          </w:p>
        </w:tc>
      </w:tr>
      <w:tr w:rsidR="00237293" w:rsidRPr="00925FE5" w14:paraId="51D85FA7" w14:textId="77777777" w:rsidTr="00237293">
        <w:trPr>
          <w:trHeight w:val="257"/>
        </w:trPr>
        <w:tc>
          <w:tcPr>
            <w:tcW w:w="1302" w:type="dxa"/>
            <w:noWrap/>
            <w:hideMark/>
          </w:tcPr>
          <w:p w14:paraId="0AD78436"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Indiana</w:t>
            </w:r>
          </w:p>
        </w:tc>
        <w:tc>
          <w:tcPr>
            <w:tcW w:w="1452" w:type="dxa"/>
            <w:noWrap/>
            <w:hideMark/>
          </w:tcPr>
          <w:p w14:paraId="08F7B9B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$27,660,946</w:t>
            </w:r>
          </w:p>
        </w:tc>
        <w:tc>
          <w:tcPr>
            <w:tcW w:w="1453" w:type="dxa"/>
            <w:noWrap/>
            <w:hideMark/>
          </w:tcPr>
          <w:p w14:paraId="229BD6B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$671,091</w:t>
            </w:r>
          </w:p>
        </w:tc>
        <w:tc>
          <w:tcPr>
            <w:tcW w:w="1595" w:type="dxa"/>
            <w:noWrap/>
            <w:hideMark/>
          </w:tcPr>
          <w:p w14:paraId="4F88869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$2,265,369,927</w:t>
            </w:r>
          </w:p>
        </w:tc>
        <w:tc>
          <w:tcPr>
            <w:tcW w:w="1663" w:type="dxa"/>
            <w:noWrap/>
            <w:hideMark/>
          </w:tcPr>
          <w:p w14:paraId="43A0287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$74,098,522</w:t>
            </w:r>
          </w:p>
        </w:tc>
        <w:tc>
          <w:tcPr>
            <w:tcW w:w="2191" w:type="dxa"/>
            <w:noWrap/>
            <w:hideMark/>
          </w:tcPr>
          <w:p w14:paraId="723D66B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$2,367,800,486</w:t>
            </w:r>
          </w:p>
        </w:tc>
        <w:tc>
          <w:tcPr>
            <w:tcW w:w="2537" w:type="dxa"/>
            <w:noWrap/>
            <w:hideMark/>
          </w:tcPr>
          <w:p w14:paraId="389AACF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$32,361,305,293</w:t>
            </w:r>
          </w:p>
        </w:tc>
        <w:tc>
          <w:tcPr>
            <w:tcW w:w="1756" w:type="dxa"/>
            <w:noWrap/>
            <w:hideMark/>
          </w:tcPr>
          <w:p w14:paraId="20EA269F"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7.3%</w:t>
            </w:r>
          </w:p>
        </w:tc>
      </w:tr>
      <w:tr w:rsidR="00237293" w:rsidRPr="00925FE5" w14:paraId="04797487" w14:textId="77777777" w:rsidTr="00237293">
        <w:trPr>
          <w:trHeight w:val="257"/>
        </w:trPr>
        <w:tc>
          <w:tcPr>
            <w:tcW w:w="1302" w:type="dxa"/>
            <w:noWrap/>
            <w:hideMark/>
          </w:tcPr>
          <w:p w14:paraId="74DA64DA"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Iowa</w:t>
            </w:r>
          </w:p>
        </w:tc>
        <w:tc>
          <w:tcPr>
            <w:tcW w:w="1452" w:type="dxa"/>
            <w:noWrap/>
            <w:hideMark/>
          </w:tcPr>
          <w:p w14:paraId="795C019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$331,003,859</w:t>
            </w:r>
          </w:p>
        </w:tc>
        <w:tc>
          <w:tcPr>
            <w:tcW w:w="1453" w:type="dxa"/>
            <w:noWrap/>
            <w:hideMark/>
          </w:tcPr>
          <w:p w14:paraId="59B519F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$5,371,169</w:t>
            </w:r>
          </w:p>
        </w:tc>
        <w:tc>
          <w:tcPr>
            <w:tcW w:w="1595" w:type="dxa"/>
            <w:noWrap/>
            <w:hideMark/>
          </w:tcPr>
          <w:p w14:paraId="13B260D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$1,419,618,362</w:t>
            </w:r>
          </w:p>
        </w:tc>
        <w:tc>
          <w:tcPr>
            <w:tcW w:w="1663" w:type="dxa"/>
            <w:noWrap/>
            <w:hideMark/>
          </w:tcPr>
          <w:p w14:paraId="3D3ADE5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$35,007,232</w:t>
            </w:r>
          </w:p>
        </w:tc>
        <w:tc>
          <w:tcPr>
            <w:tcW w:w="2191" w:type="dxa"/>
            <w:noWrap/>
            <w:hideMark/>
          </w:tcPr>
          <w:p w14:paraId="1670AA9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$1,791,000,622</w:t>
            </w:r>
          </w:p>
        </w:tc>
        <w:tc>
          <w:tcPr>
            <w:tcW w:w="2537" w:type="dxa"/>
            <w:noWrap/>
            <w:hideMark/>
          </w:tcPr>
          <w:p w14:paraId="7B4C32E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$8,542,028,499</w:t>
            </w:r>
          </w:p>
        </w:tc>
        <w:tc>
          <w:tcPr>
            <w:tcW w:w="1756" w:type="dxa"/>
            <w:noWrap/>
            <w:hideMark/>
          </w:tcPr>
          <w:p w14:paraId="354A750E"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21.0%</w:t>
            </w:r>
          </w:p>
        </w:tc>
      </w:tr>
      <w:tr w:rsidR="00237293" w:rsidRPr="00925FE5" w14:paraId="39547518" w14:textId="77777777" w:rsidTr="00237293">
        <w:trPr>
          <w:trHeight w:val="257"/>
        </w:trPr>
        <w:tc>
          <w:tcPr>
            <w:tcW w:w="1302" w:type="dxa"/>
            <w:noWrap/>
            <w:hideMark/>
          </w:tcPr>
          <w:p w14:paraId="42781BBC"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Kansas</w:t>
            </w:r>
          </w:p>
        </w:tc>
        <w:tc>
          <w:tcPr>
            <w:tcW w:w="1452" w:type="dxa"/>
            <w:noWrap/>
            <w:hideMark/>
          </w:tcPr>
          <w:p w14:paraId="14CCDA1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$403,817,204</w:t>
            </w:r>
          </w:p>
        </w:tc>
        <w:tc>
          <w:tcPr>
            <w:tcW w:w="1453" w:type="dxa"/>
            <w:noWrap/>
            <w:hideMark/>
          </w:tcPr>
          <w:p w14:paraId="11D728D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$237,888</w:t>
            </w:r>
          </w:p>
        </w:tc>
        <w:tc>
          <w:tcPr>
            <w:tcW w:w="1595" w:type="dxa"/>
            <w:noWrap/>
            <w:hideMark/>
          </w:tcPr>
          <w:p w14:paraId="0647092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$1,128,267,194</w:t>
            </w:r>
          </w:p>
        </w:tc>
        <w:tc>
          <w:tcPr>
            <w:tcW w:w="1663" w:type="dxa"/>
            <w:noWrap/>
            <w:hideMark/>
          </w:tcPr>
          <w:p w14:paraId="6E366AA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$120,249,984</w:t>
            </w:r>
          </w:p>
        </w:tc>
        <w:tc>
          <w:tcPr>
            <w:tcW w:w="2191" w:type="dxa"/>
            <w:noWrap/>
            <w:hideMark/>
          </w:tcPr>
          <w:p w14:paraId="38A6EBA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$1,652,572,270</w:t>
            </w:r>
          </w:p>
        </w:tc>
        <w:tc>
          <w:tcPr>
            <w:tcW w:w="2537" w:type="dxa"/>
            <w:noWrap/>
            <w:hideMark/>
          </w:tcPr>
          <w:p w14:paraId="76AA3A4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$10,769,350,537</w:t>
            </w:r>
          </w:p>
        </w:tc>
        <w:tc>
          <w:tcPr>
            <w:tcW w:w="1756" w:type="dxa"/>
            <w:noWrap/>
            <w:hideMark/>
          </w:tcPr>
          <w:p w14:paraId="7B8BB2BA"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15.3%</w:t>
            </w:r>
          </w:p>
        </w:tc>
      </w:tr>
      <w:tr w:rsidR="00237293" w:rsidRPr="00925FE5" w14:paraId="1D0F6D74" w14:textId="77777777" w:rsidTr="00237293">
        <w:trPr>
          <w:trHeight w:val="257"/>
        </w:trPr>
        <w:tc>
          <w:tcPr>
            <w:tcW w:w="1302" w:type="dxa"/>
            <w:noWrap/>
            <w:hideMark/>
          </w:tcPr>
          <w:p w14:paraId="781CE65E"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Kentucky</w:t>
            </w:r>
          </w:p>
        </w:tc>
        <w:tc>
          <w:tcPr>
            <w:tcW w:w="1452" w:type="dxa"/>
            <w:noWrap/>
            <w:hideMark/>
          </w:tcPr>
          <w:p w14:paraId="07BE9D6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$17,671,071</w:t>
            </w:r>
          </w:p>
        </w:tc>
        <w:tc>
          <w:tcPr>
            <w:tcW w:w="1453" w:type="dxa"/>
            <w:noWrap/>
            <w:hideMark/>
          </w:tcPr>
          <w:p w14:paraId="36A88E8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$4,903,521</w:t>
            </w:r>
          </w:p>
        </w:tc>
        <w:tc>
          <w:tcPr>
            <w:tcW w:w="1595" w:type="dxa"/>
            <w:noWrap/>
            <w:hideMark/>
          </w:tcPr>
          <w:p w14:paraId="7B71517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$2,718,473,019</w:t>
            </w:r>
          </w:p>
        </w:tc>
        <w:tc>
          <w:tcPr>
            <w:tcW w:w="1663" w:type="dxa"/>
            <w:noWrap/>
            <w:hideMark/>
          </w:tcPr>
          <w:p w14:paraId="454E724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$70,726,481</w:t>
            </w:r>
          </w:p>
        </w:tc>
        <w:tc>
          <w:tcPr>
            <w:tcW w:w="2191" w:type="dxa"/>
            <w:noWrap/>
            <w:hideMark/>
          </w:tcPr>
          <w:p w14:paraId="6D83155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$2,811,774,092</w:t>
            </w:r>
          </w:p>
        </w:tc>
        <w:tc>
          <w:tcPr>
            <w:tcW w:w="2537" w:type="dxa"/>
            <w:noWrap/>
            <w:hideMark/>
          </w:tcPr>
          <w:p w14:paraId="58D674A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$25,483,897,672</w:t>
            </w:r>
          </w:p>
        </w:tc>
        <w:tc>
          <w:tcPr>
            <w:tcW w:w="1756" w:type="dxa"/>
            <w:noWrap/>
            <w:hideMark/>
          </w:tcPr>
          <w:p w14:paraId="36455660"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11.0%</w:t>
            </w:r>
          </w:p>
        </w:tc>
      </w:tr>
      <w:tr w:rsidR="00237293" w:rsidRPr="00925FE5" w14:paraId="7E428393" w14:textId="77777777" w:rsidTr="00237293">
        <w:trPr>
          <w:trHeight w:val="257"/>
        </w:trPr>
        <w:tc>
          <w:tcPr>
            <w:tcW w:w="1302" w:type="dxa"/>
            <w:noWrap/>
            <w:hideMark/>
          </w:tcPr>
          <w:p w14:paraId="73E6C70A"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Louisiana</w:t>
            </w:r>
          </w:p>
        </w:tc>
        <w:tc>
          <w:tcPr>
            <w:tcW w:w="1452" w:type="dxa"/>
            <w:noWrap/>
            <w:hideMark/>
          </w:tcPr>
          <w:p w14:paraId="776ECAE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$6,475,339,532</w:t>
            </w:r>
          </w:p>
        </w:tc>
        <w:tc>
          <w:tcPr>
            <w:tcW w:w="1453" w:type="dxa"/>
            <w:noWrap/>
            <w:hideMark/>
          </w:tcPr>
          <w:p w14:paraId="706B254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$171,130,756</w:t>
            </w:r>
          </w:p>
        </w:tc>
        <w:tc>
          <w:tcPr>
            <w:tcW w:w="1595" w:type="dxa"/>
            <w:noWrap/>
            <w:hideMark/>
          </w:tcPr>
          <w:p w14:paraId="598236D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$5,467,069,606</w:t>
            </w:r>
          </w:p>
        </w:tc>
        <w:tc>
          <w:tcPr>
            <w:tcW w:w="1663" w:type="dxa"/>
            <w:noWrap/>
            <w:hideMark/>
          </w:tcPr>
          <w:p w14:paraId="737F91E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$56,135,489</w:t>
            </w:r>
          </w:p>
        </w:tc>
        <w:tc>
          <w:tcPr>
            <w:tcW w:w="2191" w:type="dxa"/>
            <w:noWrap/>
            <w:hideMark/>
          </w:tcPr>
          <w:p w14:paraId="000E228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$12,169,675,383</w:t>
            </w:r>
          </w:p>
        </w:tc>
        <w:tc>
          <w:tcPr>
            <w:tcW w:w="2537" w:type="dxa"/>
            <w:noWrap/>
            <w:hideMark/>
          </w:tcPr>
          <w:p w14:paraId="394FE24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$40,791,281,302</w:t>
            </w:r>
          </w:p>
        </w:tc>
        <w:tc>
          <w:tcPr>
            <w:tcW w:w="1756" w:type="dxa"/>
            <w:noWrap/>
            <w:hideMark/>
          </w:tcPr>
          <w:p w14:paraId="48A85E9D"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29.8%</w:t>
            </w:r>
          </w:p>
        </w:tc>
      </w:tr>
      <w:tr w:rsidR="00237293" w:rsidRPr="00925FE5" w14:paraId="14A764FB" w14:textId="77777777" w:rsidTr="00237293">
        <w:trPr>
          <w:trHeight w:val="257"/>
        </w:trPr>
        <w:tc>
          <w:tcPr>
            <w:tcW w:w="1302" w:type="dxa"/>
            <w:noWrap/>
            <w:hideMark/>
          </w:tcPr>
          <w:p w14:paraId="58BE96BC"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Maine</w:t>
            </w:r>
          </w:p>
        </w:tc>
        <w:tc>
          <w:tcPr>
            <w:tcW w:w="1452" w:type="dxa"/>
            <w:noWrap/>
            <w:hideMark/>
          </w:tcPr>
          <w:p w14:paraId="22A99FB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$33,180,144</w:t>
            </w:r>
          </w:p>
        </w:tc>
        <w:tc>
          <w:tcPr>
            <w:tcW w:w="1453" w:type="dxa"/>
            <w:noWrap/>
            <w:hideMark/>
          </w:tcPr>
          <w:p w14:paraId="6060D4C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 N/A</w:t>
            </w:r>
          </w:p>
        </w:tc>
        <w:tc>
          <w:tcPr>
            <w:tcW w:w="1595" w:type="dxa"/>
            <w:noWrap/>
            <w:hideMark/>
          </w:tcPr>
          <w:p w14:paraId="7DD05B1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$456,684,134</w:t>
            </w:r>
          </w:p>
        </w:tc>
        <w:tc>
          <w:tcPr>
            <w:tcW w:w="1663" w:type="dxa"/>
            <w:noWrap/>
            <w:hideMark/>
          </w:tcPr>
          <w:p w14:paraId="3D4472E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$4,905,551</w:t>
            </w:r>
          </w:p>
        </w:tc>
        <w:tc>
          <w:tcPr>
            <w:tcW w:w="2191" w:type="dxa"/>
            <w:noWrap/>
            <w:hideMark/>
          </w:tcPr>
          <w:p w14:paraId="05F8DC1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$494,769,829</w:t>
            </w:r>
          </w:p>
        </w:tc>
        <w:tc>
          <w:tcPr>
            <w:tcW w:w="2537" w:type="dxa"/>
            <w:noWrap/>
            <w:hideMark/>
          </w:tcPr>
          <w:p w14:paraId="371F2AF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$2,395,683,612</w:t>
            </w:r>
          </w:p>
        </w:tc>
        <w:tc>
          <w:tcPr>
            <w:tcW w:w="1756" w:type="dxa"/>
            <w:noWrap/>
            <w:hideMark/>
          </w:tcPr>
          <w:p w14:paraId="41C09881"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20.7%</w:t>
            </w:r>
          </w:p>
        </w:tc>
      </w:tr>
      <w:tr w:rsidR="00237293" w:rsidRPr="00925FE5" w14:paraId="6AFF5BCF" w14:textId="77777777" w:rsidTr="00237293">
        <w:trPr>
          <w:trHeight w:val="257"/>
        </w:trPr>
        <w:tc>
          <w:tcPr>
            <w:tcW w:w="1302" w:type="dxa"/>
            <w:noWrap/>
            <w:hideMark/>
          </w:tcPr>
          <w:p w14:paraId="74D9BC09"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Maryland</w:t>
            </w:r>
          </w:p>
        </w:tc>
        <w:tc>
          <w:tcPr>
            <w:tcW w:w="1452" w:type="dxa"/>
            <w:noWrap/>
            <w:hideMark/>
          </w:tcPr>
          <w:p w14:paraId="600F90B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$26,043,391</w:t>
            </w:r>
          </w:p>
        </w:tc>
        <w:tc>
          <w:tcPr>
            <w:tcW w:w="1453" w:type="dxa"/>
            <w:noWrap/>
            <w:hideMark/>
          </w:tcPr>
          <w:p w14:paraId="502FA89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$25,673,656</w:t>
            </w:r>
          </w:p>
        </w:tc>
        <w:tc>
          <w:tcPr>
            <w:tcW w:w="1595" w:type="dxa"/>
            <w:noWrap/>
            <w:hideMark/>
          </w:tcPr>
          <w:p w14:paraId="4F63F9E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$1,326,392,859</w:t>
            </w:r>
          </w:p>
        </w:tc>
        <w:tc>
          <w:tcPr>
            <w:tcW w:w="1663" w:type="dxa"/>
            <w:noWrap/>
            <w:hideMark/>
          </w:tcPr>
          <w:p w14:paraId="49770A9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$291,865,567</w:t>
            </w:r>
          </w:p>
        </w:tc>
        <w:tc>
          <w:tcPr>
            <w:tcW w:w="2191" w:type="dxa"/>
            <w:noWrap/>
            <w:hideMark/>
          </w:tcPr>
          <w:p w14:paraId="76DDACA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$1,669,975,473</w:t>
            </w:r>
          </w:p>
        </w:tc>
        <w:tc>
          <w:tcPr>
            <w:tcW w:w="2537" w:type="dxa"/>
            <w:noWrap/>
            <w:hideMark/>
          </w:tcPr>
          <w:p w14:paraId="31364BA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$9,175,796,356</w:t>
            </w:r>
          </w:p>
        </w:tc>
        <w:tc>
          <w:tcPr>
            <w:tcW w:w="1756" w:type="dxa"/>
            <w:noWrap/>
            <w:hideMark/>
          </w:tcPr>
          <w:p w14:paraId="0B021C2B"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18.2%</w:t>
            </w:r>
          </w:p>
        </w:tc>
      </w:tr>
      <w:tr w:rsidR="00237293" w:rsidRPr="00925FE5" w14:paraId="3799AACA" w14:textId="77777777" w:rsidTr="00237293">
        <w:trPr>
          <w:trHeight w:val="257"/>
        </w:trPr>
        <w:tc>
          <w:tcPr>
            <w:tcW w:w="1302" w:type="dxa"/>
            <w:noWrap/>
            <w:hideMark/>
          </w:tcPr>
          <w:p w14:paraId="61720B42"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Massachusetts</w:t>
            </w:r>
          </w:p>
        </w:tc>
        <w:tc>
          <w:tcPr>
            <w:tcW w:w="1452" w:type="dxa"/>
            <w:noWrap/>
            <w:hideMark/>
          </w:tcPr>
          <w:p w14:paraId="6F26D4F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$56,221,683</w:t>
            </w:r>
          </w:p>
        </w:tc>
        <w:tc>
          <w:tcPr>
            <w:tcW w:w="1453" w:type="dxa"/>
            <w:noWrap/>
            <w:hideMark/>
          </w:tcPr>
          <w:p w14:paraId="3FC405F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$91,343</w:t>
            </w:r>
          </w:p>
        </w:tc>
        <w:tc>
          <w:tcPr>
            <w:tcW w:w="1595" w:type="dxa"/>
            <w:noWrap/>
            <w:hideMark/>
          </w:tcPr>
          <w:p w14:paraId="5E254AC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$2,886,144,565</w:t>
            </w:r>
          </w:p>
        </w:tc>
        <w:tc>
          <w:tcPr>
            <w:tcW w:w="1663" w:type="dxa"/>
            <w:noWrap/>
            <w:hideMark/>
          </w:tcPr>
          <w:p w14:paraId="57B214F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$167,082,374</w:t>
            </w:r>
          </w:p>
        </w:tc>
        <w:tc>
          <w:tcPr>
            <w:tcW w:w="2191" w:type="dxa"/>
            <w:noWrap/>
            <w:hideMark/>
          </w:tcPr>
          <w:p w14:paraId="65DB712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$3,109,539,965</w:t>
            </w:r>
          </w:p>
        </w:tc>
        <w:tc>
          <w:tcPr>
            <w:tcW w:w="2537" w:type="dxa"/>
            <w:noWrap/>
            <w:hideMark/>
          </w:tcPr>
          <w:p w14:paraId="2E90665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$27,585,673,559</w:t>
            </w:r>
          </w:p>
        </w:tc>
        <w:tc>
          <w:tcPr>
            <w:tcW w:w="1756" w:type="dxa"/>
            <w:noWrap/>
            <w:hideMark/>
          </w:tcPr>
          <w:p w14:paraId="74B3FA63"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11.3%</w:t>
            </w:r>
          </w:p>
        </w:tc>
      </w:tr>
      <w:tr w:rsidR="00237293" w:rsidRPr="00925FE5" w14:paraId="14E199C8" w14:textId="77777777" w:rsidTr="00237293">
        <w:trPr>
          <w:trHeight w:val="257"/>
        </w:trPr>
        <w:tc>
          <w:tcPr>
            <w:tcW w:w="1302" w:type="dxa"/>
            <w:noWrap/>
            <w:hideMark/>
          </w:tcPr>
          <w:p w14:paraId="1D39E6EB"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Michigan</w:t>
            </w:r>
          </w:p>
        </w:tc>
        <w:tc>
          <w:tcPr>
            <w:tcW w:w="1452" w:type="dxa"/>
            <w:noWrap/>
            <w:hideMark/>
          </w:tcPr>
          <w:p w14:paraId="515C8F8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$39,195,631</w:t>
            </w:r>
          </w:p>
        </w:tc>
        <w:tc>
          <w:tcPr>
            <w:tcW w:w="1453" w:type="dxa"/>
            <w:noWrap/>
            <w:hideMark/>
          </w:tcPr>
          <w:p w14:paraId="66FBE75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$230,315,676</w:t>
            </w:r>
          </w:p>
        </w:tc>
        <w:tc>
          <w:tcPr>
            <w:tcW w:w="1595" w:type="dxa"/>
            <w:noWrap/>
            <w:hideMark/>
          </w:tcPr>
          <w:p w14:paraId="68E5F91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$4,228,871,651</w:t>
            </w:r>
          </w:p>
        </w:tc>
        <w:tc>
          <w:tcPr>
            <w:tcW w:w="1663" w:type="dxa"/>
            <w:noWrap/>
            <w:hideMark/>
          </w:tcPr>
          <w:p w14:paraId="59930D4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$156,598,756</w:t>
            </w:r>
          </w:p>
        </w:tc>
        <w:tc>
          <w:tcPr>
            <w:tcW w:w="2191" w:type="dxa"/>
            <w:noWrap/>
            <w:hideMark/>
          </w:tcPr>
          <w:p w14:paraId="79712FA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$4,654,981,714</w:t>
            </w:r>
          </w:p>
        </w:tc>
        <w:tc>
          <w:tcPr>
            <w:tcW w:w="2537" w:type="dxa"/>
            <w:noWrap/>
            <w:hideMark/>
          </w:tcPr>
          <w:p w14:paraId="063E628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$64,864,142,790</w:t>
            </w:r>
          </w:p>
        </w:tc>
        <w:tc>
          <w:tcPr>
            <w:tcW w:w="1756" w:type="dxa"/>
            <w:noWrap/>
            <w:hideMark/>
          </w:tcPr>
          <w:p w14:paraId="22579451"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7.2%</w:t>
            </w:r>
          </w:p>
        </w:tc>
      </w:tr>
      <w:tr w:rsidR="00237293" w:rsidRPr="00925FE5" w14:paraId="7E8C2456" w14:textId="77777777" w:rsidTr="00237293">
        <w:trPr>
          <w:trHeight w:val="257"/>
        </w:trPr>
        <w:tc>
          <w:tcPr>
            <w:tcW w:w="1302" w:type="dxa"/>
            <w:noWrap/>
            <w:hideMark/>
          </w:tcPr>
          <w:p w14:paraId="2DD54388"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Minnesota</w:t>
            </w:r>
          </w:p>
        </w:tc>
        <w:tc>
          <w:tcPr>
            <w:tcW w:w="1452" w:type="dxa"/>
            <w:noWrap/>
            <w:hideMark/>
          </w:tcPr>
          <w:p w14:paraId="698C82E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$47,658,423</w:t>
            </w:r>
          </w:p>
        </w:tc>
        <w:tc>
          <w:tcPr>
            <w:tcW w:w="1453" w:type="dxa"/>
            <w:noWrap/>
            <w:hideMark/>
          </w:tcPr>
          <w:p w14:paraId="4E86071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$27,971,199</w:t>
            </w:r>
          </w:p>
        </w:tc>
        <w:tc>
          <w:tcPr>
            <w:tcW w:w="1595" w:type="dxa"/>
            <w:noWrap/>
            <w:hideMark/>
          </w:tcPr>
          <w:p w14:paraId="06CA17C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$2,795,349,916</w:t>
            </w:r>
          </w:p>
        </w:tc>
        <w:tc>
          <w:tcPr>
            <w:tcW w:w="1663" w:type="dxa"/>
            <w:noWrap/>
            <w:hideMark/>
          </w:tcPr>
          <w:p w14:paraId="11FE154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$102,494,465</w:t>
            </w:r>
          </w:p>
        </w:tc>
        <w:tc>
          <w:tcPr>
            <w:tcW w:w="2191" w:type="dxa"/>
            <w:noWrap/>
            <w:hideMark/>
          </w:tcPr>
          <w:p w14:paraId="5B82967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$2,973,474,003</w:t>
            </w:r>
          </w:p>
        </w:tc>
        <w:tc>
          <w:tcPr>
            <w:tcW w:w="2537" w:type="dxa"/>
            <w:noWrap/>
            <w:hideMark/>
          </w:tcPr>
          <w:p w14:paraId="3BD4098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$27,683,524,306</w:t>
            </w:r>
          </w:p>
        </w:tc>
        <w:tc>
          <w:tcPr>
            <w:tcW w:w="1756" w:type="dxa"/>
            <w:noWrap/>
            <w:hideMark/>
          </w:tcPr>
          <w:p w14:paraId="507DA0BC"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10.7%</w:t>
            </w:r>
          </w:p>
        </w:tc>
      </w:tr>
      <w:tr w:rsidR="00237293" w:rsidRPr="00925FE5" w14:paraId="708CB9C6" w14:textId="77777777" w:rsidTr="00237293">
        <w:trPr>
          <w:trHeight w:val="257"/>
        </w:trPr>
        <w:tc>
          <w:tcPr>
            <w:tcW w:w="1302" w:type="dxa"/>
            <w:noWrap/>
            <w:hideMark/>
          </w:tcPr>
          <w:p w14:paraId="615AE17D"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Mississippi</w:t>
            </w:r>
          </w:p>
        </w:tc>
        <w:tc>
          <w:tcPr>
            <w:tcW w:w="1452" w:type="dxa"/>
            <w:noWrap/>
            <w:hideMark/>
          </w:tcPr>
          <w:p w14:paraId="7689682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$211,092,049</w:t>
            </w:r>
          </w:p>
        </w:tc>
        <w:tc>
          <w:tcPr>
            <w:tcW w:w="1453" w:type="dxa"/>
            <w:noWrap/>
            <w:hideMark/>
          </w:tcPr>
          <w:p w14:paraId="106C8D2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$13,010,345</w:t>
            </w:r>
          </w:p>
        </w:tc>
        <w:tc>
          <w:tcPr>
            <w:tcW w:w="1595" w:type="dxa"/>
            <w:noWrap/>
            <w:hideMark/>
          </w:tcPr>
          <w:p w14:paraId="2F70295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$1,736,770,054</w:t>
            </w:r>
          </w:p>
        </w:tc>
        <w:tc>
          <w:tcPr>
            <w:tcW w:w="1663" w:type="dxa"/>
            <w:noWrap/>
            <w:hideMark/>
          </w:tcPr>
          <w:p w14:paraId="7CEF11C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$5,062,618</w:t>
            </w:r>
          </w:p>
        </w:tc>
        <w:tc>
          <w:tcPr>
            <w:tcW w:w="2191" w:type="dxa"/>
            <w:noWrap/>
            <w:hideMark/>
          </w:tcPr>
          <w:p w14:paraId="7A8AB07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$1,965,935,066</w:t>
            </w:r>
          </w:p>
        </w:tc>
        <w:tc>
          <w:tcPr>
            <w:tcW w:w="2537" w:type="dxa"/>
            <w:noWrap/>
            <w:hideMark/>
          </w:tcPr>
          <w:p w14:paraId="35A10B6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$9,839,632,647</w:t>
            </w:r>
          </w:p>
        </w:tc>
        <w:tc>
          <w:tcPr>
            <w:tcW w:w="1756" w:type="dxa"/>
            <w:noWrap/>
            <w:hideMark/>
          </w:tcPr>
          <w:p w14:paraId="7E3FCC47"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20.0%</w:t>
            </w:r>
          </w:p>
        </w:tc>
      </w:tr>
      <w:tr w:rsidR="00237293" w:rsidRPr="00925FE5" w14:paraId="65D8DDA6" w14:textId="77777777" w:rsidTr="00237293">
        <w:trPr>
          <w:trHeight w:val="257"/>
        </w:trPr>
        <w:tc>
          <w:tcPr>
            <w:tcW w:w="1302" w:type="dxa"/>
            <w:noWrap/>
            <w:hideMark/>
          </w:tcPr>
          <w:p w14:paraId="61BFD60A"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Missouri</w:t>
            </w:r>
          </w:p>
        </w:tc>
        <w:tc>
          <w:tcPr>
            <w:tcW w:w="1452" w:type="dxa"/>
            <w:noWrap/>
            <w:hideMark/>
          </w:tcPr>
          <w:p w14:paraId="17833A3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$36,149,579</w:t>
            </w:r>
          </w:p>
        </w:tc>
        <w:tc>
          <w:tcPr>
            <w:tcW w:w="1453" w:type="dxa"/>
            <w:noWrap/>
            <w:hideMark/>
          </w:tcPr>
          <w:p w14:paraId="205E12A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$36,134,297</w:t>
            </w:r>
          </w:p>
        </w:tc>
        <w:tc>
          <w:tcPr>
            <w:tcW w:w="1595" w:type="dxa"/>
            <w:noWrap/>
            <w:hideMark/>
          </w:tcPr>
          <w:p w14:paraId="53FD3D2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$1,373,795,913</w:t>
            </w:r>
          </w:p>
        </w:tc>
        <w:tc>
          <w:tcPr>
            <w:tcW w:w="1663" w:type="dxa"/>
            <w:noWrap/>
            <w:hideMark/>
          </w:tcPr>
          <w:p w14:paraId="351F970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$127,163,739</w:t>
            </w:r>
          </w:p>
        </w:tc>
        <w:tc>
          <w:tcPr>
            <w:tcW w:w="2191" w:type="dxa"/>
            <w:noWrap/>
            <w:hideMark/>
          </w:tcPr>
          <w:p w14:paraId="17F282B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$1,573,243,528</w:t>
            </w:r>
          </w:p>
        </w:tc>
        <w:tc>
          <w:tcPr>
            <w:tcW w:w="2537" w:type="dxa"/>
            <w:noWrap/>
            <w:hideMark/>
          </w:tcPr>
          <w:p w14:paraId="4D8CD09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$14,733,114,955</w:t>
            </w:r>
          </w:p>
        </w:tc>
        <w:tc>
          <w:tcPr>
            <w:tcW w:w="1756" w:type="dxa"/>
            <w:noWrap/>
            <w:hideMark/>
          </w:tcPr>
          <w:p w14:paraId="2E2BEABB"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10.7%</w:t>
            </w:r>
          </w:p>
        </w:tc>
      </w:tr>
      <w:tr w:rsidR="00237293" w:rsidRPr="00925FE5" w14:paraId="18DE1415" w14:textId="77777777" w:rsidTr="00237293">
        <w:trPr>
          <w:trHeight w:val="257"/>
        </w:trPr>
        <w:tc>
          <w:tcPr>
            <w:tcW w:w="1302" w:type="dxa"/>
            <w:noWrap/>
            <w:hideMark/>
          </w:tcPr>
          <w:p w14:paraId="4BBC21B7"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Montana</w:t>
            </w:r>
          </w:p>
        </w:tc>
        <w:tc>
          <w:tcPr>
            <w:tcW w:w="1452" w:type="dxa"/>
            <w:noWrap/>
            <w:hideMark/>
          </w:tcPr>
          <w:p w14:paraId="0B663F5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$63,232,529</w:t>
            </w:r>
          </w:p>
        </w:tc>
        <w:tc>
          <w:tcPr>
            <w:tcW w:w="1453" w:type="dxa"/>
            <w:noWrap/>
            <w:hideMark/>
          </w:tcPr>
          <w:p w14:paraId="6C99195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$7,600</w:t>
            </w:r>
          </w:p>
        </w:tc>
        <w:tc>
          <w:tcPr>
            <w:tcW w:w="1595" w:type="dxa"/>
            <w:noWrap/>
            <w:hideMark/>
          </w:tcPr>
          <w:p w14:paraId="486D060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$151,641,436</w:t>
            </w:r>
          </w:p>
        </w:tc>
        <w:tc>
          <w:tcPr>
            <w:tcW w:w="1663" w:type="dxa"/>
            <w:noWrap/>
            <w:hideMark/>
          </w:tcPr>
          <w:p w14:paraId="198E017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$13,286,741</w:t>
            </w:r>
          </w:p>
        </w:tc>
        <w:tc>
          <w:tcPr>
            <w:tcW w:w="2191" w:type="dxa"/>
            <w:noWrap/>
            <w:hideMark/>
          </w:tcPr>
          <w:p w14:paraId="77DAAC1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$228,168,306</w:t>
            </w:r>
          </w:p>
        </w:tc>
        <w:tc>
          <w:tcPr>
            <w:tcW w:w="2537" w:type="dxa"/>
            <w:noWrap/>
            <w:hideMark/>
          </w:tcPr>
          <w:p w14:paraId="1B08A5E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$1,219,257,365</w:t>
            </w:r>
          </w:p>
        </w:tc>
        <w:tc>
          <w:tcPr>
            <w:tcW w:w="1756" w:type="dxa"/>
            <w:noWrap/>
            <w:hideMark/>
          </w:tcPr>
          <w:p w14:paraId="35D07325"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18.7%</w:t>
            </w:r>
          </w:p>
        </w:tc>
      </w:tr>
      <w:tr w:rsidR="00237293" w:rsidRPr="00925FE5" w14:paraId="23A9B647" w14:textId="77777777" w:rsidTr="00237293">
        <w:trPr>
          <w:trHeight w:val="257"/>
        </w:trPr>
        <w:tc>
          <w:tcPr>
            <w:tcW w:w="1302" w:type="dxa"/>
            <w:noWrap/>
            <w:hideMark/>
          </w:tcPr>
          <w:p w14:paraId="1AB5219A"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Nebraska</w:t>
            </w:r>
          </w:p>
        </w:tc>
        <w:tc>
          <w:tcPr>
            <w:tcW w:w="1452" w:type="dxa"/>
            <w:noWrap/>
            <w:hideMark/>
          </w:tcPr>
          <w:p w14:paraId="31D6DEB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$31,056,584</w:t>
            </w:r>
          </w:p>
        </w:tc>
        <w:tc>
          <w:tcPr>
            <w:tcW w:w="1453" w:type="dxa"/>
            <w:noWrap/>
            <w:hideMark/>
          </w:tcPr>
          <w:p w14:paraId="1B2B278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$27,595,106</w:t>
            </w:r>
          </w:p>
        </w:tc>
        <w:tc>
          <w:tcPr>
            <w:tcW w:w="1595" w:type="dxa"/>
            <w:noWrap/>
            <w:hideMark/>
          </w:tcPr>
          <w:p w14:paraId="6197B14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$689,284,958</w:t>
            </w:r>
          </w:p>
        </w:tc>
        <w:tc>
          <w:tcPr>
            <w:tcW w:w="1663" w:type="dxa"/>
            <w:noWrap/>
            <w:hideMark/>
          </w:tcPr>
          <w:p w14:paraId="137968E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$12,703,993</w:t>
            </w:r>
          </w:p>
        </w:tc>
        <w:tc>
          <w:tcPr>
            <w:tcW w:w="2191" w:type="dxa"/>
            <w:noWrap/>
            <w:hideMark/>
          </w:tcPr>
          <w:p w14:paraId="33B9696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$760,640,641</w:t>
            </w:r>
          </w:p>
        </w:tc>
        <w:tc>
          <w:tcPr>
            <w:tcW w:w="2537" w:type="dxa"/>
            <w:noWrap/>
            <w:hideMark/>
          </w:tcPr>
          <w:p w14:paraId="6B0CD92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$7,402,630,886</w:t>
            </w:r>
          </w:p>
        </w:tc>
        <w:tc>
          <w:tcPr>
            <w:tcW w:w="1756" w:type="dxa"/>
            <w:noWrap/>
            <w:hideMark/>
          </w:tcPr>
          <w:p w14:paraId="66F36D01"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10.3%</w:t>
            </w:r>
          </w:p>
        </w:tc>
      </w:tr>
      <w:tr w:rsidR="00237293" w:rsidRPr="00925FE5" w14:paraId="06F076C4" w14:textId="77777777" w:rsidTr="00237293">
        <w:trPr>
          <w:trHeight w:val="257"/>
        </w:trPr>
        <w:tc>
          <w:tcPr>
            <w:tcW w:w="1302" w:type="dxa"/>
            <w:noWrap/>
            <w:hideMark/>
          </w:tcPr>
          <w:p w14:paraId="40C27F62"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Nevada</w:t>
            </w:r>
          </w:p>
        </w:tc>
        <w:tc>
          <w:tcPr>
            <w:tcW w:w="1452" w:type="dxa"/>
            <w:noWrap/>
            <w:hideMark/>
          </w:tcPr>
          <w:p w14:paraId="009DB84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$1,368,570</w:t>
            </w:r>
          </w:p>
        </w:tc>
        <w:tc>
          <w:tcPr>
            <w:tcW w:w="1453" w:type="dxa"/>
            <w:noWrap/>
            <w:hideMark/>
          </w:tcPr>
          <w:p w14:paraId="3DB3684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$145,490,121</w:t>
            </w:r>
          </w:p>
        </w:tc>
        <w:tc>
          <w:tcPr>
            <w:tcW w:w="1595" w:type="dxa"/>
            <w:noWrap/>
            <w:hideMark/>
          </w:tcPr>
          <w:p w14:paraId="26B4B95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$2,324,378,274</w:t>
            </w:r>
          </w:p>
        </w:tc>
        <w:tc>
          <w:tcPr>
            <w:tcW w:w="1663" w:type="dxa"/>
            <w:noWrap/>
            <w:hideMark/>
          </w:tcPr>
          <w:p w14:paraId="7E366D4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$6,571,927</w:t>
            </w:r>
          </w:p>
        </w:tc>
        <w:tc>
          <w:tcPr>
            <w:tcW w:w="2191" w:type="dxa"/>
            <w:noWrap/>
            <w:hideMark/>
          </w:tcPr>
          <w:p w14:paraId="090C467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$2,477,808,892</w:t>
            </w:r>
          </w:p>
        </w:tc>
        <w:tc>
          <w:tcPr>
            <w:tcW w:w="2537" w:type="dxa"/>
            <w:noWrap/>
            <w:hideMark/>
          </w:tcPr>
          <w:p w14:paraId="36F82A4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$9,806,739,993</w:t>
            </w:r>
          </w:p>
        </w:tc>
        <w:tc>
          <w:tcPr>
            <w:tcW w:w="1756" w:type="dxa"/>
            <w:noWrap/>
            <w:hideMark/>
          </w:tcPr>
          <w:p w14:paraId="6979F673"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25.3%</w:t>
            </w:r>
          </w:p>
        </w:tc>
      </w:tr>
      <w:tr w:rsidR="00237293" w:rsidRPr="00925FE5" w14:paraId="02CC8EB0" w14:textId="77777777" w:rsidTr="00237293">
        <w:trPr>
          <w:trHeight w:val="257"/>
        </w:trPr>
        <w:tc>
          <w:tcPr>
            <w:tcW w:w="1302" w:type="dxa"/>
            <w:noWrap/>
            <w:hideMark/>
          </w:tcPr>
          <w:p w14:paraId="520900A3"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New Hampshire</w:t>
            </w:r>
          </w:p>
        </w:tc>
        <w:tc>
          <w:tcPr>
            <w:tcW w:w="1452" w:type="dxa"/>
            <w:noWrap/>
            <w:hideMark/>
          </w:tcPr>
          <w:p w14:paraId="3E6A595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$15,481,291</w:t>
            </w:r>
          </w:p>
        </w:tc>
        <w:tc>
          <w:tcPr>
            <w:tcW w:w="1453" w:type="dxa"/>
            <w:noWrap/>
            <w:hideMark/>
          </w:tcPr>
          <w:p w14:paraId="10F2163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$67,600</w:t>
            </w:r>
          </w:p>
        </w:tc>
        <w:tc>
          <w:tcPr>
            <w:tcW w:w="1595" w:type="dxa"/>
            <w:noWrap/>
            <w:hideMark/>
          </w:tcPr>
          <w:p w14:paraId="324A9A3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$440,652,709</w:t>
            </w:r>
          </w:p>
        </w:tc>
        <w:tc>
          <w:tcPr>
            <w:tcW w:w="1663" w:type="dxa"/>
            <w:noWrap/>
            <w:hideMark/>
          </w:tcPr>
          <w:p w14:paraId="730A005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$8,385,409</w:t>
            </w:r>
          </w:p>
        </w:tc>
        <w:tc>
          <w:tcPr>
            <w:tcW w:w="2191" w:type="dxa"/>
            <w:noWrap/>
            <w:hideMark/>
          </w:tcPr>
          <w:p w14:paraId="61BC392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$464,587,009</w:t>
            </w:r>
          </w:p>
        </w:tc>
        <w:tc>
          <w:tcPr>
            <w:tcW w:w="2537" w:type="dxa"/>
            <w:noWrap/>
            <w:hideMark/>
          </w:tcPr>
          <w:p w14:paraId="0CE9CA3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$4,227,307,335</w:t>
            </w:r>
          </w:p>
        </w:tc>
        <w:tc>
          <w:tcPr>
            <w:tcW w:w="1756" w:type="dxa"/>
            <w:noWrap/>
            <w:hideMark/>
          </w:tcPr>
          <w:p w14:paraId="7FFF5E2B"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11.0%</w:t>
            </w:r>
          </w:p>
        </w:tc>
      </w:tr>
      <w:tr w:rsidR="00237293" w:rsidRPr="00925FE5" w14:paraId="4475A4FB" w14:textId="77777777" w:rsidTr="00237293">
        <w:trPr>
          <w:trHeight w:val="257"/>
        </w:trPr>
        <w:tc>
          <w:tcPr>
            <w:tcW w:w="1302" w:type="dxa"/>
            <w:noWrap/>
            <w:hideMark/>
          </w:tcPr>
          <w:p w14:paraId="7C8A9B2C"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New Jersey</w:t>
            </w:r>
          </w:p>
        </w:tc>
        <w:tc>
          <w:tcPr>
            <w:tcW w:w="1452" w:type="dxa"/>
            <w:noWrap/>
            <w:hideMark/>
          </w:tcPr>
          <w:p w14:paraId="6C6FF1C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$182,655,181</w:t>
            </w:r>
          </w:p>
        </w:tc>
        <w:tc>
          <w:tcPr>
            <w:tcW w:w="1453" w:type="dxa"/>
            <w:noWrap/>
            <w:hideMark/>
          </w:tcPr>
          <w:p w14:paraId="1D9A52F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$1,092,355</w:t>
            </w:r>
          </w:p>
        </w:tc>
        <w:tc>
          <w:tcPr>
            <w:tcW w:w="1595" w:type="dxa"/>
            <w:noWrap/>
            <w:hideMark/>
          </w:tcPr>
          <w:p w14:paraId="446D2C6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$3,000,281,110</w:t>
            </w:r>
          </w:p>
        </w:tc>
        <w:tc>
          <w:tcPr>
            <w:tcW w:w="1663" w:type="dxa"/>
            <w:noWrap/>
            <w:hideMark/>
          </w:tcPr>
          <w:p w14:paraId="2B4CB25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$494,584,019</w:t>
            </w:r>
          </w:p>
        </w:tc>
        <w:tc>
          <w:tcPr>
            <w:tcW w:w="2191" w:type="dxa"/>
            <w:noWrap/>
            <w:hideMark/>
          </w:tcPr>
          <w:p w14:paraId="3861E44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$3,678,612,665</w:t>
            </w:r>
          </w:p>
        </w:tc>
        <w:tc>
          <w:tcPr>
            <w:tcW w:w="2537" w:type="dxa"/>
            <w:noWrap/>
            <w:hideMark/>
          </w:tcPr>
          <w:p w14:paraId="1E7E841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$38,469,013,303</w:t>
            </w:r>
          </w:p>
        </w:tc>
        <w:tc>
          <w:tcPr>
            <w:tcW w:w="1756" w:type="dxa"/>
            <w:noWrap/>
            <w:hideMark/>
          </w:tcPr>
          <w:p w14:paraId="769EC843"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9.6%</w:t>
            </w:r>
          </w:p>
        </w:tc>
      </w:tr>
      <w:tr w:rsidR="00237293" w:rsidRPr="00925FE5" w14:paraId="19B41E50" w14:textId="77777777" w:rsidTr="00237293">
        <w:trPr>
          <w:trHeight w:val="257"/>
        </w:trPr>
        <w:tc>
          <w:tcPr>
            <w:tcW w:w="1302" w:type="dxa"/>
            <w:noWrap/>
            <w:hideMark/>
          </w:tcPr>
          <w:p w14:paraId="704707B9"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New Mexico</w:t>
            </w:r>
          </w:p>
        </w:tc>
        <w:tc>
          <w:tcPr>
            <w:tcW w:w="1452" w:type="dxa"/>
            <w:noWrap/>
            <w:hideMark/>
          </w:tcPr>
          <w:p w14:paraId="70003C8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$4,023,775</w:t>
            </w:r>
          </w:p>
        </w:tc>
        <w:tc>
          <w:tcPr>
            <w:tcW w:w="1453" w:type="dxa"/>
            <w:noWrap/>
            <w:hideMark/>
          </w:tcPr>
          <w:p w14:paraId="541F6F8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$344,037</w:t>
            </w:r>
          </w:p>
        </w:tc>
        <w:tc>
          <w:tcPr>
            <w:tcW w:w="1595" w:type="dxa"/>
            <w:noWrap/>
            <w:hideMark/>
          </w:tcPr>
          <w:p w14:paraId="5507199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$142,568,527</w:t>
            </w:r>
          </w:p>
        </w:tc>
        <w:tc>
          <w:tcPr>
            <w:tcW w:w="1663" w:type="dxa"/>
            <w:noWrap/>
            <w:hideMark/>
          </w:tcPr>
          <w:p w14:paraId="0C6E680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$41,345,591</w:t>
            </w:r>
          </w:p>
        </w:tc>
        <w:tc>
          <w:tcPr>
            <w:tcW w:w="2191" w:type="dxa"/>
            <w:noWrap/>
            <w:hideMark/>
          </w:tcPr>
          <w:p w14:paraId="02991BF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$188,281,930</w:t>
            </w:r>
          </w:p>
        </w:tc>
        <w:tc>
          <w:tcPr>
            <w:tcW w:w="2537" w:type="dxa"/>
            <w:noWrap/>
            <w:hideMark/>
          </w:tcPr>
          <w:p w14:paraId="46D2F3F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$3,655,307,941</w:t>
            </w:r>
          </w:p>
        </w:tc>
        <w:tc>
          <w:tcPr>
            <w:tcW w:w="1756" w:type="dxa"/>
            <w:noWrap/>
            <w:hideMark/>
          </w:tcPr>
          <w:p w14:paraId="25E69378"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5.2%</w:t>
            </w:r>
          </w:p>
        </w:tc>
      </w:tr>
      <w:tr w:rsidR="00237293" w:rsidRPr="00925FE5" w14:paraId="19807F22" w14:textId="77777777" w:rsidTr="00237293">
        <w:trPr>
          <w:trHeight w:val="257"/>
        </w:trPr>
        <w:tc>
          <w:tcPr>
            <w:tcW w:w="1302" w:type="dxa"/>
            <w:noWrap/>
            <w:hideMark/>
          </w:tcPr>
          <w:p w14:paraId="2DFBB3FD"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lastRenderedPageBreak/>
              <w:t>New York</w:t>
            </w:r>
          </w:p>
        </w:tc>
        <w:tc>
          <w:tcPr>
            <w:tcW w:w="1452" w:type="dxa"/>
            <w:noWrap/>
            <w:hideMark/>
          </w:tcPr>
          <w:p w14:paraId="2C34AAF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$239,180,545</w:t>
            </w:r>
          </w:p>
        </w:tc>
        <w:tc>
          <w:tcPr>
            <w:tcW w:w="1453" w:type="dxa"/>
            <w:noWrap/>
            <w:hideMark/>
          </w:tcPr>
          <w:p w14:paraId="7B90304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$39,202,125</w:t>
            </w:r>
          </w:p>
        </w:tc>
        <w:tc>
          <w:tcPr>
            <w:tcW w:w="1595" w:type="dxa"/>
            <w:noWrap/>
            <w:hideMark/>
          </w:tcPr>
          <w:p w14:paraId="65981BF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$7,381,499,883</w:t>
            </w:r>
          </w:p>
        </w:tc>
        <w:tc>
          <w:tcPr>
            <w:tcW w:w="1663" w:type="dxa"/>
            <w:noWrap/>
            <w:hideMark/>
          </w:tcPr>
          <w:p w14:paraId="17765B7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$1,929,797,626</w:t>
            </w:r>
          </w:p>
        </w:tc>
        <w:tc>
          <w:tcPr>
            <w:tcW w:w="2191" w:type="dxa"/>
            <w:noWrap/>
            <w:hideMark/>
          </w:tcPr>
          <w:p w14:paraId="329F40D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$9,589,680,179</w:t>
            </w:r>
          </w:p>
        </w:tc>
        <w:tc>
          <w:tcPr>
            <w:tcW w:w="2537" w:type="dxa"/>
            <w:noWrap/>
            <w:hideMark/>
          </w:tcPr>
          <w:p w14:paraId="2288425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$87,475,779,586</w:t>
            </w:r>
          </w:p>
        </w:tc>
        <w:tc>
          <w:tcPr>
            <w:tcW w:w="1756" w:type="dxa"/>
            <w:noWrap/>
            <w:hideMark/>
          </w:tcPr>
          <w:p w14:paraId="6064E3B5"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11.0%</w:t>
            </w:r>
          </w:p>
        </w:tc>
      </w:tr>
      <w:tr w:rsidR="00237293" w:rsidRPr="00925FE5" w14:paraId="2CE02327" w14:textId="77777777" w:rsidTr="00237293">
        <w:trPr>
          <w:trHeight w:val="257"/>
        </w:trPr>
        <w:tc>
          <w:tcPr>
            <w:tcW w:w="1302" w:type="dxa"/>
            <w:noWrap/>
            <w:hideMark/>
          </w:tcPr>
          <w:p w14:paraId="7199EFCC"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North Carolina</w:t>
            </w:r>
          </w:p>
        </w:tc>
        <w:tc>
          <w:tcPr>
            <w:tcW w:w="1452" w:type="dxa"/>
            <w:noWrap/>
            <w:hideMark/>
          </w:tcPr>
          <w:p w14:paraId="39916B0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$385,865,154</w:t>
            </w:r>
          </w:p>
        </w:tc>
        <w:tc>
          <w:tcPr>
            <w:tcW w:w="1453" w:type="dxa"/>
            <w:noWrap/>
            <w:hideMark/>
          </w:tcPr>
          <w:p w14:paraId="1AC2F5F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$26,523,084</w:t>
            </w:r>
          </w:p>
        </w:tc>
        <w:tc>
          <w:tcPr>
            <w:tcW w:w="1595" w:type="dxa"/>
            <w:noWrap/>
            <w:hideMark/>
          </w:tcPr>
          <w:p w14:paraId="4463783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$3,374,124,601</w:t>
            </w:r>
          </w:p>
        </w:tc>
        <w:tc>
          <w:tcPr>
            <w:tcW w:w="1663" w:type="dxa"/>
            <w:noWrap/>
            <w:hideMark/>
          </w:tcPr>
          <w:p w14:paraId="3708EF7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$123,847,911</w:t>
            </w:r>
          </w:p>
        </w:tc>
        <w:tc>
          <w:tcPr>
            <w:tcW w:w="2191" w:type="dxa"/>
            <w:noWrap/>
            <w:hideMark/>
          </w:tcPr>
          <w:p w14:paraId="6CD7754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$3,910,360,750</w:t>
            </w:r>
          </w:p>
        </w:tc>
        <w:tc>
          <w:tcPr>
            <w:tcW w:w="2537" w:type="dxa"/>
            <w:noWrap/>
            <w:hideMark/>
          </w:tcPr>
          <w:p w14:paraId="20BA345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$33,163,344,035</w:t>
            </w:r>
          </w:p>
        </w:tc>
        <w:tc>
          <w:tcPr>
            <w:tcW w:w="1756" w:type="dxa"/>
            <w:noWrap/>
            <w:hideMark/>
          </w:tcPr>
          <w:p w14:paraId="22763BC8"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11.8%</w:t>
            </w:r>
          </w:p>
        </w:tc>
      </w:tr>
      <w:tr w:rsidR="00237293" w:rsidRPr="00925FE5" w14:paraId="3A7C3B26" w14:textId="77777777" w:rsidTr="00237293">
        <w:trPr>
          <w:trHeight w:val="257"/>
        </w:trPr>
        <w:tc>
          <w:tcPr>
            <w:tcW w:w="1302" w:type="dxa"/>
            <w:noWrap/>
            <w:hideMark/>
          </w:tcPr>
          <w:p w14:paraId="2DB14B30"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North Dakota</w:t>
            </w:r>
          </w:p>
        </w:tc>
        <w:tc>
          <w:tcPr>
            <w:tcW w:w="1452" w:type="dxa"/>
            <w:noWrap/>
            <w:hideMark/>
          </w:tcPr>
          <w:p w14:paraId="059E36E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$72,923,980</w:t>
            </w:r>
          </w:p>
        </w:tc>
        <w:tc>
          <w:tcPr>
            <w:tcW w:w="1453" w:type="dxa"/>
            <w:noWrap/>
            <w:hideMark/>
          </w:tcPr>
          <w:p w14:paraId="21ABD8F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$392,283</w:t>
            </w:r>
          </w:p>
        </w:tc>
        <w:tc>
          <w:tcPr>
            <w:tcW w:w="1595" w:type="dxa"/>
            <w:noWrap/>
            <w:hideMark/>
          </w:tcPr>
          <w:p w14:paraId="58AF27F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$74,653,409</w:t>
            </w:r>
          </w:p>
        </w:tc>
        <w:tc>
          <w:tcPr>
            <w:tcW w:w="1663" w:type="dxa"/>
            <w:noWrap/>
            <w:hideMark/>
          </w:tcPr>
          <w:p w14:paraId="529C027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$888,818</w:t>
            </w:r>
          </w:p>
        </w:tc>
        <w:tc>
          <w:tcPr>
            <w:tcW w:w="2191" w:type="dxa"/>
            <w:noWrap/>
            <w:hideMark/>
          </w:tcPr>
          <w:p w14:paraId="46179F1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$148,858,490</w:t>
            </w:r>
          </w:p>
        </w:tc>
        <w:tc>
          <w:tcPr>
            <w:tcW w:w="2537" w:type="dxa"/>
            <w:noWrap/>
            <w:hideMark/>
          </w:tcPr>
          <w:p w14:paraId="133F2BF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$2,177,342,280</w:t>
            </w:r>
          </w:p>
        </w:tc>
        <w:tc>
          <w:tcPr>
            <w:tcW w:w="1756" w:type="dxa"/>
            <w:noWrap/>
            <w:hideMark/>
          </w:tcPr>
          <w:p w14:paraId="7986912C"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6.8%</w:t>
            </w:r>
          </w:p>
        </w:tc>
      </w:tr>
      <w:tr w:rsidR="00237293" w:rsidRPr="00925FE5" w14:paraId="66407B5B" w14:textId="77777777" w:rsidTr="00237293">
        <w:trPr>
          <w:trHeight w:val="257"/>
        </w:trPr>
        <w:tc>
          <w:tcPr>
            <w:tcW w:w="1302" w:type="dxa"/>
            <w:noWrap/>
            <w:hideMark/>
          </w:tcPr>
          <w:p w14:paraId="4AF5E583"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Ohio</w:t>
            </w:r>
          </w:p>
        </w:tc>
        <w:tc>
          <w:tcPr>
            <w:tcW w:w="1452" w:type="dxa"/>
            <w:noWrap/>
            <w:hideMark/>
          </w:tcPr>
          <w:p w14:paraId="5672C21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$1,209,943,402</w:t>
            </w:r>
          </w:p>
        </w:tc>
        <w:tc>
          <w:tcPr>
            <w:tcW w:w="1453" w:type="dxa"/>
            <w:noWrap/>
            <w:hideMark/>
          </w:tcPr>
          <w:p w14:paraId="0B8C844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$8,803,974</w:t>
            </w:r>
          </w:p>
        </w:tc>
        <w:tc>
          <w:tcPr>
            <w:tcW w:w="1595" w:type="dxa"/>
            <w:noWrap/>
            <w:hideMark/>
          </w:tcPr>
          <w:p w14:paraId="28BAAFA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$4,527,722,144</w:t>
            </w:r>
          </w:p>
        </w:tc>
        <w:tc>
          <w:tcPr>
            <w:tcW w:w="1663" w:type="dxa"/>
            <w:noWrap/>
            <w:hideMark/>
          </w:tcPr>
          <w:p w14:paraId="1CF1145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$243,526,498</w:t>
            </w:r>
          </w:p>
        </w:tc>
        <w:tc>
          <w:tcPr>
            <w:tcW w:w="2191" w:type="dxa"/>
            <w:noWrap/>
            <w:hideMark/>
          </w:tcPr>
          <w:p w14:paraId="67A6782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$5,989,996,018</w:t>
            </w:r>
          </w:p>
        </w:tc>
        <w:tc>
          <w:tcPr>
            <w:tcW w:w="2537" w:type="dxa"/>
            <w:noWrap/>
            <w:hideMark/>
          </w:tcPr>
          <w:p w14:paraId="785BE6C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$54,606,767,039</w:t>
            </w:r>
          </w:p>
        </w:tc>
        <w:tc>
          <w:tcPr>
            <w:tcW w:w="1756" w:type="dxa"/>
            <w:noWrap/>
            <w:hideMark/>
          </w:tcPr>
          <w:p w14:paraId="78B22B9F"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11.0%</w:t>
            </w:r>
          </w:p>
        </w:tc>
      </w:tr>
      <w:tr w:rsidR="00237293" w:rsidRPr="00925FE5" w14:paraId="5488CA9A" w14:textId="77777777" w:rsidTr="00237293">
        <w:trPr>
          <w:trHeight w:val="257"/>
        </w:trPr>
        <w:tc>
          <w:tcPr>
            <w:tcW w:w="1302" w:type="dxa"/>
            <w:noWrap/>
            <w:hideMark/>
          </w:tcPr>
          <w:p w14:paraId="52C930FE"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Oklahoma</w:t>
            </w:r>
          </w:p>
        </w:tc>
        <w:tc>
          <w:tcPr>
            <w:tcW w:w="1452" w:type="dxa"/>
            <w:noWrap/>
            <w:hideMark/>
          </w:tcPr>
          <w:p w14:paraId="0B695F7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$27,628,354</w:t>
            </w:r>
          </w:p>
        </w:tc>
        <w:tc>
          <w:tcPr>
            <w:tcW w:w="1453" w:type="dxa"/>
            <w:noWrap/>
            <w:hideMark/>
          </w:tcPr>
          <w:p w14:paraId="647EF30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$178,497</w:t>
            </w:r>
          </w:p>
        </w:tc>
        <w:tc>
          <w:tcPr>
            <w:tcW w:w="1595" w:type="dxa"/>
            <w:noWrap/>
            <w:hideMark/>
          </w:tcPr>
          <w:p w14:paraId="753E14E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$527,611,519</w:t>
            </w:r>
          </w:p>
        </w:tc>
        <w:tc>
          <w:tcPr>
            <w:tcW w:w="1663" w:type="dxa"/>
            <w:noWrap/>
            <w:hideMark/>
          </w:tcPr>
          <w:p w14:paraId="69B3E49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$9,285,436</w:t>
            </w:r>
          </w:p>
        </w:tc>
        <w:tc>
          <w:tcPr>
            <w:tcW w:w="2191" w:type="dxa"/>
            <w:noWrap/>
            <w:hideMark/>
          </w:tcPr>
          <w:p w14:paraId="355446A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$564,703,806</w:t>
            </w:r>
          </w:p>
        </w:tc>
        <w:tc>
          <w:tcPr>
            <w:tcW w:w="2537" w:type="dxa"/>
            <w:noWrap/>
            <w:hideMark/>
          </w:tcPr>
          <w:p w14:paraId="7D271C1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$5,057,081,021</w:t>
            </w:r>
          </w:p>
        </w:tc>
        <w:tc>
          <w:tcPr>
            <w:tcW w:w="1756" w:type="dxa"/>
            <w:noWrap/>
            <w:hideMark/>
          </w:tcPr>
          <w:p w14:paraId="606D19EF"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11.2%</w:t>
            </w:r>
          </w:p>
        </w:tc>
      </w:tr>
      <w:tr w:rsidR="00237293" w:rsidRPr="00925FE5" w14:paraId="6FD97817" w14:textId="77777777" w:rsidTr="00237293">
        <w:trPr>
          <w:trHeight w:val="257"/>
        </w:trPr>
        <w:tc>
          <w:tcPr>
            <w:tcW w:w="1302" w:type="dxa"/>
            <w:noWrap/>
            <w:hideMark/>
          </w:tcPr>
          <w:p w14:paraId="1ED15B8D"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Oregon</w:t>
            </w:r>
          </w:p>
        </w:tc>
        <w:tc>
          <w:tcPr>
            <w:tcW w:w="1452" w:type="dxa"/>
            <w:noWrap/>
            <w:hideMark/>
          </w:tcPr>
          <w:p w14:paraId="60B1EF6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$406,428,150</w:t>
            </w:r>
          </w:p>
        </w:tc>
        <w:tc>
          <w:tcPr>
            <w:tcW w:w="1453" w:type="dxa"/>
            <w:noWrap/>
            <w:hideMark/>
          </w:tcPr>
          <w:p w14:paraId="2539878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$517,011</w:t>
            </w:r>
          </w:p>
        </w:tc>
        <w:tc>
          <w:tcPr>
            <w:tcW w:w="1595" w:type="dxa"/>
            <w:noWrap/>
            <w:hideMark/>
          </w:tcPr>
          <w:p w14:paraId="2B11025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$7,901,127,866</w:t>
            </w:r>
          </w:p>
        </w:tc>
        <w:tc>
          <w:tcPr>
            <w:tcW w:w="1663" w:type="dxa"/>
            <w:noWrap/>
            <w:hideMark/>
          </w:tcPr>
          <w:p w14:paraId="469465B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$130,055,201</w:t>
            </w:r>
          </w:p>
        </w:tc>
        <w:tc>
          <w:tcPr>
            <w:tcW w:w="2191" w:type="dxa"/>
            <w:noWrap/>
            <w:hideMark/>
          </w:tcPr>
          <w:p w14:paraId="460F766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$8,438,128,228</w:t>
            </w:r>
          </w:p>
        </w:tc>
        <w:tc>
          <w:tcPr>
            <w:tcW w:w="2537" w:type="dxa"/>
            <w:noWrap/>
            <w:hideMark/>
          </w:tcPr>
          <w:p w14:paraId="5A3DFB1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$20,274,421,227</w:t>
            </w:r>
          </w:p>
        </w:tc>
        <w:tc>
          <w:tcPr>
            <w:tcW w:w="1756" w:type="dxa"/>
            <w:noWrap/>
            <w:hideMark/>
          </w:tcPr>
          <w:p w14:paraId="16D7CCD3"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41.6%</w:t>
            </w:r>
          </w:p>
        </w:tc>
      </w:tr>
      <w:tr w:rsidR="00237293" w:rsidRPr="00925FE5" w14:paraId="04B97251" w14:textId="77777777" w:rsidTr="00237293">
        <w:trPr>
          <w:trHeight w:val="257"/>
        </w:trPr>
        <w:tc>
          <w:tcPr>
            <w:tcW w:w="1302" w:type="dxa"/>
            <w:noWrap/>
            <w:hideMark/>
          </w:tcPr>
          <w:p w14:paraId="04E10877"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Pennsylvania</w:t>
            </w:r>
          </w:p>
        </w:tc>
        <w:tc>
          <w:tcPr>
            <w:tcW w:w="1452" w:type="dxa"/>
            <w:noWrap/>
            <w:hideMark/>
          </w:tcPr>
          <w:p w14:paraId="480E655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$46,590,514</w:t>
            </w:r>
          </w:p>
        </w:tc>
        <w:tc>
          <w:tcPr>
            <w:tcW w:w="1453" w:type="dxa"/>
            <w:noWrap/>
            <w:hideMark/>
          </w:tcPr>
          <w:p w14:paraId="6B51B51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$271,209,372</w:t>
            </w:r>
          </w:p>
        </w:tc>
        <w:tc>
          <w:tcPr>
            <w:tcW w:w="1595" w:type="dxa"/>
            <w:noWrap/>
            <w:hideMark/>
          </w:tcPr>
          <w:p w14:paraId="389CCC9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$4,118,118,213</w:t>
            </w:r>
          </w:p>
        </w:tc>
        <w:tc>
          <w:tcPr>
            <w:tcW w:w="1663" w:type="dxa"/>
            <w:noWrap/>
            <w:hideMark/>
          </w:tcPr>
          <w:p w14:paraId="7262386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$175,145,179</w:t>
            </w:r>
          </w:p>
        </w:tc>
        <w:tc>
          <w:tcPr>
            <w:tcW w:w="2191" w:type="dxa"/>
            <w:noWrap/>
            <w:hideMark/>
          </w:tcPr>
          <w:p w14:paraId="3D1A254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$4,611,063,278</w:t>
            </w:r>
          </w:p>
        </w:tc>
        <w:tc>
          <w:tcPr>
            <w:tcW w:w="2537" w:type="dxa"/>
            <w:noWrap/>
            <w:hideMark/>
          </w:tcPr>
          <w:p w14:paraId="2F13E8A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$41,731,084,027</w:t>
            </w:r>
          </w:p>
        </w:tc>
        <w:tc>
          <w:tcPr>
            <w:tcW w:w="1756" w:type="dxa"/>
            <w:noWrap/>
            <w:hideMark/>
          </w:tcPr>
          <w:p w14:paraId="29D252A6"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11.0%</w:t>
            </w:r>
          </w:p>
        </w:tc>
      </w:tr>
      <w:tr w:rsidR="00237293" w:rsidRPr="00925FE5" w14:paraId="59C990F6" w14:textId="77777777" w:rsidTr="00237293">
        <w:trPr>
          <w:trHeight w:val="257"/>
        </w:trPr>
        <w:tc>
          <w:tcPr>
            <w:tcW w:w="1302" w:type="dxa"/>
            <w:noWrap/>
            <w:hideMark/>
          </w:tcPr>
          <w:p w14:paraId="59632FE4"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Puerto Rico</w:t>
            </w:r>
          </w:p>
        </w:tc>
        <w:tc>
          <w:tcPr>
            <w:tcW w:w="1452" w:type="dxa"/>
            <w:noWrap/>
            <w:hideMark/>
          </w:tcPr>
          <w:p w14:paraId="4D312CF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$1,073,433</w:t>
            </w:r>
          </w:p>
        </w:tc>
        <w:tc>
          <w:tcPr>
            <w:tcW w:w="1453" w:type="dxa"/>
            <w:noWrap/>
            <w:hideMark/>
          </w:tcPr>
          <w:p w14:paraId="7296281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$71,777</w:t>
            </w:r>
          </w:p>
        </w:tc>
        <w:tc>
          <w:tcPr>
            <w:tcW w:w="1595" w:type="dxa"/>
            <w:noWrap/>
            <w:hideMark/>
          </w:tcPr>
          <w:p w14:paraId="058BDA1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$1,334,114,151</w:t>
            </w:r>
          </w:p>
        </w:tc>
        <w:tc>
          <w:tcPr>
            <w:tcW w:w="1663" w:type="dxa"/>
            <w:noWrap/>
            <w:hideMark/>
          </w:tcPr>
          <w:p w14:paraId="613A439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$44,690,015</w:t>
            </w:r>
          </w:p>
        </w:tc>
        <w:tc>
          <w:tcPr>
            <w:tcW w:w="2191" w:type="dxa"/>
            <w:noWrap/>
            <w:hideMark/>
          </w:tcPr>
          <w:p w14:paraId="13403AF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$1,379,949,376</w:t>
            </w:r>
          </w:p>
        </w:tc>
        <w:tc>
          <w:tcPr>
            <w:tcW w:w="2537" w:type="dxa"/>
            <w:noWrap/>
            <w:hideMark/>
          </w:tcPr>
          <w:p w14:paraId="222315A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$21,568,333,632</w:t>
            </w:r>
          </w:p>
        </w:tc>
        <w:tc>
          <w:tcPr>
            <w:tcW w:w="1756" w:type="dxa"/>
            <w:noWrap/>
            <w:hideMark/>
          </w:tcPr>
          <w:p w14:paraId="3701C404"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6.4%</w:t>
            </w:r>
          </w:p>
        </w:tc>
      </w:tr>
      <w:tr w:rsidR="00237293" w:rsidRPr="00925FE5" w14:paraId="5E86869F" w14:textId="77777777" w:rsidTr="00237293">
        <w:trPr>
          <w:trHeight w:val="257"/>
        </w:trPr>
        <w:tc>
          <w:tcPr>
            <w:tcW w:w="1302" w:type="dxa"/>
            <w:noWrap/>
            <w:hideMark/>
          </w:tcPr>
          <w:p w14:paraId="24CB2076"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Rhode Island</w:t>
            </w:r>
          </w:p>
        </w:tc>
        <w:tc>
          <w:tcPr>
            <w:tcW w:w="1452" w:type="dxa"/>
            <w:noWrap/>
            <w:hideMark/>
          </w:tcPr>
          <w:p w14:paraId="1FA9025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$16,475,393</w:t>
            </w:r>
          </w:p>
        </w:tc>
        <w:tc>
          <w:tcPr>
            <w:tcW w:w="1453" w:type="dxa"/>
            <w:noWrap/>
            <w:hideMark/>
          </w:tcPr>
          <w:p w14:paraId="31CBBBA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$18,818</w:t>
            </w:r>
          </w:p>
        </w:tc>
        <w:tc>
          <w:tcPr>
            <w:tcW w:w="1595" w:type="dxa"/>
            <w:noWrap/>
            <w:hideMark/>
          </w:tcPr>
          <w:p w14:paraId="6FEA5BF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$221,154,131</w:t>
            </w:r>
          </w:p>
        </w:tc>
        <w:tc>
          <w:tcPr>
            <w:tcW w:w="1663" w:type="dxa"/>
            <w:noWrap/>
            <w:hideMark/>
          </w:tcPr>
          <w:p w14:paraId="0CD7075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$24,557,298</w:t>
            </w:r>
          </w:p>
        </w:tc>
        <w:tc>
          <w:tcPr>
            <w:tcW w:w="2191" w:type="dxa"/>
            <w:noWrap/>
            <w:hideMark/>
          </w:tcPr>
          <w:p w14:paraId="3040A08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$262,205,640</w:t>
            </w:r>
          </w:p>
        </w:tc>
        <w:tc>
          <w:tcPr>
            <w:tcW w:w="2537" w:type="dxa"/>
            <w:noWrap/>
            <w:hideMark/>
          </w:tcPr>
          <w:p w14:paraId="3A5BC07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$2,207,372,355</w:t>
            </w:r>
          </w:p>
        </w:tc>
        <w:tc>
          <w:tcPr>
            <w:tcW w:w="1756" w:type="dxa"/>
            <w:noWrap/>
            <w:hideMark/>
          </w:tcPr>
          <w:p w14:paraId="6CF3C2D6"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11.9%</w:t>
            </w:r>
          </w:p>
        </w:tc>
      </w:tr>
      <w:tr w:rsidR="00237293" w:rsidRPr="00925FE5" w14:paraId="6A3EE6FD" w14:textId="77777777" w:rsidTr="00237293">
        <w:trPr>
          <w:trHeight w:val="257"/>
        </w:trPr>
        <w:tc>
          <w:tcPr>
            <w:tcW w:w="1302" w:type="dxa"/>
            <w:noWrap/>
            <w:hideMark/>
          </w:tcPr>
          <w:p w14:paraId="69E77DC4"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South Carolina</w:t>
            </w:r>
          </w:p>
        </w:tc>
        <w:tc>
          <w:tcPr>
            <w:tcW w:w="1452" w:type="dxa"/>
            <w:noWrap/>
            <w:hideMark/>
          </w:tcPr>
          <w:p w14:paraId="70D0B9A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$124,019,980</w:t>
            </w:r>
          </w:p>
        </w:tc>
        <w:tc>
          <w:tcPr>
            <w:tcW w:w="1453" w:type="dxa"/>
            <w:noWrap/>
            <w:hideMark/>
          </w:tcPr>
          <w:p w14:paraId="126EC8E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$9,168,420</w:t>
            </w:r>
          </w:p>
        </w:tc>
        <w:tc>
          <w:tcPr>
            <w:tcW w:w="1595" w:type="dxa"/>
            <w:noWrap/>
            <w:hideMark/>
          </w:tcPr>
          <w:p w14:paraId="3F1F322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$5,808,188,558</w:t>
            </w:r>
          </w:p>
        </w:tc>
        <w:tc>
          <w:tcPr>
            <w:tcW w:w="1663" w:type="dxa"/>
            <w:noWrap/>
            <w:hideMark/>
          </w:tcPr>
          <w:p w14:paraId="2AD38D8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$224,763,291</w:t>
            </w:r>
          </w:p>
        </w:tc>
        <w:tc>
          <w:tcPr>
            <w:tcW w:w="2191" w:type="dxa"/>
            <w:noWrap/>
            <w:hideMark/>
          </w:tcPr>
          <w:p w14:paraId="10EA71C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$6,166,140,249</w:t>
            </w:r>
          </w:p>
        </w:tc>
        <w:tc>
          <w:tcPr>
            <w:tcW w:w="2537" w:type="dxa"/>
            <w:noWrap/>
            <w:hideMark/>
          </w:tcPr>
          <w:p w14:paraId="0D1CB0E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$30,766,171,491</w:t>
            </w:r>
          </w:p>
        </w:tc>
        <w:tc>
          <w:tcPr>
            <w:tcW w:w="1756" w:type="dxa"/>
            <w:noWrap/>
            <w:hideMark/>
          </w:tcPr>
          <w:p w14:paraId="20BC1358"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20.0%</w:t>
            </w:r>
          </w:p>
        </w:tc>
      </w:tr>
      <w:tr w:rsidR="00237293" w:rsidRPr="00925FE5" w14:paraId="5A977AB6" w14:textId="77777777" w:rsidTr="00237293">
        <w:trPr>
          <w:trHeight w:val="257"/>
        </w:trPr>
        <w:tc>
          <w:tcPr>
            <w:tcW w:w="1302" w:type="dxa"/>
            <w:noWrap/>
            <w:hideMark/>
          </w:tcPr>
          <w:p w14:paraId="0A3077D1"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South Dakota</w:t>
            </w:r>
          </w:p>
        </w:tc>
        <w:tc>
          <w:tcPr>
            <w:tcW w:w="1452" w:type="dxa"/>
            <w:noWrap/>
            <w:hideMark/>
          </w:tcPr>
          <w:p w14:paraId="007142B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$1,376,974</w:t>
            </w:r>
          </w:p>
        </w:tc>
        <w:tc>
          <w:tcPr>
            <w:tcW w:w="1453" w:type="dxa"/>
            <w:noWrap/>
            <w:hideMark/>
          </w:tcPr>
          <w:p w14:paraId="14199D1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$11,660,397</w:t>
            </w:r>
          </w:p>
        </w:tc>
        <w:tc>
          <w:tcPr>
            <w:tcW w:w="1595" w:type="dxa"/>
            <w:noWrap/>
            <w:hideMark/>
          </w:tcPr>
          <w:p w14:paraId="35ABFB5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$63,478,996</w:t>
            </w:r>
          </w:p>
        </w:tc>
        <w:tc>
          <w:tcPr>
            <w:tcW w:w="1663" w:type="dxa"/>
            <w:noWrap/>
            <w:hideMark/>
          </w:tcPr>
          <w:p w14:paraId="21D6B76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$728,989</w:t>
            </w:r>
          </w:p>
        </w:tc>
        <w:tc>
          <w:tcPr>
            <w:tcW w:w="2191" w:type="dxa"/>
            <w:noWrap/>
            <w:hideMark/>
          </w:tcPr>
          <w:p w14:paraId="4546A46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$77,245,356</w:t>
            </w:r>
          </w:p>
        </w:tc>
        <w:tc>
          <w:tcPr>
            <w:tcW w:w="2537" w:type="dxa"/>
            <w:noWrap/>
            <w:hideMark/>
          </w:tcPr>
          <w:p w14:paraId="421E409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$1,718,399,384</w:t>
            </w:r>
          </w:p>
        </w:tc>
        <w:tc>
          <w:tcPr>
            <w:tcW w:w="1756" w:type="dxa"/>
            <w:noWrap/>
            <w:hideMark/>
          </w:tcPr>
          <w:p w14:paraId="1DA1932A"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4.5%</w:t>
            </w:r>
          </w:p>
        </w:tc>
      </w:tr>
      <w:tr w:rsidR="00237293" w:rsidRPr="00925FE5" w14:paraId="507F7EEB" w14:textId="77777777" w:rsidTr="00237293">
        <w:trPr>
          <w:trHeight w:val="257"/>
        </w:trPr>
        <w:tc>
          <w:tcPr>
            <w:tcW w:w="1302" w:type="dxa"/>
            <w:noWrap/>
            <w:hideMark/>
          </w:tcPr>
          <w:p w14:paraId="004B8AC3"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Tennessee</w:t>
            </w:r>
          </w:p>
        </w:tc>
        <w:tc>
          <w:tcPr>
            <w:tcW w:w="1452" w:type="dxa"/>
            <w:noWrap/>
            <w:hideMark/>
          </w:tcPr>
          <w:p w14:paraId="6D170AD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$485,009,817</w:t>
            </w:r>
          </w:p>
        </w:tc>
        <w:tc>
          <w:tcPr>
            <w:tcW w:w="1453" w:type="dxa"/>
            <w:noWrap/>
            <w:hideMark/>
          </w:tcPr>
          <w:p w14:paraId="2808D10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$15,433,581</w:t>
            </w:r>
          </w:p>
        </w:tc>
        <w:tc>
          <w:tcPr>
            <w:tcW w:w="1595" w:type="dxa"/>
            <w:noWrap/>
            <w:hideMark/>
          </w:tcPr>
          <w:p w14:paraId="75489EE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$3,404,792,791</w:t>
            </w:r>
          </w:p>
        </w:tc>
        <w:tc>
          <w:tcPr>
            <w:tcW w:w="1663" w:type="dxa"/>
            <w:noWrap/>
            <w:hideMark/>
          </w:tcPr>
          <w:p w14:paraId="7E04490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$94,667,503</w:t>
            </w:r>
          </w:p>
        </w:tc>
        <w:tc>
          <w:tcPr>
            <w:tcW w:w="2191" w:type="dxa"/>
            <w:noWrap/>
            <w:hideMark/>
          </w:tcPr>
          <w:p w14:paraId="05724E0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$3,999,903,692</w:t>
            </w:r>
          </w:p>
        </w:tc>
        <w:tc>
          <w:tcPr>
            <w:tcW w:w="2537" w:type="dxa"/>
            <w:noWrap/>
            <w:hideMark/>
          </w:tcPr>
          <w:p w14:paraId="0D27930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$31,747,481,947</w:t>
            </w:r>
          </w:p>
        </w:tc>
        <w:tc>
          <w:tcPr>
            <w:tcW w:w="1756" w:type="dxa"/>
            <w:noWrap/>
            <w:hideMark/>
          </w:tcPr>
          <w:p w14:paraId="4240F18D"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12.6%</w:t>
            </w:r>
          </w:p>
        </w:tc>
      </w:tr>
      <w:tr w:rsidR="00237293" w:rsidRPr="00925FE5" w14:paraId="23EA584E" w14:textId="77777777" w:rsidTr="00237293">
        <w:trPr>
          <w:trHeight w:val="257"/>
        </w:trPr>
        <w:tc>
          <w:tcPr>
            <w:tcW w:w="1302" w:type="dxa"/>
            <w:noWrap/>
            <w:hideMark/>
          </w:tcPr>
          <w:p w14:paraId="4634EF43"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Texas</w:t>
            </w:r>
          </w:p>
        </w:tc>
        <w:tc>
          <w:tcPr>
            <w:tcW w:w="1452" w:type="dxa"/>
            <w:noWrap/>
            <w:hideMark/>
          </w:tcPr>
          <w:p w14:paraId="77CBBAC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$2,238,266,959</w:t>
            </w:r>
          </w:p>
        </w:tc>
        <w:tc>
          <w:tcPr>
            <w:tcW w:w="1453" w:type="dxa"/>
            <w:noWrap/>
            <w:hideMark/>
          </w:tcPr>
          <w:p w14:paraId="5DC92B2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$1,286,903,320</w:t>
            </w:r>
          </w:p>
        </w:tc>
        <w:tc>
          <w:tcPr>
            <w:tcW w:w="1595" w:type="dxa"/>
            <w:noWrap/>
            <w:hideMark/>
          </w:tcPr>
          <w:p w14:paraId="098A30E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$21,578,222,416</w:t>
            </w:r>
          </w:p>
        </w:tc>
        <w:tc>
          <w:tcPr>
            <w:tcW w:w="1663" w:type="dxa"/>
            <w:noWrap/>
            <w:hideMark/>
          </w:tcPr>
          <w:p w14:paraId="158288F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$950,497,925</w:t>
            </w:r>
          </w:p>
        </w:tc>
        <w:tc>
          <w:tcPr>
            <w:tcW w:w="2191" w:type="dxa"/>
            <w:noWrap/>
            <w:hideMark/>
          </w:tcPr>
          <w:p w14:paraId="4BCD92B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$26,053,890,620</w:t>
            </w:r>
          </w:p>
        </w:tc>
        <w:tc>
          <w:tcPr>
            <w:tcW w:w="2537" w:type="dxa"/>
            <w:noWrap/>
            <w:hideMark/>
          </w:tcPr>
          <w:p w14:paraId="28837E8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$215,197,033,670</w:t>
            </w:r>
          </w:p>
        </w:tc>
        <w:tc>
          <w:tcPr>
            <w:tcW w:w="1756" w:type="dxa"/>
            <w:noWrap/>
            <w:hideMark/>
          </w:tcPr>
          <w:p w14:paraId="579901E3"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12.1%</w:t>
            </w:r>
          </w:p>
        </w:tc>
      </w:tr>
      <w:tr w:rsidR="00237293" w:rsidRPr="00925FE5" w14:paraId="2D39F8A7" w14:textId="77777777" w:rsidTr="00237293">
        <w:trPr>
          <w:trHeight w:val="257"/>
        </w:trPr>
        <w:tc>
          <w:tcPr>
            <w:tcW w:w="1302" w:type="dxa"/>
            <w:noWrap/>
            <w:hideMark/>
          </w:tcPr>
          <w:p w14:paraId="704A5EF5"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Utah</w:t>
            </w:r>
          </w:p>
        </w:tc>
        <w:tc>
          <w:tcPr>
            <w:tcW w:w="1452" w:type="dxa"/>
            <w:noWrap/>
            <w:hideMark/>
          </w:tcPr>
          <w:p w14:paraId="7029C6C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$72,557,304</w:t>
            </w:r>
          </w:p>
        </w:tc>
        <w:tc>
          <w:tcPr>
            <w:tcW w:w="1453" w:type="dxa"/>
            <w:noWrap/>
            <w:hideMark/>
          </w:tcPr>
          <w:p w14:paraId="0DBC9299"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$3,728,454</w:t>
            </w:r>
          </w:p>
        </w:tc>
        <w:tc>
          <w:tcPr>
            <w:tcW w:w="1595" w:type="dxa"/>
            <w:noWrap/>
            <w:hideMark/>
          </w:tcPr>
          <w:p w14:paraId="1650AF4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$1,374,871,761</w:t>
            </w:r>
          </w:p>
        </w:tc>
        <w:tc>
          <w:tcPr>
            <w:tcW w:w="1663" w:type="dxa"/>
            <w:noWrap/>
            <w:hideMark/>
          </w:tcPr>
          <w:p w14:paraId="306028E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$58,486,536</w:t>
            </w:r>
          </w:p>
        </w:tc>
        <w:tc>
          <w:tcPr>
            <w:tcW w:w="2191" w:type="dxa"/>
            <w:noWrap/>
            <w:hideMark/>
          </w:tcPr>
          <w:p w14:paraId="740D188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$1,509,644,055</w:t>
            </w:r>
          </w:p>
        </w:tc>
        <w:tc>
          <w:tcPr>
            <w:tcW w:w="2537" w:type="dxa"/>
            <w:noWrap/>
            <w:hideMark/>
          </w:tcPr>
          <w:p w14:paraId="3572D64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$14,945,299,667</w:t>
            </w:r>
          </w:p>
        </w:tc>
        <w:tc>
          <w:tcPr>
            <w:tcW w:w="1756" w:type="dxa"/>
            <w:noWrap/>
            <w:hideMark/>
          </w:tcPr>
          <w:p w14:paraId="11921B9C"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10.1%</w:t>
            </w:r>
          </w:p>
        </w:tc>
      </w:tr>
      <w:tr w:rsidR="00237293" w:rsidRPr="00925FE5" w14:paraId="2179B779" w14:textId="77777777" w:rsidTr="00237293">
        <w:trPr>
          <w:trHeight w:val="257"/>
        </w:trPr>
        <w:tc>
          <w:tcPr>
            <w:tcW w:w="1302" w:type="dxa"/>
            <w:noWrap/>
            <w:hideMark/>
          </w:tcPr>
          <w:p w14:paraId="2404F55D"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Vermont</w:t>
            </w:r>
          </w:p>
        </w:tc>
        <w:tc>
          <w:tcPr>
            <w:tcW w:w="1452" w:type="dxa"/>
            <w:noWrap/>
            <w:hideMark/>
          </w:tcPr>
          <w:p w14:paraId="6D45AA5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$1,449,226</w:t>
            </w:r>
          </w:p>
        </w:tc>
        <w:tc>
          <w:tcPr>
            <w:tcW w:w="1453" w:type="dxa"/>
            <w:noWrap/>
            <w:hideMark/>
          </w:tcPr>
          <w:p w14:paraId="24A4458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$5,463,329</w:t>
            </w:r>
          </w:p>
        </w:tc>
        <w:tc>
          <w:tcPr>
            <w:tcW w:w="1595" w:type="dxa"/>
            <w:noWrap/>
            <w:hideMark/>
          </w:tcPr>
          <w:p w14:paraId="4D0C7DB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$550,289,456</w:t>
            </w:r>
          </w:p>
        </w:tc>
        <w:tc>
          <w:tcPr>
            <w:tcW w:w="1663" w:type="dxa"/>
            <w:noWrap/>
            <w:hideMark/>
          </w:tcPr>
          <w:p w14:paraId="733F093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$354,094</w:t>
            </w:r>
          </w:p>
        </w:tc>
        <w:tc>
          <w:tcPr>
            <w:tcW w:w="2191" w:type="dxa"/>
            <w:noWrap/>
            <w:hideMark/>
          </w:tcPr>
          <w:p w14:paraId="5450ED2D"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$557,556,105</w:t>
            </w:r>
          </w:p>
        </w:tc>
        <w:tc>
          <w:tcPr>
            <w:tcW w:w="2537" w:type="dxa"/>
            <w:noWrap/>
            <w:hideMark/>
          </w:tcPr>
          <w:p w14:paraId="3FA7B6B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$2,681,357,293</w:t>
            </w:r>
          </w:p>
        </w:tc>
        <w:tc>
          <w:tcPr>
            <w:tcW w:w="1756" w:type="dxa"/>
            <w:noWrap/>
            <w:hideMark/>
          </w:tcPr>
          <w:p w14:paraId="201A068B"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20.8%</w:t>
            </w:r>
          </w:p>
        </w:tc>
      </w:tr>
      <w:tr w:rsidR="00237293" w:rsidRPr="00925FE5" w14:paraId="5BD7D822" w14:textId="77777777" w:rsidTr="00237293">
        <w:trPr>
          <w:trHeight w:val="257"/>
        </w:trPr>
        <w:tc>
          <w:tcPr>
            <w:tcW w:w="1302" w:type="dxa"/>
            <w:noWrap/>
            <w:hideMark/>
          </w:tcPr>
          <w:p w14:paraId="5580608B"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Virgin Islands</w:t>
            </w:r>
          </w:p>
        </w:tc>
        <w:tc>
          <w:tcPr>
            <w:tcW w:w="1452" w:type="dxa"/>
            <w:noWrap/>
            <w:hideMark/>
          </w:tcPr>
          <w:p w14:paraId="3904883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  N/A</w:t>
            </w:r>
          </w:p>
        </w:tc>
        <w:tc>
          <w:tcPr>
            <w:tcW w:w="1453" w:type="dxa"/>
            <w:noWrap/>
            <w:hideMark/>
          </w:tcPr>
          <w:p w14:paraId="7DE9958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$348,750</w:t>
            </w:r>
          </w:p>
        </w:tc>
        <w:tc>
          <w:tcPr>
            <w:tcW w:w="1595" w:type="dxa"/>
            <w:noWrap/>
            <w:hideMark/>
          </w:tcPr>
          <w:p w14:paraId="0519E15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$11,270,584</w:t>
            </w:r>
          </w:p>
        </w:tc>
        <w:tc>
          <w:tcPr>
            <w:tcW w:w="1663" w:type="dxa"/>
            <w:noWrap/>
            <w:hideMark/>
          </w:tcPr>
          <w:p w14:paraId="4CE782B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$36,898</w:t>
            </w:r>
          </w:p>
        </w:tc>
        <w:tc>
          <w:tcPr>
            <w:tcW w:w="2191" w:type="dxa"/>
            <w:noWrap/>
            <w:hideMark/>
          </w:tcPr>
          <w:p w14:paraId="688F008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$11,656,232</w:t>
            </w:r>
          </w:p>
        </w:tc>
        <w:tc>
          <w:tcPr>
            <w:tcW w:w="2537" w:type="dxa"/>
            <w:noWrap/>
            <w:hideMark/>
          </w:tcPr>
          <w:p w14:paraId="5113DE2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$150,874,521</w:t>
            </w:r>
          </w:p>
        </w:tc>
        <w:tc>
          <w:tcPr>
            <w:tcW w:w="1756" w:type="dxa"/>
            <w:noWrap/>
            <w:hideMark/>
          </w:tcPr>
          <w:p w14:paraId="023F922F"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7.7%</w:t>
            </w:r>
          </w:p>
        </w:tc>
      </w:tr>
      <w:tr w:rsidR="00237293" w:rsidRPr="00925FE5" w14:paraId="0B62B815" w14:textId="77777777" w:rsidTr="00237293">
        <w:trPr>
          <w:trHeight w:val="257"/>
        </w:trPr>
        <w:tc>
          <w:tcPr>
            <w:tcW w:w="1302" w:type="dxa"/>
            <w:noWrap/>
            <w:hideMark/>
          </w:tcPr>
          <w:p w14:paraId="028B8000"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Virginia</w:t>
            </w:r>
          </w:p>
        </w:tc>
        <w:tc>
          <w:tcPr>
            <w:tcW w:w="1452" w:type="dxa"/>
            <w:noWrap/>
            <w:hideMark/>
          </w:tcPr>
          <w:p w14:paraId="3CBA3CD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$545,183,360</w:t>
            </w:r>
          </w:p>
        </w:tc>
        <w:tc>
          <w:tcPr>
            <w:tcW w:w="1453" w:type="dxa"/>
            <w:noWrap/>
            <w:hideMark/>
          </w:tcPr>
          <w:p w14:paraId="4FBCF0D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$44,988,215</w:t>
            </w:r>
          </w:p>
        </w:tc>
        <w:tc>
          <w:tcPr>
            <w:tcW w:w="1595" w:type="dxa"/>
            <w:noWrap/>
            <w:hideMark/>
          </w:tcPr>
          <w:p w14:paraId="1E6FD50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$2,388,354,554</w:t>
            </w:r>
          </w:p>
        </w:tc>
        <w:tc>
          <w:tcPr>
            <w:tcW w:w="1663" w:type="dxa"/>
            <w:noWrap/>
            <w:hideMark/>
          </w:tcPr>
          <w:p w14:paraId="434B2EA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$294,333,490</w:t>
            </w:r>
          </w:p>
        </w:tc>
        <w:tc>
          <w:tcPr>
            <w:tcW w:w="2191" w:type="dxa"/>
            <w:noWrap/>
            <w:hideMark/>
          </w:tcPr>
          <w:p w14:paraId="364890D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$3,272,859,619</w:t>
            </w:r>
          </w:p>
        </w:tc>
        <w:tc>
          <w:tcPr>
            <w:tcW w:w="2537" w:type="dxa"/>
            <w:noWrap/>
            <w:hideMark/>
          </w:tcPr>
          <w:p w14:paraId="18EA0E8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$17,641,520,793</w:t>
            </w:r>
          </w:p>
        </w:tc>
        <w:tc>
          <w:tcPr>
            <w:tcW w:w="1756" w:type="dxa"/>
            <w:noWrap/>
            <w:hideMark/>
          </w:tcPr>
          <w:p w14:paraId="663B48BF"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18.6%</w:t>
            </w:r>
          </w:p>
        </w:tc>
      </w:tr>
      <w:tr w:rsidR="00237293" w:rsidRPr="00925FE5" w14:paraId="48DE1AFF" w14:textId="77777777" w:rsidTr="00237293">
        <w:trPr>
          <w:trHeight w:val="257"/>
        </w:trPr>
        <w:tc>
          <w:tcPr>
            <w:tcW w:w="1302" w:type="dxa"/>
            <w:noWrap/>
            <w:hideMark/>
          </w:tcPr>
          <w:p w14:paraId="653CB84C"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Washington</w:t>
            </w:r>
          </w:p>
        </w:tc>
        <w:tc>
          <w:tcPr>
            <w:tcW w:w="1452" w:type="dxa"/>
            <w:noWrap/>
            <w:hideMark/>
          </w:tcPr>
          <w:p w14:paraId="65771E1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$5,615,552,506</w:t>
            </w:r>
          </w:p>
        </w:tc>
        <w:tc>
          <w:tcPr>
            <w:tcW w:w="1453" w:type="dxa"/>
            <w:noWrap/>
            <w:hideMark/>
          </w:tcPr>
          <w:p w14:paraId="25C93F9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$19,886,620</w:t>
            </w:r>
          </w:p>
        </w:tc>
        <w:tc>
          <w:tcPr>
            <w:tcW w:w="1595" w:type="dxa"/>
            <w:noWrap/>
            <w:hideMark/>
          </w:tcPr>
          <w:p w14:paraId="3498DC98"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$22,663,109,433</w:t>
            </w:r>
          </w:p>
        </w:tc>
        <w:tc>
          <w:tcPr>
            <w:tcW w:w="1663" w:type="dxa"/>
            <w:noWrap/>
            <w:hideMark/>
          </w:tcPr>
          <w:p w14:paraId="6753862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$453,789,883</w:t>
            </w:r>
          </w:p>
        </w:tc>
        <w:tc>
          <w:tcPr>
            <w:tcW w:w="2191" w:type="dxa"/>
            <w:noWrap/>
            <w:hideMark/>
          </w:tcPr>
          <w:p w14:paraId="0A4ED60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$28,752,338,442</w:t>
            </w:r>
          </w:p>
        </w:tc>
        <w:tc>
          <w:tcPr>
            <w:tcW w:w="2537" w:type="dxa"/>
            <w:noWrap/>
            <w:hideMark/>
          </w:tcPr>
          <w:p w14:paraId="0D7552B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$81,389,481,227</w:t>
            </w:r>
          </w:p>
        </w:tc>
        <w:tc>
          <w:tcPr>
            <w:tcW w:w="1756" w:type="dxa"/>
            <w:noWrap/>
            <w:hideMark/>
          </w:tcPr>
          <w:p w14:paraId="68F2E23D"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35.3%</w:t>
            </w:r>
          </w:p>
        </w:tc>
      </w:tr>
      <w:tr w:rsidR="00237293" w:rsidRPr="00925FE5" w14:paraId="73D1FACE" w14:textId="77777777" w:rsidTr="00237293">
        <w:trPr>
          <w:trHeight w:val="257"/>
        </w:trPr>
        <w:tc>
          <w:tcPr>
            <w:tcW w:w="1302" w:type="dxa"/>
            <w:noWrap/>
            <w:hideMark/>
          </w:tcPr>
          <w:p w14:paraId="0BBE8481"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Washington, D.C</w:t>
            </w:r>
          </w:p>
        </w:tc>
        <w:tc>
          <w:tcPr>
            <w:tcW w:w="1452" w:type="dxa"/>
            <w:noWrap/>
            <w:hideMark/>
          </w:tcPr>
          <w:p w14:paraId="26EDF08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$104,710</w:t>
            </w:r>
          </w:p>
        </w:tc>
        <w:tc>
          <w:tcPr>
            <w:tcW w:w="1453" w:type="dxa"/>
            <w:noWrap/>
            <w:hideMark/>
          </w:tcPr>
          <w:p w14:paraId="11303BB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$10,719</w:t>
            </w:r>
          </w:p>
        </w:tc>
        <w:tc>
          <w:tcPr>
            <w:tcW w:w="1595" w:type="dxa"/>
            <w:noWrap/>
            <w:hideMark/>
          </w:tcPr>
          <w:p w14:paraId="026F8D7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$21,468,105</w:t>
            </w:r>
          </w:p>
        </w:tc>
        <w:tc>
          <w:tcPr>
            <w:tcW w:w="1663" w:type="dxa"/>
            <w:noWrap/>
            <w:hideMark/>
          </w:tcPr>
          <w:p w14:paraId="0C92A14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$2,984,165</w:t>
            </w:r>
          </w:p>
        </w:tc>
        <w:tc>
          <w:tcPr>
            <w:tcW w:w="2191" w:type="dxa"/>
            <w:noWrap/>
            <w:hideMark/>
          </w:tcPr>
          <w:p w14:paraId="7041666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$24,567,699</w:t>
            </w:r>
          </w:p>
        </w:tc>
        <w:tc>
          <w:tcPr>
            <w:tcW w:w="2537" w:type="dxa"/>
            <w:noWrap/>
            <w:hideMark/>
          </w:tcPr>
          <w:p w14:paraId="18034154"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$7,456,809,786</w:t>
            </w:r>
          </w:p>
        </w:tc>
        <w:tc>
          <w:tcPr>
            <w:tcW w:w="1756" w:type="dxa"/>
            <w:noWrap/>
            <w:hideMark/>
          </w:tcPr>
          <w:p w14:paraId="4FEDE0B2"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0.3%</w:t>
            </w:r>
          </w:p>
        </w:tc>
      </w:tr>
      <w:tr w:rsidR="00237293" w:rsidRPr="00925FE5" w14:paraId="1E809B6D" w14:textId="77777777" w:rsidTr="00237293">
        <w:trPr>
          <w:trHeight w:val="257"/>
        </w:trPr>
        <w:tc>
          <w:tcPr>
            <w:tcW w:w="1302" w:type="dxa"/>
            <w:noWrap/>
            <w:hideMark/>
          </w:tcPr>
          <w:p w14:paraId="598FB17D"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West Virginia</w:t>
            </w:r>
          </w:p>
        </w:tc>
        <w:tc>
          <w:tcPr>
            <w:tcW w:w="1452" w:type="dxa"/>
            <w:noWrap/>
            <w:hideMark/>
          </w:tcPr>
          <w:p w14:paraId="7898DD9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$13,800,841</w:t>
            </w:r>
          </w:p>
        </w:tc>
        <w:tc>
          <w:tcPr>
            <w:tcW w:w="1453" w:type="dxa"/>
            <w:noWrap/>
            <w:hideMark/>
          </w:tcPr>
          <w:p w14:paraId="1B7A4AF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$414,693,947</w:t>
            </w:r>
          </w:p>
        </w:tc>
        <w:tc>
          <w:tcPr>
            <w:tcW w:w="1595" w:type="dxa"/>
            <w:noWrap/>
            <w:hideMark/>
          </w:tcPr>
          <w:p w14:paraId="3D99CBE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$640,834,852</w:t>
            </w:r>
          </w:p>
        </w:tc>
        <w:tc>
          <w:tcPr>
            <w:tcW w:w="1663" w:type="dxa"/>
            <w:noWrap/>
            <w:hideMark/>
          </w:tcPr>
          <w:p w14:paraId="50303A47"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$10,060,101</w:t>
            </w:r>
          </w:p>
        </w:tc>
        <w:tc>
          <w:tcPr>
            <w:tcW w:w="2191" w:type="dxa"/>
            <w:noWrap/>
            <w:hideMark/>
          </w:tcPr>
          <w:p w14:paraId="65389C11"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$1,079,389,741</w:t>
            </w:r>
          </w:p>
        </w:tc>
        <w:tc>
          <w:tcPr>
            <w:tcW w:w="2537" w:type="dxa"/>
            <w:noWrap/>
            <w:hideMark/>
          </w:tcPr>
          <w:p w14:paraId="47C8360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$4,151,042,858</w:t>
            </w:r>
          </w:p>
        </w:tc>
        <w:tc>
          <w:tcPr>
            <w:tcW w:w="1756" w:type="dxa"/>
            <w:noWrap/>
            <w:hideMark/>
          </w:tcPr>
          <w:p w14:paraId="66CE96EB"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26.0%</w:t>
            </w:r>
          </w:p>
        </w:tc>
      </w:tr>
      <w:tr w:rsidR="00237293" w:rsidRPr="00925FE5" w14:paraId="52B18389" w14:textId="77777777" w:rsidTr="00237293">
        <w:trPr>
          <w:trHeight w:val="257"/>
        </w:trPr>
        <w:tc>
          <w:tcPr>
            <w:tcW w:w="1302" w:type="dxa"/>
            <w:noWrap/>
            <w:hideMark/>
          </w:tcPr>
          <w:p w14:paraId="46D76735"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Wisconsin</w:t>
            </w:r>
          </w:p>
        </w:tc>
        <w:tc>
          <w:tcPr>
            <w:tcW w:w="1452" w:type="dxa"/>
            <w:noWrap/>
            <w:hideMark/>
          </w:tcPr>
          <w:p w14:paraId="509F487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$67,296,231</w:t>
            </w:r>
          </w:p>
        </w:tc>
        <w:tc>
          <w:tcPr>
            <w:tcW w:w="1453" w:type="dxa"/>
            <w:noWrap/>
            <w:hideMark/>
          </w:tcPr>
          <w:p w14:paraId="09AB48B6"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$1,740,048</w:t>
            </w:r>
          </w:p>
        </w:tc>
        <w:tc>
          <w:tcPr>
            <w:tcW w:w="1595" w:type="dxa"/>
            <w:noWrap/>
            <w:hideMark/>
          </w:tcPr>
          <w:p w14:paraId="0B1114EF"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$2,652,131,407</w:t>
            </w:r>
          </w:p>
        </w:tc>
        <w:tc>
          <w:tcPr>
            <w:tcW w:w="1663" w:type="dxa"/>
            <w:noWrap/>
            <w:hideMark/>
          </w:tcPr>
          <w:p w14:paraId="295CCBC0"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$67,575,713</w:t>
            </w:r>
          </w:p>
        </w:tc>
        <w:tc>
          <w:tcPr>
            <w:tcW w:w="2191" w:type="dxa"/>
            <w:noWrap/>
            <w:hideMark/>
          </w:tcPr>
          <w:p w14:paraId="68013DB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$2,788,743,399</w:t>
            </w:r>
          </w:p>
        </w:tc>
        <w:tc>
          <w:tcPr>
            <w:tcW w:w="2537" w:type="dxa"/>
            <w:noWrap/>
            <w:hideMark/>
          </w:tcPr>
          <w:p w14:paraId="12A8B14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$22,862,136,222</w:t>
            </w:r>
          </w:p>
        </w:tc>
        <w:tc>
          <w:tcPr>
            <w:tcW w:w="1756" w:type="dxa"/>
            <w:noWrap/>
            <w:hideMark/>
          </w:tcPr>
          <w:p w14:paraId="6CA6B66E"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12.2%</w:t>
            </w:r>
          </w:p>
        </w:tc>
      </w:tr>
      <w:tr w:rsidR="00237293" w:rsidRPr="00925FE5" w14:paraId="66BF3968" w14:textId="77777777" w:rsidTr="00237293">
        <w:trPr>
          <w:trHeight w:val="257"/>
        </w:trPr>
        <w:tc>
          <w:tcPr>
            <w:tcW w:w="1302" w:type="dxa"/>
            <w:noWrap/>
            <w:hideMark/>
          </w:tcPr>
          <w:p w14:paraId="7F0FF60F"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Wyoming</w:t>
            </w:r>
          </w:p>
        </w:tc>
        <w:tc>
          <w:tcPr>
            <w:tcW w:w="1452" w:type="dxa"/>
            <w:noWrap/>
            <w:hideMark/>
          </w:tcPr>
          <w:p w14:paraId="225F8EB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$174,820</w:t>
            </w:r>
          </w:p>
        </w:tc>
        <w:tc>
          <w:tcPr>
            <w:tcW w:w="1453" w:type="dxa"/>
            <w:noWrap/>
            <w:hideMark/>
          </w:tcPr>
          <w:p w14:paraId="46F3DB1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$1,404,996</w:t>
            </w:r>
          </w:p>
        </w:tc>
        <w:tc>
          <w:tcPr>
            <w:tcW w:w="1595" w:type="dxa"/>
            <w:noWrap/>
            <w:hideMark/>
          </w:tcPr>
          <w:p w14:paraId="14284FC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$187,440,871</w:t>
            </w:r>
          </w:p>
        </w:tc>
        <w:tc>
          <w:tcPr>
            <w:tcW w:w="1663" w:type="dxa"/>
            <w:noWrap/>
            <w:hideMark/>
          </w:tcPr>
          <w:p w14:paraId="69886F82"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$629,861</w:t>
            </w:r>
          </w:p>
        </w:tc>
        <w:tc>
          <w:tcPr>
            <w:tcW w:w="2191" w:type="dxa"/>
            <w:noWrap/>
            <w:hideMark/>
          </w:tcPr>
          <w:p w14:paraId="322ACA9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$189,650,548</w:t>
            </w:r>
          </w:p>
        </w:tc>
        <w:tc>
          <w:tcPr>
            <w:tcW w:w="2537" w:type="dxa"/>
            <w:noWrap/>
            <w:hideMark/>
          </w:tcPr>
          <w:p w14:paraId="2EAB8A3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$248,746,773</w:t>
            </w:r>
          </w:p>
        </w:tc>
        <w:tc>
          <w:tcPr>
            <w:tcW w:w="1756" w:type="dxa"/>
            <w:noWrap/>
            <w:hideMark/>
          </w:tcPr>
          <w:p w14:paraId="05E2BED2"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
                <w:bCs/>
                <w:color w:val="000000"/>
                <w:sz w:val="18"/>
              </w:rPr>
              <w:t>76.2%</w:t>
            </w:r>
          </w:p>
        </w:tc>
      </w:tr>
      <w:tr w:rsidR="00237293" w:rsidRPr="00925FE5" w14:paraId="430579F2" w14:textId="77777777" w:rsidTr="00237293">
        <w:trPr>
          <w:trHeight w:val="257"/>
        </w:trPr>
        <w:tc>
          <w:tcPr>
            <w:tcW w:w="1302" w:type="dxa"/>
            <w:noWrap/>
          </w:tcPr>
          <w:p w14:paraId="510A30AF" w14:textId="77777777" w:rsidR="00237293" w:rsidRPr="00925FE5" w:rsidRDefault="00237293" w:rsidP="00237293">
            <w:pPr>
              <w:rPr>
                <w:rFonts w:ascii="Garamond" w:eastAsia="Times New Roman" w:hAnsi="Garamond" w:cs="Times New Roman"/>
                <w:color w:val="000000"/>
                <w:sz w:val="18"/>
              </w:rPr>
            </w:pPr>
            <w:r w:rsidRPr="00925FE5">
              <w:rPr>
                <w:rFonts w:ascii="Garamond" w:eastAsia="Times New Roman" w:hAnsi="Garamond" w:cs="Times New Roman"/>
                <w:color w:val="000000"/>
                <w:sz w:val="18"/>
              </w:rPr>
              <w:t>Unknown</w:t>
            </w:r>
            <w:r w:rsidRPr="00925FE5">
              <w:rPr>
                <w:rFonts w:ascii="Garamond" w:eastAsia="Times New Roman" w:hAnsi="Garamond" w:cs="Times New Roman"/>
                <w:color w:val="000000"/>
                <w:sz w:val="18"/>
                <w:vertAlign w:val="superscript"/>
              </w:rPr>
              <w:t>5</w:t>
            </w:r>
          </w:p>
        </w:tc>
        <w:tc>
          <w:tcPr>
            <w:tcW w:w="1452" w:type="dxa"/>
            <w:noWrap/>
          </w:tcPr>
          <w:p w14:paraId="0EFA849E"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 N/A</w:t>
            </w:r>
          </w:p>
        </w:tc>
        <w:tc>
          <w:tcPr>
            <w:tcW w:w="1453" w:type="dxa"/>
            <w:noWrap/>
          </w:tcPr>
          <w:p w14:paraId="3BBE491C"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 N/A</w:t>
            </w:r>
          </w:p>
        </w:tc>
        <w:tc>
          <w:tcPr>
            <w:tcW w:w="1595" w:type="dxa"/>
            <w:noWrap/>
          </w:tcPr>
          <w:p w14:paraId="0E079B5B"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$2,728,116</w:t>
            </w:r>
          </w:p>
        </w:tc>
        <w:tc>
          <w:tcPr>
            <w:tcW w:w="1663" w:type="dxa"/>
            <w:noWrap/>
          </w:tcPr>
          <w:p w14:paraId="54DF9FEA"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$3,036,434,868</w:t>
            </w:r>
          </w:p>
        </w:tc>
        <w:tc>
          <w:tcPr>
            <w:tcW w:w="2191" w:type="dxa"/>
            <w:noWrap/>
          </w:tcPr>
          <w:p w14:paraId="2206B425"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$3,039,162,984</w:t>
            </w:r>
          </w:p>
        </w:tc>
        <w:tc>
          <w:tcPr>
            <w:tcW w:w="2537" w:type="dxa"/>
            <w:noWrap/>
          </w:tcPr>
          <w:p w14:paraId="7639A4A3" w14:textId="77777777" w:rsidR="00237293" w:rsidRPr="00925FE5" w:rsidRDefault="00237293" w:rsidP="00237293">
            <w:pPr>
              <w:jc w:val="right"/>
              <w:rPr>
                <w:rFonts w:ascii="Garamond" w:eastAsia="Times New Roman" w:hAnsi="Garamond" w:cs="Times New Roman"/>
                <w:color w:val="000000"/>
                <w:sz w:val="18"/>
              </w:rPr>
            </w:pPr>
            <w:r w:rsidRPr="00925FE5">
              <w:rPr>
                <w:rFonts w:ascii="Garamond" w:eastAsia="Times New Roman" w:hAnsi="Garamond" w:cs="Times New Roman"/>
                <w:color w:val="000000"/>
                <w:sz w:val="18"/>
              </w:rPr>
              <w:t>$47,874,114,539</w:t>
            </w:r>
          </w:p>
        </w:tc>
        <w:tc>
          <w:tcPr>
            <w:tcW w:w="1756" w:type="dxa"/>
            <w:noWrap/>
          </w:tcPr>
          <w:p w14:paraId="1C6E0012" w14:textId="77777777" w:rsidR="00237293" w:rsidRPr="00925FE5" w:rsidRDefault="00237293" w:rsidP="00237293">
            <w:pPr>
              <w:jc w:val="right"/>
              <w:rPr>
                <w:rFonts w:ascii="Garamond" w:eastAsia="Times New Roman" w:hAnsi="Garamond" w:cs="Times New Roman"/>
                <w:b/>
                <w:bCs/>
                <w:color w:val="000000"/>
                <w:sz w:val="18"/>
              </w:rPr>
            </w:pPr>
            <w:r w:rsidRPr="00925FE5">
              <w:rPr>
                <w:rFonts w:ascii="Garamond" w:eastAsia="Times New Roman" w:hAnsi="Garamond" w:cs="Times New Roman"/>
                <w:bCs/>
                <w:color w:val="000000"/>
                <w:sz w:val="18"/>
              </w:rPr>
              <w:t>6.3%</w:t>
            </w:r>
          </w:p>
        </w:tc>
      </w:tr>
      <w:tr w:rsidR="00237293" w:rsidRPr="00925FE5" w14:paraId="162864FB" w14:textId="77777777" w:rsidTr="00237293">
        <w:trPr>
          <w:trHeight w:val="257"/>
        </w:trPr>
        <w:tc>
          <w:tcPr>
            <w:tcW w:w="1302" w:type="dxa"/>
            <w:noWrap/>
            <w:hideMark/>
          </w:tcPr>
          <w:p w14:paraId="442416B9" w14:textId="77777777" w:rsidR="00237293" w:rsidRPr="00925FE5" w:rsidRDefault="00237293" w:rsidP="00237293">
            <w:pPr>
              <w:rPr>
                <w:rFonts w:ascii="Garamond" w:eastAsia="Times New Roman" w:hAnsi="Garamond" w:cs="Times New Roman"/>
                <w:b/>
                <w:bCs/>
                <w:i/>
                <w:color w:val="000000"/>
                <w:sz w:val="18"/>
              </w:rPr>
            </w:pPr>
            <w:r w:rsidRPr="00925FE5">
              <w:rPr>
                <w:rFonts w:ascii="Garamond" w:eastAsia="Times New Roman" w:hAnsi="Garamond" w:cs="Times New Roman"/>
                <w:b/>
                <w:bCs/>
                <w:i/>
                <w:color w:val="000000"/>
                <w:sz w:val="18"/>
              </w:rPr>
              <w:t>Total</w:t>
            </w:r>
          </w:p>
        </w:tc>
        <w:tc>
          <w:tcPr>
            <w:tcW w:w="1452" w:type="dxa"/>
            <w:noWrap/>
            <w:hideMark/>
          </w:tcPr>
          <w:p w14:paraId="3788A0EF"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$25,520,977,109</w:t>
            </w:r>
          </w:p>
        </w:tc>
        <w:tc>
          <w:tcPr>
            <w:tcW w:w="1453" w:type="dxa"/>
            <w:noWrap/>
            <w:hideMark/>
          </w:tcPr>
          <w:p w14:paraId="0F92AF9E"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$3,472,996,358</w:t>
            </w:r>
          </w:p>
        </w:tc>
        <w:tc>
          <w:tcPr>
            <w:tcW w:w="1595" w:type="dxa"/>
            <w:noWrap/>
            <w:hideMark/>
          </w:tcPr>
          <w:p w14:paraId="0967FC1F"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$178,933,050,381</w:t>
            </w:r>
          </w:p>
        </w:tc>
        <w:tc>
          <w:tcPr>
            <w:tcW w:w="1663" w:type="dxa"/>
            <w:noWrap/>
            <w:hideMark/>
          </w:tcPr>
          <w:p w14:paraId="753FDBD1"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$14,645,630,194</w:t>
            </w:r>
          </w:p>
        </w:tc>
        <w:tc>
          <w:tcPr>
            <w:tcW w:w="2191" w:type="dxa"/>
            <w:noWrap/>
            <w:hideMark/>
          </w:tcPr>
          <w:p w14:paraId="2DE0E7B9"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$222,572,654,042</w:t>
            </w:r>
          </w:p>
        </w:tc>
        <w:tc>
          <w:tcPr>
            <w:tcW w:w="2537" w:type="dxa"/>
            <w:noWrap/>
            <w:hideMark/>
          </w:tcPr>
          <w:p w14:paraId="2826755B"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$1,502,436,040,144</w:t>
            </w:r>
          </w:p>
        </w:tc>
        <w:tc>
          <w:tcPr>
            <w:tcW w:w="1756" w:type="dxa"/>
            <w:noWrap/>
            <w:hideMark/>
          </w:tcPr>
          <w:p w14:paraId="6670F308" w14:textId="77777777" w:rsidR="00237293" w:rsidRPr="00925FE5" w:rsidRDefault="00237293" w:rsidP="00237293">
            <w:pPr>
              <w:jc w:val="right"/>
              <w:rPr>
                <w:rFonts w:ascii="Garamond" w:eastAsia="Times New Roman" w:hAnsi="Garamond" w:cs="Times New Roman"/>
                <w:bCs/>
                <w:color w:val="000000"/>
                <w:sz w:val="18"/>
              </w:rPr>
            </w:pPr>
            <w:r w:rsidRPr="00925FE5">
              <w:rPr>
                <w:rFonts w:ascii="Garamond" w:eastAsia="Times New Roman" w:hAnsi="Garamond" w:cs="Times New Roman"/>
                <w:bCs/>
                <w:color w:val="000000"/>
                <w:sz w:val="18"/>
              </w:rPr>
              <w:t>14.8%</w:t>
            </w:r>
          </w:p>
        </w:tc>
      </w:tr>
    </w:tbl>
    <w:p w14:paraId="26B6BA51" w14:textId="77777777" w:rsidR="00237293" w:rsidRPr="00925FE5" w:rsidRDefault="00237293" w:rsidP="00237293">
      <w:pPr>
        <w:spacing w:after="0" w:line="240" w:lineRule="auto"/>
        <w:ind w:left="-450"/>
        <w:rPr>
          <w:rFonts w:ascii="Garamond" w:eastAsia="Times New Roman" w:hAnsi="Garamond" w:cs="Times New Roman"/>
          <w:bCs/>
          <w:sz w:val="16"/>
          <w:szCs w:val="16"/>
        </w:rPr>
      </w:pPr>
      <w:r w:rsidRPr="00925FE5">
        <w:rPr>
          <w:rFonts w:ascii="Garamond" w:eastAsia="Times New Roman" w:hAnsi="Garamond" w:cs="Times New Roman"/>
          <w:bCs/>
          <w:sz w:val="16"/>
          <w:szCs w:val="16"/>
        </w:rPr>
        <w:t>USD=U.S. dollar; N/A=not available</w:t>
      </w:r>
    </w:p>
    <w:p w14:paraId="4B1673B1" w14:textId="77777777" w:rsidR="00237293" w:rsidRPr="00925FE5" w:rsidRDefault="00237293" w:rsidP="00237293">
      <w:pPr>
        <w:spacing w:line="240" w:lineRule="auto"/>
        <w:ind w:left="-450" w:right="-990"/>
        <w:contextualSpacing/>
        <w:rPr>
          <w:rFonts w:ascii="Garamond" w:hAnsi="Garamond" w:cs="Times New Roman"/>
          <w:bCs/>
          <w:iCs/>
          <w:sz w:val="16"/>
          <w:szCs w:val="16"/>
        </w:rPr>
      </w:pPr>
      <w:r w:rsidRPr="00925FE5">
        <w:rPr>
          <w:rFonts w:ascii="Garamond" w:eastAsia="Times New Roman" w:hAnsi="Garamond" w:cs="Times New Roman"/>
          <w:bCs/>
          <w:sz w:val="16"/>
          <w:szCs w:val="16"/>
          <w:vertAlign w:val="superscript"/>
        </w:rPr>
        <w:t>1</w:t>
      </w:r>
      <w:r w:rsidRPr="00925FE5">
        <w:rPr>
          <w:rFonts w:ascii="Garamond" w:eastAsia="Times New Roman" w:hAnsi="Garamond" w:cs="Times New Roman"/>
          <w:bCs/>
          <w:sz w:val="16"/>
          <w:szCs w:val="16"/>
        </w:rPr>
        <w:t xml:space="preserve"> </w:t>
      </w:r>
      <w:r w:rsidRPr="00925FE5">
        <w:rPr>
          <w:rFonts w:ascii="Garamond" w:hAnsi="Garamond" w:cs="Times New Roman"/>
          <w:bCs/>
          <w:iCs/>
          <w:sz w:val="16"/>
          <w:szCs w:val="16"/>
        </w:rPr>
        <w:t>See Appendix for definition and list of countries included in the 49 global health security priority countries.</w:t>
      </w:r>
    </w:p>
    <w:p w14:paraId="376124F8" w14:textId="77777777" w:rsidR="00237293" w:rsidRPr="00925FE5" w:rsidRDefault="00237293" w:rsidP="00237293">
      <w:pPr>
        <w:spacing w:line="240" w:lineRule="auto"/>
        <w:ind w:left="-450" w:right="-990"/>
        <w:contextualSpacing/>
        <w:rPr>
          <w:rFonts w:ascii="Garamond" w:hAnsi="Garamond" w:cs="Times New Roman"/>
          <w:sz w:val="16"/>
          <w:szCs w:val="16"/>
        </w:rPr>
      </w:pPr>
      <w:r w:rsidRPr="00925FE5">
        <w:rPr>
          <w:rFonts w:ascii="Garamond" w:eastAsia="Times New Roman" w:hAnsi="Garamond" w:cs="Times New Roman"/>
          <w:bCs/>
          <w:sz w:val="16"/>
          <w:szCs w:val="16"/>
          <w:vertAlign w:val="superscript"/>
        </w:rPr>
        <w:t>2</w:t>
      </w:r>
      <w:r w:rsidRPr="00925FE5">
        <w:rPr>
          <w:rFonts w:ascii="Garamond" w:eastAsia="Times New Roman" w:hAnsi="Garamond" w:cs="Times New Roman"/>
          <w:bCs/>
          <w:sz w:val="16"/>
          <w:szCs w:val="16"/>
        </w:rPr>
        <w:t xml:space="preserve"> The U.S. domestic merchandise export data used in the construction of estimates contained in this file were downloaded from the International Trade Administration's Trade Policy Information System (TPIS) </w:t>
      </w:r>
      <w:r w:rsidRPr="00925FE5">
        <w:rPr>
          <w:rFonts w:ascii="Garamond" w:hAnsi="Garamond" w:cs="Times New Roman"/>
          <w:bCs/>
          <w:sz w:val="16"/>
          <w:szCs w:val="16"/>
        </w:rPr>
        <w:t xml:space="preserve">(13). </w:t>
      </w:r>
      <w:r w:rsidRPr="00925FE5">
        <w:rPr>
          <w:rFonts w:ascii="Garamond" w:eastAsia="Times New Roman" w:hAnsi="Garamond" w:cs="Times New Roman"/>
          <w:bCs/>
          <w:sz w:val="16"/>
          <w:szCs w:val="16"/>
        </w:rPr>
        <w:t xml:space="preserve">        </w:t>
      </w:r>
    </w:p>
    <w:p w14:paraId="24D40581" w14:textId="77777777" w:rsidR="00237293" w:rsidRPr="00925FE5" w:rsidRDefault="00237293" w:rsidP="00237293">
      <w:pPr>
        <w:spacing w:after="0" w:line="240" w:lineRule="auto"/>
        <w:ind w:left="-450"/>
        <w:rPr>
          <w:rFonts w:ascii="Garamond" w:eastAsia="Times New Roman" w:hAnsi="Garamond" w:cs="Times New Roman"/>
          <w:bCs/>
          <w:sz w:val="16"/>
          <w:szCs w:val="16"/>
        </w:rPr>
      </w:pPr>
      <w:r w:rsidRPr="00925FE5">
        <w:rPr>
          <w:rFonts w:ascii="Garamond" w:eastAsia="Times New Roman" w:hAnsi="Garamond" w:cs="Times New Roman"/>
          <w:bCs/>
          <w:sz w:val="16"/>
          <w:szCs w:val="16"/>
          <w:vertAlign w:val="superscript"/>
        </w:rPr>
        <w:t xml:space="preserve">3 </w:t>
      </w:r>
      <w:r w:rsidRPr="00925FE5">
        <w:rPr>
          <w:rFonts w:ascii="Garamond" w:hAnsi="Garamond" w:cs="Times New Roman"/>
          <w:bCs/>
          <w:sz w:val="16"/>
          <w:szCs w:val="16"/>
        </w:rPr>
        <w:t xml:space="preserve">Included estimated summation of the following first four columns (categories): agriculture, forestry, fishing and hunting + mining, quarrying, and oil/gas extraction + manufactured goods + other exports. Per the North America Industrial Classification Standard (NAICS), other exports are defined as waste, used merchandise and special classification. Data for the first four categories were downloaded from the International Trade Administration's Trade Policy Information System (TPIS) website by selecting the global health security priority countries and selecting: </w:t>
      </w:r>
      <w:hyperlink r:id="rId8" w:history="1">
        <w:r w:rsidRPr="00925FE5">
          <w:rPr>
            <w:rFonts w:ascii="Garamond" w:hAnsi="Garamond" w:cs="Times New Roman"/>
            <w:bCs/>
            <w:color w:val="0000FF" w:themeColor="hyperlink"/>
            <w:sz w:val="16"/>
            <w:szCs w:val="16"/>
            <w:u w:val="single"/>
          </w:rPr>
          <w:t>http://tpis1.trade.gov</w:t>
        </w:r>
      </w:hyperlink>
      <w:r w:rsidRPr="00925FE5">
        <w:rPr>
          <w:rFonts w:ascii="Garamond" w:hAnsi="Garamond" w:cs="Times New Roman"/>
          <w:bCs/>
          <w:sz w:val="16"/>
          <w:szCs w:val="16"/>
        </w:rPr>
        <w:t xml:space="preserve"> (12-17). Then, the data were summed.</w:t>
      </w:r>
    </w:p>
    <w:p w14:paraId="74E3DD4F" w14:textId="77777777" w:rsidR="00237293" w:rsidRPr="00925FE5" w:rsidRDefault="00237293" w:rsidP="00237293">
      <w:pPr>
        <w:spacing w:after="0" w:line="240" w:lineRule="auto"/>
        <w:ind w:left="-450"/>
        <w:rPr>
          <w:rFonts w:ascii="Garamond" w:hAnsi="Garamond"/>
        </w:rPr>
      </w:pPr>
      <w:r w:rsidRPr="00925FE5">
        <w:rPr>
          <w:rFonts w:ascii="Garamond" w:eastAsia="Times New Roman" w:hAnsi="Garamond" w:cs="Times New Roman"/>
          <w:bCs/>
          <w:sz w:val="16"/>
          <w:szCs w:val="16"/>
          <w:vertAlign w:val="superscript"/>
        </w:rPr>
        <w:t xml:space="preserve">4 </w:t>
      </w:r>
      <w:r w:rsidRPr="00925FE5">
        <w:rPr>
          <w:rFonts w:ascii="Garamond" w:eastAsia="Times New Roman" w:hAnsi="Garamond" w:cs="Times New Roman"/>
          <w:bCs/>
          <w:sz w:val="16"/>
          <w:szCs w:val="16"/>
        </w:rPr>
        <w:t xml:space="preserve">Bolded percentages are states with </w:t>
      </w:r>
      <w:r w:rsidRPr="00925FE5">
        <w:rPr>
          <w:rFonts w:ascii="Garamond" w:eastAsia="Times New Roman" w:hAnsi="Garamond" w:cs="Times New Roman"/>
          <w:bCs/>
          <w:sz w:val="16"/>
          <w:szCs w:val="16"/>
          <w:u w:val="single"/>
        </w:rPr>
        <w:t>&gt;</w:t>
      </w:r>
      <w:r w:rsidRPr="00925FE5">
        <w:rPr>
          <w:rFonts w:ascii="Garamond" w:eastAsia="Times New Roman" w:hAnsi="Garamond" w:cs="Times New Roman"/>
          <w:bCs/>
          <w:sz w:val="16"/>
          <w:szCs w:val="16"/>
        </w:rPr>
        <w:t>15% of material goods exported to all global health security priority countries relative to all material goods exported worldwide.</w:t>
      </w:r>
    </w:p>
    <w:p w14:paraId="64AE096C" w14:textId="77777777" w:rsidR="00237293" w:rsidRPr="00925FE5" w:rsidRDefault="00237293" w:rsidP="00237293">
      <w:pPr>
        <w:spacing w:after="0" w:line="240" w:lineRule="auto"/>
        <w:ind w:left="-450"/>
        <w:rPr>
          <w:rFonts w:ascii="Garamond" w:eastAsia="Times New Roman" w:hAnsi="Garamond" w:cs="Times New Roman"/>
          <w:bCs/>
          <w:sz w:val="16"/>
          <w:szCs w:val="16"/>
        </w:rPr>
      </w:pPr>
      <w:r w:rsidRPr="00925FE5">
        <w:rPr>
          <w:rFonts w:ascii="Garamond" w:eastAsia="Times New Roman" w:hAnsi="Garamond" w:cs="Times New Roman"/>
          <w:bCs/>
          <w:sz w:val="16"/>
          <w:szCs w:val="16"/>
          <w:vertAlign w:val="superscript"/>
        </w:rPr>
        <w:t>5</w:t>
      </w:r>
      <w:r w:rsidRPr="00925FE5">
        <w:rPr>
          <w:rFonts w:ascii="Garamond" w:eastAsia="Times New Roman" w:hAnsi="Garamond" w:cs="Times New Roman"/>
          <w:bCs/>
          <w:sz w:val="16"/>
          <w:szCs w:val="16"/>
        </w:rPr>
        <w:t xml:space="preserve"> The ‘unknown’ classification refers to those exports where U.S. Census surveys did not capture the location of exports before they left the United States. According to the information provided on </w:t>
      </w:r>
      <w:r w:rsidRPr="00925FE5">
        <w:rPr>
          <w:rFonts w:ascii="Garamond" w:hAnsi="Garamond" w:cs="Times New Roman"/>
          <w:bCs/>
          <w:sz w:val="16"/>
          <w:szCs w:val="16"/>
        </w:rPr>
        <w:t>Trade Policy Information System</w:t>
      </w:r>
      <w:r w:rsidRPr="00925FE5">
        <w:rPr>
          <w:rFonts w:ascii="Garamond" w:eastAsia="Times New Roman" w:hAnsi="Garamond" w:cs="Times New Roman"/>
          <w:bCs/>
          <w:sz w:val="16"/>
          <w:szCs w:val="16"/>
        </w:rPr>
        <w:t xml:space="preserve"> (TPIS), the majority of goods that were exported from this ‘unknown’ category fall within the ‘special classification provision,’ or code 99. According to the </w:t>
      </w:r>
      <w:r w:rsidRPr="00925FE5">
        <w:rPr>
          <w:rFonts w:ascii="Garamond" w:hAnsi="Garamond" w:cs="Times New Roman"/>
          <w:bCs/>
          <w:sz w:val="16"/>
          <w:szCs w:val="16"/>
        </w:rPr>
        <w:t>North America Industrial Classification Standard (</w:t>
      </w:r>
      <w:r w:rsidRPr="00925FE5">
        <w:rPr>
          <w:rFonts w:ascii="Garamond" w:eastAsia="Times New Roman" w:hAnsi="Garamond" w:cs="Times New Roman"/>
          <w:bCs/>
          <w:sz w:val="16"/>
          <w:szCs w:val="16"/>
        </w:rPr>
        <w:t>NAICS), this category refers to exports that are considered unclassifiable or related to international and public affairs of the U.S. government.</w:t>
      </w:r>
    </w:p>
    <w:p w14:paraId="40A0303B" w14:textId="77777777" w:rsidR="00237293" w:rsidRPr="00925FE5" w:rsidRDefault="00237293" w:rsidP="00F340B9">
      <w:pPr>
        <w:rPr>
          <w:rFonts w:ascii="Garamond" w:hAnsi="Garamond" w:cs="Times New Roman"/>
          <w:b/>
          <w:bCs/>
          <w:iCs/>
          <w:noProof/>
          <w:sz w:val="24"/>
          <w:szCs w:val="24"/>
        </w:rPr>
      </w:pPr>
    </w:p>
    <w:p w14:paraId="726D77C9" w14:textId="77777777" w:rsidR="00F340B9" w:rsidRPr="00925FE5" w:rsidRDefault="00F340B9" w:rsidP="00F340B9">
      <w:pPr>
        <w:rPr>
          <w:rFonts w:ascii="Garamond" w:hAnsi="Garamond" w:cs="Times New Roman"/>
          <w:b/>
          <w:bCs/>
          <w:iCs/>
          <w:noProof/>
          <w:sz w:val="20"/>
          <w:szCs w:val="20"/>
        </w:rPr>
        <w:sectPr w:rsidR="00F340B9" w:rsidRPr="00925FE5" w:rsidSect="00237293">
          <w:footerReference w:type="default" r:id="rId9"/>
          <w:endnotePr>
            <w:numFmt w:val="decimal"/>
          </w:endnotePr>
          <w:pgSz w:w="15840" w:h="12240" w:orient="landscape"/>
          <w:pgMar w:top="720" w:right="720" w:bottom="720" w:left="720" w:header="720" w:footer="720" w:gutter="0"/>
          <w:cols w:space="720"/>
          <w:docGrid w:linePitch="360"/>
        </w:sectPr>
      </w:pPr>
    </w:p>
    <w:p w14:paraId="4DDA2B73" w14:textId="5BD56B04" w:rsidR="00F340B9" w:rsidRPr="00925FE5" w:rsidRDefault="00F340B9" w:rsidP="002A503F">
      <w:pPr>
        <w:spacing w:line="240" w:lineRule="auto"/>
        <w:ind w:left="-270"/>
        <w:contextualSpacing/>
        <w:rPr>
          <w:rFonts w:ascii="Garamond" w:hAnsi="Garamond" w:cs="Times New Roman"/>
          <w:bCs/>
          <w:sz w:val="24"/>
          <w:szCs w:val="24"/>
        </w:rPr>
      </w:pPr>
      <w:r w:rsidRPr="00925FE5">
        <w:rPr>
          <w:rFonts w:ascii="Garamond" w:hAnsi="Garamond" w:cs="Times New Roman"/>
          <w:b/>
          <w:sz w:val="24"/>
          <w:szCs w:val="24"/>
        </w:rPr>
        <w:lastRenderedPageBreak/>
        <w:t>Appendix Table</w:t>
      </w:r>
      <w:r w:rsidR="004B3E9C" w:rsidRPr="00925FE5">
        <w:rPr>
          <w:rFonts w:ascii="Garamond" w:hAnsi="Garamond" w:cs="Times New Roman"/>
          <w:b/>
          <w:sz w:val="24"/>
          <w:szCs w:val="24"/>
        </w:rPr>
        <w:t xml:space="preserve"> 2</w:t>
      </w:r>
      <w:r w:rsidRPr="00925FE5">
        <w:rPr>
          <w:rFonts w:ascii="Garamond" w:hAnsi="Garamond" w:cs="Times New Roman"/>
          <w:b/>
          <w:sz w:val="24"/>
          <w:szCs w:val="24"/>
        </w:rPr>
        <w:t>.</w:t>
      </w:r>
      <w:r w:rsidRPr="00925FE5">
        <w:rPr>
          <w:rFonts w:ascii="Garamond" w:hAnsi="Garamond" w:cs="Times New Roman"/>
          <w:sz w:val="24"/>
          <w:szCs w:val="24"/>
        </w:rPr>
        <w:t xml:space="preserve"> </w:t>
      </w:r>
      <w:r w:rsidRPr="00925FE5">
        <w:rPr>
          <w:rFonts w:ascii="Garamond" w:hAnsi="Garamond" w:cs="Times New Roman"/>
          <w:bCs/>
          <w:sz w:val="24"/>
          <w:szCs w:val="24"/>
        </w:rPr>
        <w:t xml:space="preserve">Value of Exports and Number of U.S Jobs Supported through Material Goods and Services Exported to </w:t>
      </w:r>
      <w:r w:rsidR="00D04E33" w:rsidRPr="00925FE5">
        <w:rPr>
          <w:rFonts w:ascii="Garamond" w:hAnsi="Garamond" w:cs="Times New Roman"/>
          <w:bCs/>
          <w:sz w:val="24"/>
          <w:szCs w:val="24"/>
        </w:rPr>
        <w:t xml:space="preserve">U.S. </w:t>
      </w:r>
      <w:r w:rsidRPr="00925FE5">
        <w:rPr>
          <w:rFonts w:ascii="Garamond" w:hAnsi="Garamond" w:cs="Times New Roman"/>
          <w:bCs/>
          <w:iCs/>
          <w:sz w:val="24"/>
          <w:szCs w:val="24"/>
        </w:rPr>
        <w:t>Centers for Disease Control and Prevention (CDC)</w:t>
      </w:r>
      <w:r w:rsidRPr="00925FE5">
        <w:rPr>
          <w:rFonts w:ascii="Garamond" w:hAnsi="Garamond" w:cs="Times New Roman"/>
          <w:bCs/>
          <w:sz w:val="24"/>
          <w:szCs w:val="24"/>
        </w:rPr>
        <w:t xml:space="preserve"> </w:t>
      </w:r>
      <w:r w:rsidR="00D04E33" w:rsidRPr="00925FE5">
        <w:rPr>
          <w:rFonts w:ascii="Garamond" w:hAnsi="Garamond" w:cs="Times New Roman"/>
          <w:bCs/>
          <w:sz w:val="24"/>
          <w:szCs w:val="24"/>
        </w:rPr>
        <w:t xml:space="preserve">Global </w:t>
      </w:r>
      <w:r w:rsidRPr="00925FE5">
        <w:rPr>
          <w:rFonts w:ascii="Garamond" w:hAnsi="Garamond" w:cs="Times New Roman"/>
          <w:bCs/>
          <w:sz w:val="24"/>
          <w:szCs w:val="24"/>
        </w:rPr>
        <w:t>Health Security Priority Countries by Country and Sector in 2015</w:t>
      </w:r>
      <w:r w:rsidR="007F1FD8" w:rsidRPr="00925FE5">
        <w:rPr>
          <w:rFonts w:ascii="Garamond" w:hAnsi="Garamond" w:cs="Times New Roman"/>
          <w:bCs/>
          <w:sz w:val="24"/>
          <w:szCs w:val="24"/>
          <w:vertAlign w:val="superscript"/>
        </w:rPr>
        <w:t>1</w:t>
      </w:r>
    </w:p>
    <w:tbl>
      <w:tblPr>
        <w:tblStyle w:val="TableGridLight1"/>
        <w:tblW w:w="14850" w:type="dxa"/>
        <w:tblInd w:w="-275" w:type="dxa"/>
        <w:tblLayout w:type="fixed"/>
        <w:tblLook w:val="04A0" w:firstRow="1" w:lastRow="0" w:firstColumn="1" w:lastColumn="0" w:noHBand="0" w:noVBand="1"/>
      </w:tblPr>
      <w:tblGrid>
        <w:gridCol w:w="1440"/>
        <w:gridCol w:w="1698"/>
        <w:gridCol w:w="1614"/>
        <w:gridCol w:w="1728"/>
        <w:gridCol w:w="1620"/>
        <w:gridCol w:w="1740"/>
        <w:gridCol w:w="1656"/>
        <w:gridCol w:w="1704"/>
        <w:gridCol w:w="269"/>
        <w:gridCol w:w="1381"/>
      </w:tblGrid>
      <w:tr w:rsidR="00F340B9" w:rsidRPr="00925FE5" w14:paraId="46E2B45C" w14:textId="77777777" w:rsidTr="002A503F">
        <w:trPr>
          <w:trHeight w:val="19"/>
        </w:trPr>
        <w:tc>
          <w:tcPr>
            <w:tcW w:w="1440" w:type="dxa"/>
            <w:hideMark/>
          </w:tcPr>
          <w:p w14:paraId="45C1B8AA" w14:textId="676F81F8" w:rsidR="00F340B9" w:rsidRPr="00925FE5" w:rsidRDefault="00B578DC" w:rsidP="00DF7A25">
            <w:pPr>
              <w:contextualSpacing/>
              <w:rPr>
                <w:rFonts w:ascii="Garamond" w:hAnsi="Garamond" w:cstheme="minorHAnsi"/>
                <w:b/>
                <w:bCs/>
                <w:sz w:val="20"/>
                <w:szCs w:val="20"/>
              </w:rPr>
            </w:pPr>
            <w:r w:rsidRPr="00925FE5">
              <w:rPr>
                <w:rFonts w:ascii="Garamond" w:hAnsi="Garamond" w:cstheme="minorHAnsi"/>
                <w:b/>
                <w:bCs/>
                <w:sz w:val="20"/>
                <w:szCs w:val="20"/>
              </w:rPr>
              <w:t xml:space="preserve">Global </w:t>
            </w:r>
            <w:r w:rsidR="00F340B9" w:rsidRPr="00925FE5">
              <w:rPr>
                <w:rFonts w:ascii="Garamond" w:hAnsi="Garamond" w:cstheme="minorHAnsi"/>
                <w:b/>
                <w:bCs/>
                <w:sz w:val="20"/>
                <w:szCs w:val="20"/>
              </w:rPr>
              <w:t xml:space="preserve">Health Security Priority Countries by Region                   </w:t>
            </w:r>
          </w:p>
        </w:tc>
        <w:tc>
          <w:tcPr>
            <w:tcW w:w="1698" w:type="dxa"/>
            <w:hideMark/>
          </w:tcPr>
          <w:p w14:paraId="33D61C16" w14:textId="77777777" w:rsidR="00F340B9" w:rsidRPr="00925FE5" w:rsidRDefault="00F340B9" w:rsidP="00DF7A25">
            <w:pPr>
              <w:contextualSpacing/>
              <w:rPr>
                <w:rFonts w:ascii="Garamond" w:hAnsi="Garamond" w:cstheme="minorHAnsi"/>
                <w:b/>
                <w:bCs/>
                <w:sz w:val="20"/>
                <w:szCs w:val="20"/>
              </w:rPr>
            </w:pPr>
            <w:r w:rsidRPr="00925FE5">
              <w:rPr>
                <w:rFonts w:ascii="Garamond" w:hAnsi="Garamond" w:cstheme="minorHAnsi"/>
                <w:b/>
                <w:bCs/>
                <w:sz w:val="20"/>
                <w:szCs w:val="20"/>
              </w:rPr>
              <w:t xml:space="preserve">Agriculture, Forestry, Fishing, and Hunting </w:t>
            </w:r>
          </w:p>
          <w:p w14:paraId="38005906" w14:textId="0B82E866" w:rsidR="00F340B9" w:rsidRPr="00925FE5" w:rsidRDefault="00F340B9" w:rsidP="00DF7A25">
            <w:pPr>
              <w:contextualSpacing/>
              <w:rPr>
                <w:rFonts w:ascii="Garamond" w:hAnsi="Garamond" w:cstheme="minorHAnsi"/>
                <w:b/>
                <w:bCs/>
                <w:sz w:val="20"/>
                <w:szCs w:val="20"/>
              </w:rPr>
            </w:pPr>
            <w:r w:rsidRPr="00925FE5">
              <w:rPr>
                <w:rFonts w:ascii="Garamond" w:hAnsi="Garamond" w:cstheme="minorHAnsi"/>
                <w:b/>
                <w:bCs/>
                <w:sz w:val="20"/>
                <w:szCs w:val="20"/>
              </w:rPr>
              <w:t>(US</w:t>
            </w:r>
            <w:r w:rsidR="00D04E33" w:rsidRPr="00925FE5">
              <w:rPr>
                <w:rFonts w:ascii="Garamond" w:hAnsi="Garamond" w:cstheme="minorHAnsi"/>
                <w:b/>
                <w:bCs/>
                <w:sz w:val="20"/>
                <w:szCs w:val="20"/>
              </w:rPr>
              <w:t>D</w:t>
            </w:r>
            <w:r w:rsidRPr="00925FE5">
              <w:rPr>
                <w:rFonts w:ascii="Garamond" w:hAnsi="Garamond" w:cstheme="minorHAnsi"/>
                <w:b/>
                <w:bCs/>
                <w:sz w:val="20"/>
                <w:szCs w:val="20"/>
              </w:rPr>
              <w:t>)</w:t>
            </w:r>
          </w:p>
        </w:tc>
        <w:tc>
          <w:tcPr>
            <w:tcW w:w="1614" w:type="dxa"/>
            <w:hideMark/>
          </w:tcPr>
          <w:p w14:paraId="00641DA4" w14:textId="3A682395" w:rsidR="00F340B9" w:rsidRPr="00925FE5" w:rsidRDefault="00F340B9" w:rsidP="004B3E9C">
            <w:pPr>
              <w:contextualSpacing/>
              <w:rPr>
                <w:rFonts w:ascii="Garamond" w:hAnsi="Garamond" w:cstheme="minorHAnsi"/>
                <w:b/>
                <w:bCs/>
                <w:sz w:val="20"/>
                <w:szCs w:val="20"/>
              </w:rPr>
            </w:pPr>
            <w:r w:rsidRPr="00925FE5">
              <w:rPr>
                <w:rFonts w:ascii="Garamond" w:hAnsi="Garamond" w:cstheme="minorHAnsi"/>
                <w:b/>
                <w:bCs/>
                <w:sz w:val="20"/>
                <w:szCs w:val="20"/>
              </w:rPr>
              <w:t xml:space="preserve">Mining, Quarrying, and Oil/Gas </w:t>
            </w:r>
            <w:r w:rsidR="004B3E9C" w:rsidRPr="00925FE5">
              <w:rPr>
                <w:rFonts w:ascii="Garamond" w:hAnsi="Garamond" w:cstheme="minorHAnsi"/>
                <w:b/>
                <w:bCs/>
                <w:sz w:val="20"/>
                <w:szCs w:val="20"/>
              </w:rPr>
              <w:t xml:space="preserve">Extraction </w:t>
            </w:r>
            <w:r w:rsidRPr="00925FE5">
              <w:rPr>
                <w:rFonts w:ascii="Garamond" w:hAnsi="Garamond" w:cstheme="minorHAnsi"/>
                <w:b/>
                <w:bCs/>
                <w:sz w:val="20"/>
                <w:szCs w:val="20"/>
              </w:rPr>
              <w:t>(US</w:t>
            </w:r>
            <w:r w:rsidR="00D04E33" w:rsidRPr="00925FE5">
              <w:rPr>
                <w:rFonts w:ascii="Garamond" w:hAnsi="Garamond" w:cstheme="minorHAnsi"/>
                <w:b/>
                <w:bCs/>
                <w:sz w:val="20"/>
                <w:szCs w:val="20"/>
              </w:rPr>
              <w:t>D</w:t>
            </w:r>
            <w:r w:rsidRPr="00925FE5">
              <w:rPr>
                <w:rFonts w:ascii="Garamond" w:hAnsi="Garamond" w:cstheme="minorHAnsi"/>
                <w:b/>
                <w:bCs/>
                <w:sz w:val="20"/>
                <w:szCs w:val="20"/>
              </w:rPr>
              <w:t>)</w:t>
            </w:r>
          </w:p>
        </w:tc>
        <w:tc>
          <w:tcPr>
            <w:tcW w:w="1728" w:type="dxa"/>
            <w:hideMark/>
          </w:tcPr>
          <w:p w14:paraId="1BD1C39E" w14:textId="75C01C10" w:rsidR="00F340B9" w:rsidRPr="00925FE5" w:rsidRDefault="00F340B9" w:rsidP="00D04E33">
            <w:pPr>
              <w:contextualSpacing/>
              <w:rPr>
                <w:rFonts w:ascii="Garamond" w:hAnsi="Garamond" w:cstheme="minorHAnsi"/>
                <w:b/>
                <w:bCs/>
                <w:sz w:val="20"/>
                <w:szCs w:val="20"/>
              </w:rPr>
            </w:pPr>
            <w:r w:rsidRPr="00925FE5">
              <w:rPr>
                <w:rFonts w:ascii="Garamond" w:hAnsi="Garamond" w:cstheme="minorHAnsi"/>
                <w:b/>
                <w:bCs/>
                <w:sz w:val="20"/>
                <w:szCs w:val="20"/>
              </w:rPr>
              <w:t>Manufactured Goods (US</w:t>
            </w:r>
            <w:r w:rsidR="00D04E33" w:rsidRPr="00925FE5">
              <w:rPr>
                <w:rFonts w:ascii="Garamond" w:hAnsi="Garamond" w:cstheme="minorHAnsi"/>
                <w:b/>
                <w:bCs/>
                <w:sz w:val="20"/>
                <w:szCs w:val="20"/>
              </w:rPr>
              <w:t>D</w:t>
            </w:r>
            <w:r w:rsidRPr="00925FE5">
              <w:rPr>
                <w:rFonts w:ascii="Garamond" w:hAnsi="Garamond" w:cstheme="minorHAnsi"/>
                <w:b/>
                <w:bCs/>
                <w:sz w:val="20"/>
                <w:szCs w:val="20"/>
              </w:rPr>
              <w:t>)</w:t>
            </w:r>
          </w:p>
        </w:tc>
        <w:tc>
          <w:tcPr>
            <w:tcW w:w="1620" w:type="dxa"/>
            <w:hideMark/>
          </w:tcPr>
          <w:p w14:paraId="594A503A" w14:textId="68072916" w:rsidR="00F340B9" w:rsidRPr="00925FE5" w:rsidRDefault="00F340B9" w:rsidP="00D04E33">
            <w:pPr>
              <w:contextualSpacing/>
              <w:rPr>
                <w:rFonts w:ascii="Garamond" w:hAnsi="Garamond" w:cstheme="minorHAnsi"/>
                <w:b/>
                <w:bCs/>
                <w:sz w:val="20"/>
                <w:szCs w:val="20"/>
              </w:rPr>
            </w:pPr>
            <w:r w:rsidRPr="00925FE5">
              <w:rPr>
                <w:rFonts w:ascii="Garamond" w:hAnsi="Garamond" w:cstheme="minorHAnsi"/>
                <w:b/>
                <w:bCs/>
                <w:sz w:val="20"/>
                <w:szCs w:val="20"/>
              </w:rPr>
              <w:t>Other Exports (US</w:t>
            </w:r>
            <w:r w:rsidR="00D04E33" w:rsidRPr="00925FE5">
              <w:rPr>
                <w:rFonts w:ascii="Garamond" w:hAnsi="Garamond" w:cstheme="minorHAnsi"/>
                <w:b/>
                <w:bCs/>
                <w:sz w:val="20"/>
                <w:szCs w:val="20"/>
              </w:rPr>
              <w:t>D</w:t>
            </w:r>
            <w:r w:rsidRPr="00925FE5">
              <w:rPr>
                <w:rFonts w:ascii="Garamond" w:hAnsi="Garamond" w:cstheme="minorHAnsi"/>
                <w:b/>
                <w:bCs/>
                <w:sz w:val="20"/>
                <w:szCs w:val="20"/>
              </w:rPr>
              <w:t>)</w:t>
            </w:r>
          </w:p>
        </w:tc>
        <w:tc>
          <w:tcPr>
            <w:tcW w:w="1740" w:type="dxa"/>
            <w:hideMark/>
          </w:tcPr>
          <w:p w14:paraId="12F4A268" w14:textId="58D4A639" w:rsidR="00F340B9" w:rsidRPr="00925FE5" w:rsidRDefault="00F340B9" w:rsidP="00D04E33">
            <w:pPr>
              <w:contextualSpacing/>
              <w:rPr>
                <w:rFonts w:ascii="Garamond" w:hAnsi="Garamond" w:cstheme="minorHAnsi"/>
                <w:b/>
                <w:bCs/>
                <w:sz w:val="20"/>
                <w:szCs w:val="20"/>
              </w:rPr>
            </w:pPr>
            <w:r w:rsidRPr="00925FE5">
              <w:rPr>
                <w:rFonts w:ascii="Garamond" w:hAnsi="Garamond" w:cstheme="minorHAnsi"/>
                <w:b/>
                <w:bCs/>
                <w:sz w:val="20"/>
                <w:szCs w:val="20"/>
              </w:rPr>
              <w:t>Total Value of Material Goods Exported</w:t>
            </w:r>
            <w:r w:rsidR="007F1FD8" w:rsidRPr="00925FE5">
              <w:rPr>
                <w:rFonts w:ascii="Garamond" w:hAnsi="Garamond" w:cstheme="minorHAnsi"/>
                <w:b/>
                <w:bCs/>
                <w:sz w:val="20"/>
                <w:szCs w:val="20"/>
                <w:vertAlign w:val="superscript"/>
              </w:rPr>
              <w:t>2</w:t>
            </w:r>
            <w:r w:rsidRPr="00925FE5">
              <w:rPr>
                <w:rFonts w:ascii="Garamond" w:hAnsi="Garamond" w:cstheme="minorHAnsi"/>
                <w:b/>
                <w:bCs/>
                <w:sz w:val="20"/>
                <w:szCs w:val="20"/>
              </w:rPr>
              <w:t xml:space="preserve"> (US</w:t>
            </w:r>
            <w:r w:rsidR="00D04E33" w:rsidRPr="00925FE5">
              <w:rPr>
                <w:rFonts w:ascii="Garamond" w:hAnsi="Garamond" w:cstheme="minorHAnsi"/>
                <w:b/>
                <w:bCs/>
                <w:sz w:val="20"/>
                <w:szCs w:val="20"/>
              </w:rPr>
              <w:t>D</w:t>
            </w:r>
            <w:r w:rsidRPr="00925FE5">
              <w:rPr>
                <w:rFonts w:ascii="Garamond" w:hAnsi="Garamond" w:cstheme="minorHAnsi"/>
                <w:b/>
                <w:bCs/>
                <w:sz w:val="20"/>
                <w:szCs w:val="20"/>
              </w:rPr>
              <w:t>)</w:t>
            </w:r>
          </w:p>
        </w:tc>
        <w:tc>
          <w:tcPr>
            <w:tcW w:w="1656" w:type="dxa"/>
            <w:hideMark/>
          </w:tcPr>
          <w:p w14:paraId="4E072162" w14:textId="3837A008" w:rsidR="00F340B9" w:rsidRPr="00925FE5" w:rsidRDefault="00F340B9" w:rsidP="007F1FD8">
            <w:pPr>
              <w:contextualSpacing/>
              <w:rPr>
                <w:rFonts w:ascii="Garamond" w:hAnsi="Garamond" w:cstheme="minorHAnsi"/>
                <w:b/>
                <w:bCs/>
                <w:sz w:val="20"/>
                <w:szCs w:val="20"/>
              </w:rPr>
            </w:pPr>
            <w:r w:rsidRPr="00925FE5">
              <w:rPr>
                <w:rFonts w:ascii="Garamond" w:hAnsi="Garamond" w:cstheme="minorHAnsi"/>
                <w:b/>
                <w:bCs/>
                <w:sz w:val="20"/>
                <w:szCs w:val="20"/>
              </w:rPr>
              <w:t>Total Value of Services Exported</w:t>
            </w:r>
            <w:r w:rsidR="007F1FD8" w:rsidRPr="00925FE5">
              <w:rPr>
                <w:rFonts w:ascii="Garamond" w:hAnsi="Garamond" w:cs="Times New Roman"/>
                <w:b/>
                <w:bCs/>
                <w:sz w:val="16"/>
                <w:szCs w:val="16"/>
                <w:vertAlign w:val="superscript"/>
              </w:rPr>
              <w:t>3</w:t>
            </w:r>
            <w:r w:rsidRPr="00925FE5">
              <w:rPr>
                <w:rFonts w:ascii="Garamond" w:hAnsi="Garamond" w:cstheme="minorHAnsi"/>
                <w:b/>
                <w:bCs/>
                <w:sz w:val="20"/>
                <w:szCs w:val="20"/>
              </w:rPr>
              <w:t xml:space="preserve"> (US</w:t>
            </w:r>
            <w:r w:rsidR="00D04E33" w:rsidRPr="00925FE5">
              <w:rPr>
                <w:rFonts w:ascii="Garamond" w:hAnsi="Garamond" w:cstheme="minorHAnsi"/>
                <w:b/>
                <w:bCs/>
                <w:sz w:val="20"/>
                <w:szCs w:val="20"/>
              </w:rPr>
              <w:t>D</w:t>
            </w:r>
            <w:r w:rsidRPr="00925FE5">
              <w:rPr>
                <w:rFonts w:ascii="Garamond" w:hAnsi="Garamond" w:cstheme="minorHAnsi"/>
                <w:b/>
                <w:bCs/>
                <w:sz w:val="20"/>
                <w:szCs w:val="20"/>
              </w:rPr>
              <w:t xml:space="preserve">)  </w:t>
            </w:r>
          </w:p>
        </w:tc>
        <w:tc>
          <w:tcPr>
            <w:tcW w:w="1704" w:type="dxa"/>
            <w:hideMark/>
          </w:tcPr>
          <w:p w14:paraId="02988FE3" w14:textId="15CD9B9E" w:rsidR="00F340B9" w:rsidRPr="00925FE5" w:rsidRDefault="00F340B9" w:rsidP="00DF7A25">
            <w:pPr>
              <w:contextualSpacing/>
              <w:rPr>
                <w:rFonts w:ascii="Garamond" w:hAnsi="Garamond" w:cstheme="minorHAnsi"/>
                <w:b/>
                <w:bCs/>
                <w:sz w:val="20"/>
                <w:szCs w:val="20"/>
              </w:rPr>
            </w:pPr>
            <w:r w:rsidRPr="00925FE5">
              <w:rPr>
                <w:rFonts w:ascii="Garamond" w:hAnsi="Garamond" w:cstheme="minorHAnsi"/>
                <w:b/>
                <w:bCs/>
                <w:sz w:val="20"/>
                <w:szCs w:val="20"/>
              </w:rPr>
              <w:t>Total Value of Material Goods and/or Services Exported</w:t>
            </w:r>
            <w:r w:rsidR="007F1FD8" w:rsidRPr="00925FE5">
              <w:rPr>
                <w:rFonts w:ascii="Garamond" w:hAnsi="Garamond" w:cstheme="minorHAnsi"/>
                <w:b/>
                <w:bCs/>
                <w:sz w:val="20"/>
                <w:szCs w:val="20"/>
                <w:vertAlign w:val="superscript"/>
              </w:rPr>
              <w:t>4</w:t>
            </w:r>
            <w:r w:rsidR="00D04E33" w:rsidRPr="00925FE5">
              <w:rPr>
                <w:rFonts w:ascii="Garamond" w:hAnsi="Garamond" w:cstheme="minorHAnsi"/>
                <w:b/>
                <w:bCs/>
                <w:sz w:val="20"/>
                <w:szCs w:val="20"/>
              </w:rPr>
              <w:t xml:space="preserve"> (USD)</w:t>
            </w:r>
          </w:p>
        </w:tc>
        <w:tc>
          <w:tcPr>
            <w:tcW w:w="269" w:type="dxa"/>
            <w:shd w:val="clear" w:color="auto" w:fill="A6A6A6" w:themeFill="background1" w:themeFillShade="A6"/>
            <w:hideMark/>
          </w:tcPr>
          <w:p w14:paraId="31D49E6E" w14:textId="77777777" w:rsidR="00F340B9" w:rsidRPr="00925FE5" w:rsidRDefault="00F340B9" w:rsidP="00DF7A25">
            <w:pPr>
              <w:contextualSpacing/>
              <w:rPr>
                <w:rFonts w:ascii="Garamond" w:hAnsi="Garamond" w:cstheme="minorHAnsi"/>
                <w:b/>
                <w:bCs/>
                <w:sz w:val="20"/>
                <w:szCs w:val="20"/>
              </w:rPr>
            </w:pPr>
            <w:r w:rsidRPr="00925FE5">
              <w:rPr>
                <w:rFonts w:ascii="Garamond" w:hAnsi="Garamond" w:cstheme="minorHAnsi"/>
                <w:b/>
                <w:bCs/>
                <w:sz w:val="20"/>
                <w:szCs w:val="20"/>
              </w:rPr>
              <w:t> </w:t>
            </w:r>
          </w:p>
        </w:tc>
        <w:tc>
          <w:tcPr>
            <w:tcW w:w="1381" w:type="dxa"/>
            <w:hideMark/>
          </w:tcPr>
          <w:p w14:paraId="44CEA6D3" w14:textId="28BD07A6" w:rsidR="00F340B9" w:rsidRPr="00925FE5" w:rsidRDefault="00F340B9" w:rsidP="007F1FD8">
            <w:pPr>
              <w:contextualSpacing/>
              <w:rPr>
                <w:rFonts w:ascii="Garamond" w:hAnsi="Garamond" w:cstheme="minorHAnsi"/>
                <w:b/>
                <w:bCs/>
                <w:sz w:val="20"/>
                <w:szCs w:val="20"/>
              </w:rPr>
            </w:pPr>
            <w:r w:rsidRPr="00925FE5">
              <w:rPr>
                <w:rFonts w:ascii="Garamond" w:hAnsi="Garamond" w:cstheme="minorHAnsi"/>
                <w:b/>
                <w:bCs/>
                <w:sz w:val="20"/>
                <w:szCs w:val="20"/>
              </w:rPr>
              <w:t>Number of U.S. Jobs Supported by Material Goods and/or Services Exported</w:t>
            </w:r>
            <w:r w:rsidR="007F1FD8" w:rsidRPr="00925FE5">
              <w:rPr>
                <w:rFonts w:ascii="Garamond" w:hAnsi="Garamond" w:cstheme="minorHAnsi"/>
                <w:b/>
                <w:bCs/>
                <w:sz w:val="20"/>
                <w:szCs w:val="20"/>
                <w:vertAlign w:val="superscript"/>
              </w:rPr>
              <w:t>5</w:t>
            </w:r>
          </w:p>
        </w:tc>
      </w:tr>
      <w:tr w:rsidR="00F340B9" w:rsidRPr="00925FE5" w14:paraId="5125ED33" w14:textId="77777777" w:rsidTr="002A503F">
        <w:trPr>
          <w:trHeight w:val="19"/>
        </w:trPr>
        <w:tc>
          <w:tcPr>
            <w:tcW w:w="1440" w:type="dxa"/>
            <w:shd w:val="clear" w:color="auto" w:fill="A6A6A6" w:themeFill="background1" w:themeFillShade="A6"/>
            <w:noWrap/>
          </w:tcPr>
          <w:p w14:paraId="022E00BF" w14:textId="1E39900F" w:rsidR="00F340B9" w:rsidRPr="00925FE5" w:rsidRDefault="005C68A8" w:rsidP="00DF7A25">
            <w:pPr>
              <w:contextualSpacing/>
              <w:rPr>
                <w:rFonts w:ascii="Garamond" w:hAnsi="Garamond" w:cstheme="minorHAnsi"/>
                <w:i/>
                <w:sz w:val="20"/>
                <w:szCs w:val="20"/>
              </w:rPr>
            </w:pPr>
            <w:r w:rsidRPr="00925FE5">
              <w:rPr>
                <w:rFonts w:ascii="Garamond" w:hAnsi="Garamond" w:cstheme="minorHAnsi"/>
                <w:i/>
                <w:sz w:val="20"/>
                <w:szCs w:val="20"/>
              </w:rPr>
              <w:t xml:space="preserve">South Asia and </w:t>
            </w:r>
            <w:r w:rsidR="00F340B9" w:rsidRPr="00925FE5">
              <w:rPr>
                <w:rFonts w:ascii="Garamond" w:hAnsi="Garamond" w:cstheme="minorHAnsi"/>
                <w:i/>
                <w:sz w:val="20"/>
                <w:szCs w:val="20"/>
              </w:rPr>
              <w:t>Southeast Asia Region</w:t>
            </w:r>
          </w:p>
        </w:tc>
        <w:tc>
          <w:tcPr>
            <w:tcW w:w="1698" w:type="dxa"/>
            <w:shd w:val="clear" w:color="auto" w:fill="A6A6A6" w:themeFill="background1" w:themeFillShade="A6"/>
          </w:tcPr>
          <w:p w14:paraId="39DF5244" w14:textId="77777777" w:rsidR="00F340B9" w:rsidRPr="00925FE5" w:rsidRDefault="00F340B9" w:rsidP="00DF7A25">
            <w:pPr>
              <w:contextualSpacing/>
              <w:rPr>
                <w:rFonts w:ascii="Garamond" w:hAnsi="Garamond" w:cstheme="minorHAnsi"/>
                <w:sz w:val="20"/>
                <w:szCs w:val="20"/>
              </w:rPr>
            </w:pPr>
          </w:p>
        </w:tc>
        <w:tc>
          <w:tcPr>
            <w:tcW w:w="1614" w:type="dxa"/>
            <w:shd w:val="clear" w:color="auto" w:fill="A6A6A6" w:themeFill="background1" w:themeFillShade="A6"/>
            <w:noWrap/>
          </w:tcPr>
          <w:p w14:paraId="4763BAFE" w14:textId="77777777" w:rsidR="00F340B9" w:rsidRPr="00925FE5" w:rsidRDefault="00F340B9" w:rsidP="00DF7A25">
            <w:pPr>
              <w:contextualSpacing/>
              <w:rPr>
                <w:rFonts w:ascii="Garamond" w:hAnsi="Garamond" w:cstheme="minorHAnsi"/>
                <w:sz w:val="20"/>
                <w:szCs w:val="20"/>
              </w:rPr>
            </w:pPr>
          </w:p>
        </w:tc>
        <w:tc>
          <w:tcPr>
            <w:tcW w:w="1728" w:type="dxa"/>
            <w:shd w:val="clear" w:color="auto" w:fill="A6A6A6" w:themeFill="background1" w:themeFillShade="A6"/>
            <w:noWrap/>
          </w:tcPr>
          <w:p w14:paraId="58098D45" w14:textId="77777777" w:rsidR="00F340B9" w:rsidRPr="00925FE5" w:rsidRDefault="00F340B9" w:rsidP="00DF7A25">
            <w:pPr>
              <w:contextualSpacing/>
              <w:rPr>
                <w:rFonts w:ascii="Garamond" w:hAnsi="Garamond" w:cstheme="minorHAnsi"/>
                <w:sz w:val="20"/>
                <w:szCs w:val="20"/>
              </w:rPr>
            </w:pPr>
          </w:p>
        </w:tc>
        <w:tc>
          <w:tcPr>
            <w:tcW w:w="1620" w:type="dxa"/>
            <w:shd w:val="clear" w:color="auto" w:fill="A6A6A6" w:themeFill="background1" w:themeFillShade="A6"/>
            <w:noWrap/>
          </w:tcPr>
          <w:p w14:paraId="017D7898" w14:textId="77777777" w:rsidR="00F340B9" w:rsidRPr="00925FE5" w:rsidRDefault="00F340B9" w:rsidP="00DF7A25">
            <w:pPr>
              <w:contextualSpacing/>
              <w:rPr>
                <w:rFonts w:ascii="Garamond" w:hAnsi="Garamond" w:cstheme="minorHAnsi"/>
                <w:sz w:val="20"/>
                <w:szCs w:val="20"/>
              </w:rPr>
            </w:pPr>
          </w:p>
        </w:tc>
        <w:tc>
          <w:tcPr>
            <w:tcW w:w="1740" w:type="dxa"/>
            <w:shd w:val="clear" w:color="auto" w:fill="A6A6A6" w:themeFill="background1" w:themeFillShade="A6"/>
          </w:tcPr>
          <w:p w14:paraId="4588219B" w14:textId="77777777" w:rsidR="00F340B9" w:rsidRPr="00925FE5" w:rsidRDefault="00F340B9" w:rsidP="00DF7A25">
            <w:pPr>
              <w:contextualSpacing/>
              <w:rPr>
                <w:rFonts w:ascii="Garamond" w:hAnsi="Garamond" w:cstheme="minorHAnsi"/>
                <w:sz w:val="20"/>
                <w:szCs w:val="20"/>
              </w:rPr>
            </w:pPr>
          </w:p>
        </w:tc>
        <w:tc>
          <w:tcPr>
            <w:tcW w:w="1656" w:type="dxa"/>
            <w:shd w:val="clear" w:color="auto" w:fill="A6A6A6" w:themeFill="background1" w:themeFillShade="A6"/>
          </w:tcPr>
          <w:p w14:paraId="127E0E9B" w14:textId="77777777" w:rsidR="00F340B9" w:rsidRPr="00925FE5" w:rsidRDefault="00F340B9" w:rsidP="00DF7A25">
            <w:pPr>
              <w:contextualSpacing/>
              <w:rPr>
                <w:rFonts w:ascii="Garamond" w:hAnsi="Garamond" w:cstheme="minorHAnsi"/>
                <w:b/>
                <w:bCs/>
                <w:sz w:val="20"/>
                <w:szCs w:val="20"/>
              </w:rPr>
            </w:pPr>
          </w:p>
        </w:tc>
        <w:tc>
          <w:tcPr>
            <w:tcW w:w="1704" w:type="dxa"/>
            <w:shd w:val="clear" w:color="auto" w:fill="A6A6A6" w:themeFill="background1" w:themeFillShade="A6"/>
          </w:tcPr>
          <w:p w14:paraId="09030057" w14:textId="77777777" w:rsidR="00F340B9" w:rsidRPr="00925FE5" w:rsidRDefault="00F340B9" w:rsidP="00DF7A25">
            <w:pPr>
              <w:contextualSpacing/>
              <w:rPr>
                <w:rFonts w:ascii="Garamond" w:hAnsi="Garamond" w:cstheme="minorHAnsi"/>
                <w:sz w:val="20"/>
                <w:szCs w:val="20"/>
              </w:rPr>
            </w:pPr>
          </w:p>
        </w:tc>
        <w:tc>
          <w:tcPr>
            <w:tcW w:w="269" w:type="dxa"/>
            <w:shd w:val="clear" w:color="auto" w:fill="A6A6A6" w:themeFill="background1" w:themeFillShade="A6"/>
          </w:tcPr>
          <w:p w14:paraId="5330CDA4" w14:textId="77777777" w:rsidR="00F340B9" w:rsidRPr="00925FE5" w:rsidRDefault="00F340B9" w:rsidP="00DF7A25">
            <w:pPr>
              <w:contextualSpacing/>
              <w:rPr>
                <w:rFonts w:ascii="Garamond" w:hAnsi="Garamond" w:cstheme="minorHAnsi"/>
                <w:b/>
                <w:bCs/>
                <w:sz w:val="20"/>
                <w:szCs w:val="20"/>
              </w:rPr>
            </w:pPr>
          </w:p>
        </w:tc>
        <w:tc>
          <w:tcPr>
            <w:tcW w:w="1381" w:type="dxa"/>
            <w:shd w:val="clear" w:color="auto" w:fill="A6A6A6" w:themeFill="background1" w:themeFillShade="A6"/>
            <w:noWrap/>
          </w:tcPr>
          <w:p w14:paraId="124DE3B9" w14:textId="77777777" w:rsidR="00F340B9" w:rsidRPr="00925FE5" w:rsidRDefault="00F340B9" w:rsidP="00DF7A25">
            <w:pPr>
              <w:contextualSpacing/>
              <w:rPr>
                <w:rFonts w:ascii="Garamond" w:hAnsi="Garamond" w:cstheme="minorHAnsi"/>
                <w:sz w:val="20"/>
                <w:szCs w:val="20"/>
              </w:rPr>
            </w:pPr>
          </w:p>
        </w:tc>
      </w:tr>
      <w:tr w:rsidR="00F340B9" w:rsidRPr="00925FE5" w14:paraId="4738DFF0" w14:textId="77777777" w:rsidTr="002A503F">
        <w:trPr>
          <w:trHeight w:val="19"/>
        </w:trPr>
        <w:tc>
          <w:tcPr>
            <w:tcW w:w="1440" w:type="dxa"/>
            <w:hideMark/>
          </w:tcPr>
          <w:p w14:paraId="370991D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Bangladesh</w:t>
            </w:r>
          </w:p>
        </w:tc>
        <w:tc>
          <w:tcPr>
            <w:tcW w:w="1698" w:type="dxa"/>
            <w:noWrap/>
            <w:hideMark/>
          </w:tcPr>
          <w:p w14:paraId="052C0C6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$411,570,791 </w:t>
            </w:r>
          </w:p>
        </w:tc>
        <w:tc>
          <w:tcPr>
            <w:tcW w:w="1614" w:type="dxa"/>
            <w:noWrap/>
            <w:hideMark/>
          </w:tcPr>
          <w:p w14:paraId="05E42FC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$295,553 </w:t>
            </w:r>
          </w:p>
        </w:tc>
        <w:tc>
          <w:tcPr>
            <w:tcW w:w="1728" w:type="dxa"/>
            <w:noWrap/>
            <w:hideMark/>
          </w:tcPr>
          <w:p w14:paraId="1E09716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$484,317,956 </w:t>
            </w:r>
          </w:p>
        </w:tc>
        <w:tc>
          <w:tcPr>
            <w:tcW w:w="1620" w:type="dxa"/>
            <w:noWrap/>
            <w:hideMark/>
          </w:tcPr>
          <w:p w14:paraId="6B51732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$46,355,767 </w:t>
            </w:r>
          </w:p>
        </w:tc>
        <w:tc>
          <w:tcPr>
            <w:tcW w:w="1740" w:type="dxa"/>
            <w:hideMark/>
          </w:tcPr>
          <w:p w14:paraId="2EBAC7F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$942,540,067 </w:t>
            </w:r>
          </w:p>
        </w:tc>
        <w:tc>
          <w:tcPr>
            <w:tcW w:w="1656" w:type="dxa"/>
            <w:noWrap/>
            <w:hideMark/>
          </w:tcPr>
          <w:p w14:paraId="4E95A4FF" w14:textId="0CF8D2DA"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5DE79DC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$942,540,067 </w:t>
            </w:r>
          </w:p>
        </w:tc>
        <w:tc>
          <w:tcPr>
            <w:tcW w:w="269" w:type="dxa"/>
            <w:shd w:val="clear" w:color="auto" w:fill="A6A6A6" w:themeFill="background1" w:themeFillShade="A6"/>
            <w:hideMark/>
          </w:tcPr>
          <w:p w14:paraId="199DD981"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57ADF26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5,676</w:t>
            </w:r>
          </w:p>
        </w:tc>
      </w:tr>
      <w:tr w:rsidR="00F340B9" w:rsidRPr="00925FE5" w14:paraId="3121DE9C" w14:textId="77777777" w:rsidTr="002A503F">
        <w:trPr>
          <w:trHeight w:val="19"/>
        </w:trPr>
        <w:tc>
          <w:tcPr>
            <w:tcW w:w="1440" w:type="dxa"/>
          </w:tcPr>
          <w:p w14:paraId="6BF3CC7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Cambodia</w:t>
            </w:r>
          </w:p>
        </w:tc>
        <w:tc>
          <w:tcPr>
            <w:tcW w:w="1698" w:type="dxa"/>
            <w:noWrap/>
          </w:tcPr>
          <w:p w14:paraId="02F78F4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$10,489,861 </w:t>
            </w:r>
          </w:p>
        </w:tc>
        <w:tc>
          <w:tcPr>
            <w:tcW w:w="1614" w:type="dxa"/>
            <w:noWrap/>
          </w:tcPr>
          <w:p w14:paraId="6E406A7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$16,304 </w:t>
            </w:r>
          </w:p>
        </w:tc>
        <w:tc>
          <w:tcPr>
            <w:tcW w:w="1728" w:type="dxa"/>
            <w:noWrap/>
          </w:tcPr>
          <w:p w14:paraId="3842132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$130,392,025 </w:t>
            </w:r>
          </w:p>
        </w:tc>
        <w:tc>
          <w:tcPr>
            <w:tcW w:w="1620" w:type="dxa"/>
            <w:noWrap/>
          </w:tcPr>
          <w:p w14:paraId="59E4C21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$250,147,686 </w:t>
            </w:r>
          </w:p>
        </w:tc>
        <w:tc>
          <w:tcPr>
            <w:tcW w:w="1740" w:type="dxa"/>
          </w:tcPr>
          <w:p w14:paraId="37F7A64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$391,045,876 </w:t>
            </w:r>
          </w:p>
        </w:tc>
        <w:tc>
          <w:tcPr>
            <w:tcW w:w="1656" w:type="dxa"/>
            <w:noWrap/>
          </w:tcPr>
          <w:p w14:paraId="32B3DB06" w14:textId="5EA61184"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tcPr>
          <w:p w14:paraId="38E6431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$391,045,876 </w:t>
            </w:r>
          </w:p>
        </w:tc>
        <w:tc>
          <w:tcPr>
            <w:tcW w:w="269" w:type="dxa"/>
            <w:shd w:val="clear" w:color="auto" w:fill="A6A6A6" w:themeFill="background1" w:themeFillShade="A6"/>
          </w:tcPr>
          <w:p w14:paraId="74A9390C"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1AFE843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1,491</w:t>
            </w:r>
          </w:p>
        </w:tc>
      </w:tr>
      <w:tr w:rsidR="00F340B9" w:rsidRPr="00925FE5" w14:paraId="4503A3D2" w14:textId="77777777" w:rsidTr="002A503F">
        <w:trPr>
          <w:trHeight w:val="19"/>
        </w:trPr>
        <w:tc>
          <w:tcPr>
            <w:tcW w:w="1440" w:type="dxa"/>
            <w:hideMark/>
          </w:tcPr>
          <w:p w14:paraId="7B65D0D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India</w:t>
            </w:r>
          </w:p>
        </w:tc>
        <w:tc>
          <w:tcPr>
            <w:tcW w:w="1698" w:type="dxa"/>
            <w:noWrap/>
            <w:hideMark/>
          </w:tcPr>
          <w:p w14:paraId="0C0A0E4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$1,043,158,678 </w:t>
            </w:r>
          </w:p>
        </w:tc>
        <w:tc>
          <w:tcPr>
            <w:tcW w:w="1614" w:type="dxa"/>
            <w:noWrap/>
            <w:hideMark/>
          </w:tcPr>
          <w:p w14:paraId="78D317A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$505,292,546 </w:t>
            </w:r>
          </w:p>
        </w:tc>
        <w:tc>
          <w:tcPr>
            <w:tcW w:w="1728" w:type="dxa"/>
            <w:noWrap/>
            <w:hideMark/>
          </w:tcPr>
          <w:p w14:paraId="553F5BA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$18,545,338,676 </w:t>
            </w:r>
          </w:p>
        </w:tc>
        <w:tc>
          <w:tcPr>
            <w:tcW w:w="1620" w:type="dxa"/>
            <w:noWrap/>
            <w:hideMark/>
          </w:tcPr>
          <w:p w14:paraId="7AABE46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$1,358,090,022 </w:t>
            </w:r>
          </w:p>
        </w:tc>
        <w:tc>
          <w:tcPr>
            <w:tcW w:w="1740" w:type="dxa"/>
            <w:hideMark/>
          </w:tcPr>
          <w:p w14:paraId="2F66B30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$21,451,879,922 </w:t>
            </w:r>
          </w:p>
        </w:tc>
        <w:tc>
          <w:tcPr>
            <w:tcW w:w="1656" w:type="dxa"/>
            <w:noWrap/>
            <w:hideMark/>
          </w:tcPr>
          <w:p w14:paraId="11EF5C4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$18,107,000,000 </w:t>
            </w:r>
          </w:p>
        </w:tc>
        <w:tc>
          <w:tcPr>
            <w:tcW w:w="1704" w:type="dxa"/>
            <w:hideMark/>
          </w:tcPr>
          <w:p w14:paraId="26B3DADF" w14:textId="65C084AD"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$39,558,879,922 </w:t>
            </w:r>
          </w:p>
        </w:tc>
        <w:tc>
          <w:tcPr>
            <w:tcW w:w="269" w:type="dxa"/>
            <w:vMerge w:val="restart"/>
            <w:shd w:val="clear" w:color="auto" w:fill="A6A6A6" w:themeFill="background1" w:themeFillShade="A6"/>
            <w:hideMark/>
          </w:tcPr>
          <w:p w14:paraId="5CE07700"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2A421A9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197,297</w:t>
            </w:r>
          </w:p>
        </w:tc>
      </w:tr>
      <w:tr w:rsidR="00F340B9" w:rsidRPr="00925FE5" w14:paraId="14B8727C" w14:textId="77777777" w:rsidTr="002A503F">
        <w:trPr>
          <w:trHeight w:val="19"/>
        </w:trPr>
        <w:tc>
          <w:tcPr>
            <w:tcW w:w="1440" w:type="dxa"/>
            <w:hideMark/>
          </w:tcPr>
          <w:p w14:paraId="37B07E4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Indonesia</w:t>
            </w:r>
          </w:p>
        </w:tc>
        <w:tc>
          <w:tcPr>
            <w:tcW w:w="1698" w:type="dxa"/>
            <w:noWrap/>
            <w:hideMark/>
          </w:tcPr>
          <w:p w14:paraId="08E8BB6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$1,414,486,008 </w:t>
            </w:r>
          </w:p>
        </w:tc>
        <w:tc>
          <w:tcPr>
            <w:tcW w:w="1614" w:type="dxa"/>
            <w:noWrap/>
            <w:hideMark/>
          </w:tcPr>
          <w:p w14:paraId="636A9AA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$17,416,471 </w:t>
            </w:r>
          </w:p>
        </w:tc>
        <w:tc>
          <w:tcPr>
            <w:tcW w:w="1728" w:type="dxa"/>
            <w:noWrap/>
            <w:hideMark/>
          </w:tcPr>
          <w:p w14:paraId="0BBB43D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$5,504,702,902 </w:t>
            </w:r>
          </w:p>
        </w:tc>
        <w:tc>
          <w:tcPr>
            <w:tcW w:w="1620" w:type="dxa"/>
            <w:noWrap/>
            <w:hideMark/>
          </w:tcPr>
          <w:p w14:paraId="2A268D2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$184,335,307 </w:t>
            </w:r>
          </w:p>
        </w:tc>
        <w:tc>
          <w:tcPr>
            <w:tcW w:w="1740" w:type="dxa"/>
            <w:hideMark/>
          </w:tcPr>
          <w:p w14:paraId="24013F2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$7,120,940,688 </w:t>
            </w:r>
          </w:p>
        </w:tc>
        <w:tc>
          <w:tcPr>
            <w:tcW w:w="1656" w:type="dxa"/>
            <w:noWrap/>
            <w:hideMark/>
          </w:tcPr>
          <w:p w14:paraId="5EDF661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$2,516,000,000 </w:t>
            </w:r>
          </w:p>
        </w:tc>
        <w:tc>
          <w:tcPr>
            <w:tcW w:w="1704" w:type="dxa"/>
            <w:hideMark/>
          </w:tcPr>
          <w:p w14:paraId="3B5BAA4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$9,636,940,688 </w:t>
            </w:r>
          </w:p>
        </w:tc>
        <w:tc>
          <w:tcPr>
            <w:tcW w:w="269" w:type="dxa"/>
            <w:vMerge/>
            <w:shd w:val="clear" w:color="auto" w:fill="A6A6A6" w:themeFill="background1" w:themeFillShade="A6"/>
            <w:hideMark/>
          </w:tcPr>
          <w:p w14:paraId="469FB17E"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776910D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56,325</w:t>
            </w:r>
          </w:p>
        </w:tc>
      </w:tr>
      <w:tr w:rsidR="00F340B9" w:rsidRPr="00925FE5" w14:paraId="2FC48A09" w14:textId="77777777" w:rsidTr="002A503F">
        <w:trPr>
          <w:trHeight w:val="19"/>
        </w:trPr>
        <w:tc>
          <w:tcPr>
            <w:tcW w:w="1440" w:type="dxa"/>
          </w:tcPr>
          <w:p w14:paraId="030CB91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Laos</w:t>
            </w:r>
          </w:p>
        </w:tc>
        <w:tc>
          <w:tcPr>
            <w:tcW w:w="1698" w:type="dxa"/>
            <w:noWrap/>
          </w:tcPr>
          <w:p w14:paraId="1A2684F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$55,912 </w:t>
            </w:r>
          </w:p>
        </w:tc>
        <w:tc>
          <w:tcPr>
            <w:tcW w:w="1614" w:type="dxa"/>
            <w:noWrap/>
          </w:tcPr>
          <w:p w14:paraId="52C80C7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N/A</w:t>
            </w:r>
          </w:p>
        </w:tc>
        <w:tc>
          <w:tcPr>
            <w:tcW w:w="1728" w:type="dxa"/>
            <w:noWrap/>
          </w:tcPr>
          <w:p w14:paraId="5F93111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$23,225,996 </w:t>
            </w:r>
          </w:p>
        </w:tc>
        <w:tc>
          <w:tcPr>
            <w:tcW w:w="1620" w:type="dxa"/>
            <w:noWrap/>
          </w:tcPr>
          <w:p w14:paraId="280278D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$1,302,099 </w:t>
            </w:r>
          </w:p>
        </w:tc>
        <w:tc>
          <w:tcPr>
            <w:tcW w:w="1740" w:type="dxa"/>
          </w:tcPr>
          <w:p w14:paraId="01E39F4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$ 24,584,007 </w:t>
            </w:r>
          </w:p>
        </w:tc>
        <w:tc>
          <w:tcPr>
            <w:tcW w:w="1656" w:type="dxa"/>
            <w:noWrap/>
          </w:tcPr>
          <w:p w14:paraId="1461932D" w14:textId="23FACB6C"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tcPr>
          <w:p w14:paraId="7E57E3E9" w14:textId="21DCB792"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24,584,007 </w:t>
            </w:r>
          </w:p>
        </w:tc>
        <w:tc>
          <w:tcPr>
            <w:tcW w:w="269" w:type="dxa"/>
            <w:shd w:val="clear" w:color="auto" w:fill="A6A6A6" w:themeFill="background1" w:themeFillShade="A6"/>
          </w:tcPr>
          <w:p w14:paraId="0CCF6C31"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0C7641B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92</w:t>
            </w:r>
          </w:p>
        </w:tc>
      </w:tr>
      <w:tr w:rsidR="00F340B9" w:rsidRPr="00925FE5" w14:paraId="0F378713" w14:textId="77777777" w:rsidTr="002A503F">
        <w:trPr>
          <w:trHeight w:val="19"/>
        </w:trPr>
        <w:tc>
          <w:tcPr>
            <w:tcW w:w="1440" w:type="dxa"/>
          </w:tcPr>
          <w:p w14:paraId="21F052B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Malaysia</w:t>
            </w:r>
          </w:p>
        </w:tc>
        <w:tc>
          <w:tcPr>
            <w:tcW w:w="1698" w:type="dxa"/>
            <w:noWrap/>
          </w:tcPr>
          <w:p w14:paraId="1BA1E8F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$412,307,474 </w:t>
            </w:r>
          </w:p>
        </w:tc>
        <w:tc>
          <w:tcPr>
            <w:tcW w:w="1614" w:type="dxa"/>
            <w:noWrap/>
          </w:tcPr>
          <w:p w14:paraId="2D73CF5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$14,189,862 </w:t>
            </w:r>
          </w:p>
        </w:tc>
        <w:tc>
          <w:tcPr>
            <w:tcW w:w="1728" w:type="dxa"/>
            <w:noWrap/>
          </w:tcPr>
          <w:p w14:paraId="4EE6BEA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$11,559,112,577 </w:t>
            </w:r>
          </w:p>
        </w:tc>
        <w:tc>
          <w:tcPr>
            <w:tcW w:w="1620" w:type="dxa"/>
            <w:noWrap/>
          </w:tcPr>
          <w:p w14:paraId="052D22C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$291,616,229 </w:t>
            </w:r>
          </w:p>
        </w:tc>
        <w:tc>
          <w:tcPr>
            <w:tcW w:w="1740" w:type="dxa"/>
          </w:tcPr>
          <w:p w14:paraId="2F9AF2E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$12,277,226,142 </w:t>
            </w:r>
          </w:p>
        </w:tc>
        <w:tc>
          <w:tcPr>
            <w:tcW w:w="1656" w:type="dxa"/>
            <w:noWrap/>
          </w:tcPr>
          <w:p w14:paraId="6666130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$2,854,000,000 </w:t>
            </w:r>
          </w:p>
        </w:tc>
        <w:tc>
          <w:tcPr>
            <w:tcW w:w="1704" w:type="dxa"/>
          </w:tcPr>
          <w:p w14:paraId="74F52F29" w14:textId="370D0CCC"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15,131,226,142 </w:t>
            </w:r>
          </w:p>
        </w:tc>
        <w:tc>
          <w:tcPr>
            <w:tcW w:w="269" w:type="dxa"/>
            <w:shd w:val="clear" w:color="auto" w:fill="A6A6A6" w:themeFill="background1" w:themeFillShade="A6"/>
          </w:tcPr>
          <w:p w14:paraId="7D1F3180"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30BAF43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72,555</w:t>
            </w:r>
          </w:p>
        </w:tc>
      </w:tr>
      <w:tr w:rsidR="00F340B9" w:rsidRPr="00925FE5" w14:paraId="2AB7393D" w14:textId="77777777" w:rsidTr="002A503F">
        <w:trPr>
          <w:trHeight w:val="19"/>
        </w:trPr>
        <w:tc>
          <w:tcPr>
            <w:tcW w:w="1440" w:type="dxa"/>
            <w:hideMark/>
          </w:tcPr>
          <w:p w14:paraId="6045940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Thailand</w:t>
            </w:r>
          </w:p>
        </w:tc>
        <w:tc>
          <w:tcPr>
            <w:tcW w:w="1698" w:type="dxa"/>
            <w:noWrap/>
            <w:hideMark/>
          </w:tcPr>
          <w:p w14:paraId="684BDBB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$803,320,212 </w:t>
            </w:r>
          </w:p>
        </w:tc>
        <w:tc>
          <w:tcPr>
            <w:tcW w:w="1614" w:type="dxa"/>
            <w:noWrap/>
            <w:hideMark/>
          </w:tcPr>
          <w:p w14:paraId="413967F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$24,203,306 </w:t>
            </w:r>
          </w:p>
        </w:tc>
        <w:tc>
          <w:tcPr>
            <w:tcW w:w="1728" w:type="dxa"/>
            <w:noWrap/>
            <w:hideMark/>
          </w:tcPr>
          <w:p w14:paraId="5255DF5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$10,040,330,354 </w:t>
            </w:r>
          </w:p>
        </w:tc>
        <w:tc>
          <w:tcPr>
            <w:tcW w:w="1620" w:type="dxa"/>
            <w:noWrap/>
            <w:hideMark/>
          </w:tcPr>
          <w:p w14:paraId="4367104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362,715,863</w:t>
            </w:r>
          </w:p>
        </w:tc>
        <w:tc>
          <w:tcPr>
            <w:tcW w:w="1740" w:type="dxa"/>
            <w:hideMark/>
          </w:tcPr>
          <w:p w14:paraId="63E8930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$11,230,569,735</w:t>
            </w:r>
          </w:p>
        </w:tc>
        <w:tc>
          <w:tcPr>
            <w:tcW w:w="1656" w:type="dxa"/>
            <w:noWrap/>
            <w:hideMark/>
          </w:tcPr>
          <w:p w14:paraId="6C5CD9C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$2,704,000,000 </w:t>
            </w:r>
          </w:p>
        </w:tc>
        <w:tc>
          <w:tcPr>
            <w:tcW w:w="1704" w:type="dxa"/>
            <w:hideMark/>
          </w:tcPr>
          <w:p w14:paraId="411B21D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$13,934,569,735 </w:t>
            </w:r>
          </w:p>
        </w:tc>
        <w:tc>
          <w:tcPr>
            <w:tcW w:w="269" w:type="dxa"/>
            <w:shd w:val="clear" w:color="auto" w:fill="A6A6A6" w:themeFill="background1" w:themeFillShade="A6"/>
            <w:hideMark/>
          </w:tcPr>
          <w:p w14:paraId="48ED6B9A"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5745C58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71,824</w:t>
            </w:r>
          </w:p>
        </w:tc>
      </w:tr>
      <w:tr w:rsidR="00F340B9" w:rsidRPr="00925FE5" w14:paraId="37225CFA" w14:textId="77777777" w:rsidTr="002A503F">
        <w:trPr>
          <w:trHeight w:val="19"/>
        </w:trPr>
        <w:tc>
          <w:tcPr>
            <w:tcW w:w="1440" w:type="dxa"/>
          </w:tcPr>
          <w:p w14:paraId="521B9C4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Vietnam</w:t>
            </w:r>
          </w:p>
        </w:tc>
        <w:tc>
          <w:tcPr>
            <w:tcW w:w="1698" w:type="dxa"/>
            <w:noWrap/>
          </w:tcPr>
          <w:p w14:paraId="0847DFD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$1,533,295,494 </w:t>
            </w:r>
          </w:p>
        </w:tc>
        <w:tc>
          <w:tcPr>
            <w:tcW w:w="1614" w:type="dxa"/>
            <w:noWrap/>
          </w:tcPr>
          <w:p w14:paraId="4863C30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$12,001,125 </w:t>
            </w:r>
          </w:p>
        </w:tc>
        <w:tc>
          <w:tcPr>
            <w:tcW w:w="1728" w:type="dxa"/>
            <w:noWrap/>
          </w:tcPr>
          <w:p w14:paraId="363CCD2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$5,224,690,169 </w:t>
            </w:r>
          </w:p>
        </w:tc>
        <w:tc>
          <w:tcPr>
            <w:tcW w:w="1620" w:type="dxa"/>
            <w:noWrap/>
          </w:tcPr>
          <w:p w14:paraId="559788E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$317,537,250 </w:t>
            </w:r>
          </w:p>
        </w:tc>
        <w:tc>
          <w:tcPr>
            <w:tcW w:w="1740" w:type="dxa"/>
          </w:tcPr>
          <w:p w14:paraId="316B7B5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$7,087,524,038 </w:t>
            </w:r>
          </w:p>
        </w:tc>
        <w:tc>
          <w:tcPr>
            <w:tcW w:w="1656" w:type="dxa"/>
            <w:noWrap/>
          </w:tcPr>
          <w:p w14:paraId="0368147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$2,043,000,000 </w:t>
            </w:r>
          </w:p>
        </w:tc>
        <w:tc>
          <w:tcPr>
            <w:tcW w:w="1704" w:type="dxa"/>
          </w:tcPr>
          <w:p w14:paraId="4AE530B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$9,130,524,038 </w:t>
            </w:r>
          </w:p>
        </w:tc>
        <w:tc>
          <w:tcPr>
            <w:tcW w:w="269" w:type="dxa"/>
            <w:shd w:val="clear" w:color="auto" w:fill="A6A6A6" w:themeFill="background1" w:themeFillShade="A6"/>
          </w:tcPr>
          <w:p w14:paraId="558A5AAE"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37C5B7A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53,723</w:t>
            </w:r>
          </w:p>
        </w:tc>
      </w:tr>
      <w:tr w:rsidR="00F340B9" w:rsidRPr="00925FE5" w14:paraId="05F44862" w14:textId="77777777" w:rsidTr="002A503F">
        <w:trPr>
          <w:trHeight w:val="19"/>
        </w:trPr>
        <w:tc>
          <w:tcPr>
            <w:tcW w:w="1440" w:type="dxa"/>
            <w:shd w:val="clear" w:color="auto" w:fill="A6A6A6" w:themeFill="background1" w:themeFillShade="A6"/>
          </w:tcPr>
          <w:p w14:paraId="3C55B338" w14:textId="77777777" w:rsidR="00F340B9" w:rsidRPr="00925FE5" w:rsidRDefault="00F340B9" w:rsidP="00DF7A25">
            <w:pPr>
              <w:contextualSpacing/>
              <w:rPr>
                <w:rFonts w:ascii="Garamond" w:hAnsi="Garamond" w:cstheme="minorHAnsi"/>
                <w:i/>
                <w:sz w:val="20"/>
                <w:szCs w:val="20"/>
              </w:rPr>
            </w:pPr>
            <w:r w:rsidRPr="00925FE5">
              <w:rPr>
                <w:rFonts w:ascii="Garamond" w:hAnsi="Garamond" w:cstheme="minorHAnsi"/>
                <w:i/>
                <w:sz w:val="20"/>
                <w:szCs w:val="20"/>
              </w:rPr>
              <w:t>East Asia Region</w:t>
            </w:r>
          </w:p>
        </w:tc>
        <w:tc>
          <w:tcPr>
            <w:tcW w:w="1698" w:type="dxa"/>
            <w:shd w:val="clear" w:color="auto" w:fill="A6A6A6" w:themeFill="background1" w:themeFillShade="A6"/>
            <w:noWrap/>
          </w:tcPr>
          <w:p w14:paraId="3EC9415D" w14:textId="77777777" w:rsidR="00F340B9" w:rsidRPr="00925FE5" w:rsidRDefault="00F340B9" w:rsidP="00DF7A25">
            <w:pPr>
              <w:contextualSpacing/>
              <w:rPr>
                <w:rFonts w:ascii="Garamond" w:hAnsi="Garamond" w:cstheme="minorHAnsi"/>
                <w:sz w:val="20"/>
                <w:szCs w:val="20"/>
              </w:rPr>
            </w:pPr>
          </w:p>
        </w:tc>
        <w:tc>
          <w:tcPr>
            <w:tcW w:w="1614" w:type="dxa"/>
            <w:shd w:val="clear" w:color="auto" w:fill="A6A6A6" w:themeFill="background1" w:themeFillShade="A6"/>
            <w:noWrap/>
          </w:tcPr>
          <w:p w14:paraId="49DD5457" w14:textId="77777777" w:rsidR="00F340B9" w:rsidRPr="00925FE5" w:rsidRDefault="00F340B9" w:rsidP="00DF7A25">
            <w:pPr>
              <w:contextualSpacing/>
              <w:rPr>
                <w:rFonts w:ascii="Garamond" w:hAnsi="Garamond" w:cstheme="minorHAnsi"/>
                <w:sz w:val="20"/>
                <w:szCs w:val="20"/>
              </w:rPr>
            </w:pPr>
          </w:p>
        </w:tc>
        <w:tc>
          <w:tcPr>
            <w:tcW w:w="1728" w:type="dxa"/>
            <w:shd w:val="clear" w:color="auto" w:fill="A6A6A6" w:themeFill="background1" w:themeFillShade="A6"/>
            <w:noWrap/>
          </w:tcPr>
          <w:p w14:paraId="4AF9795A" w14:textId="77777777" w:rsidR="00F340B9" w:rsidRPr="00925FE5" w:rsidRDefault="00F340B9" w:rsidP="00DF7A25">
            <w:pPr>
              <w:contextualSpacing/>
              <w:rPr>
                <w:rFonts w:ascii="Garamond" w:hAnsi="Garamond" w:cstheme="minorHAnsi"/>
                <w:sz w:val="20"/>
                <w:szCs w:val="20"/>
              </w:rPr>
            </w:pPr>
          </w:p>
        </w:tc>
        <w:tc>
          <w:tcPr>
            <w:tcW w:w="1620" w:type="dxa"/>
            <w:shd w:val="clear" w:color="auto" w:fill="A6A6A6" w:themeFill="background1" w:themeFillShade="A6"/>
            <w:noWrap/>
          </w:tcPr>
          <w:p w14:paraId="5FB1532D" w14:textId="77777777" w:rsidR="00F340B9" w:rsidRPr="00925FE5" w:rsidRDefault="00F340B9" w:rsidP="00DF7A25">
            <w:pPr>
              <w:contextualSpacing/>
              <w:rPr>
                <w:rFonts w:ascii="Garamond" w:hAnsi="Garamond" w:cstheme="minorHAnsi"/>
                <w:sz w:val="20"/>
                <w:szCs w:val="20"/>
              </w:rPr>
            </w:pPr>
          </w:p>
        </w:tc>
        <w:tc>
          <w:tcPr>
            <w:tcW w:w="1740" w:type="dxa"/>
            <w:shd w:val="clear" w:color="auto" w:fill="A6A6A6" w:themeFill="background1" w:themeFillShade="A6"/>
          </w:tcPr>
          <w:p w14:paraId="30D0CB40" w14:textId="77777777" w:rsidR="00F340B9" w:rsidRPr="00925FE5" w:rsidRDefault="00F340B9" w:rsidP="00DF7A25">
            <w:pPr>
              <w:contextualSpacing/>
              <w:rPr>
                <w:rFonts w:ascii="Garamond" w:hAnsi="Garamond" w:cstheme="minorHAnsi"/>
                <w:sz w:val="20"/>
                <w:szCs w:val="20"/>
              </w:rPr>
            </w:pPr>
          </w:p>
        </w:tc>
        <w:tc>
          <w:tcPr>
            <w:tcW w:w="1656" w:type="dxa"/>
            <w:shd w:val="clear" w:color="auto" w:fill="A6A6A6" w:themeFill="background1" w:themeFillShade="A6"/>
            <w:noWrap/>
          </w:tcPr>
          <w:p w14:paraId="55123149" w14:textId="77777777" w:rsidR="00F340B9" w:rsidRPr="00925FE5" w:rsidRDefault="00F340B9" w:rsidP="00DF7A25">
            <w:pPr>
              <w:contextualSpacing/>
              <w:rPr>
                <w:rFonts w:ascii="Garamond" w:hAnsi="Garamond" w:cstheme="minorHAnsi"/>
                <w:sz w:val="20"/>
                <w:szCs w:val="20"/>
              </w:rPr>
            </w:pPr>
          </w:p>
        </w:tc>
        <w:tc>
          <w:tcPr>
            <w:tcW w:w="1704" w:type="dxa"/>
            <w:shd w:val="clear" w:color="auto" w:fill="A6A6A6" w:themeFill="background1" w:themeFillShade="A6"/>
          </w:tcPr>
          <w:p w14:paraId="35F9B1F6" w14:textId="77777777" w:rsidR="00F340B9" w:rsidRPr="00925FE5" w:rsidRDefault="00F340B9" w:rsidP="00DF7A25">
            <w:pPr>
              <w:contextualSpacing/>
              <w:rPr>
                <w:rFonts w:ascii="Garamond" w:hAnsi="Garamond" w:cstheme="minorHAnsi"/>
                <w:sz w:val="20"/>
                <w:szCs w:val="20"/>
              </w:rPr>
            </w:pPr>
          </w:p>
        </w:tc>
        <w:tc>
          <w:tcPr>
            <w:tcW w:w="269" w:type="dxa"/>
            <w:shd w:val="clear" w:color="auto" w:fill="A6A6A6" w:themeFill="background1" w:themeFillShade="A6"/>
          </w:tcPr>
          <w:p w14:paraId="472CE82F" w14:textId="77777777" w:rsidR="00F340B9" w:rsidRPr="00925FE5" w:rsidRDefault="00F340B9" w:rsidP="00DF7A25">
            <w:pPr>
              <w:contextualSpacing/>
              <w:rPr>
                <w:rFonts w:ascii="Garamond" w:hAnsi="Garamond" w:cstheme="minorHAnsi"/>
                <w:b/>
                <w:bCs/>
                <w:sz w:val="20"/>
                <w:szCs w:val="20"/>
              </w:rPr>
            </w:pPr>
          </w:p>
        </w:tc>
        <w:tc>
          <w:tcPr>
            <w:tcW w:w="1381" w:type="dxa"/>
            <w:shd w:val="clear" w:color="auto" w:fill="A6A6A6" w:themeFill="background1" w:themeFillShade="A6"/>
            <w:noWrap/>
          </w:tcPr>
          <w:p w14:paraId="20D4274C" w14:textId="77777777" w:rsidR="00F340B9" w:rsidRPr="00925FE5" w:rsidRDefault="00F340B9" w:rsidP="00DF7A25">
            <w:pPr>
              <w:contextualSpacing/>
              <w:rPr>
                <w:rFonts w:ascii="Garamond" w:hAnsi="Garamond" w:cstheme="minorHAnsi"/>
                <w:sz w:val="20"/>
                <w:szCs w:val="20"/>
              </w:rPr>
            </w:pPr>
          </w:p>
        </w:tc>
      </w:tr>
      <w:tr w:rsidR="00F340B9" w:rsidRPr="00925FE5" w14:paraId="688E512E" w14:textId="77777777" w:rsidTr="002A503F">
        <w:trPr>
          <w:trHeight w:val="19"/>
        </w:trPr>
        <w:tc>
          <w:tcPr>
            <w:tcW w:w="1440" w:type="dxa"/>
          </w:tcPr>
          <w:p w14:paraId="07898CC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China</w:t>
            </w:r>
          </w:p>
        </w:tc>
        <w:tc>
          <w:tcPr>
            <w:tcW w:w="1698" w:type="dxa"/>
            <w:noWrap/>
          </w:tcPr>
          <w:p w14:paraId="42EB6CF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$17,094,649,725 </w:t>
            </w:r>
          </w:p>
        </w:tc>
        <w:tc>
          <w:tcPr>
            <w:tcW w:w="1614" w:type="dxa"/>
            <w:noWrap/>
          </w:tcPr>
          <w:p w14:paraId="5CC0071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$2,165,870,801 </w:t>
            </w:r>
          </w:p>
        </w:tc>
        <w:tc>
          <w:tcPr>
            <w:tcW w:w="1728" w:type="dxa"/>
            <w:noWrap/>
          </w:tcPr>
          <w:p w14:paraId="4DDBC7A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$88,992,536,913 </w:t>
            </w:r>
          </w:p>
        </w:tc>
        <w:tc>
          <w:tcPr>
            <w:tcW w:w="1620" w:type="dxa"/>
            <w:noWrap/>
          </w:tcPr>
          <w:p w14:paraId="03873F8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$7,818,712,121 </w:t>
            </w:r>
          </w:p>
        </w:tc>
        <w:tc>
          <w:tcPr>
            <w:tcW w:w="1740" w:type="dxa"/>
          </w:tcPr>
          <w:p w14:paraId="769C695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$116,071,769,560 </w:t>
            </w:r>
          </w:p>
        </w:tc>
        <w:tc>
          <w:tcPr>
            <w:tcW w:w="1656" w:type="dxa"/>
            <w:noWrap/>
          </w:tcPr>
          <w:p w14:paraId="698320C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$48,444,000,000 </w:t>
            </w:r>
          </w:p>
        </w:tc>
        <w:tc>
          <w:tcPr>
            <w:tcW w:w="1704" w:type="dxa"/>
          </w:tcPr>
          <w:p w14:paraId="668C4B4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$164,515,769,560 </w:t>
            </w:r>
          </w:p>
        </w:tc>
        <w:tc>
          <w:tcPr>
            <w:tcW w:w="269" w:type="dxa"/>
            <w:shd w:val="clear" w:color="auto" w:fill="A6A6A6" w:themeFill="background1" w:themeFillShade="A6"/>
          </w:tcPr>
          <w:p w14:paraId="2F30C15B"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7C767C5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910,640</w:t>
            </w:r>
          </w:p>
        </w:tc>
      </w:tr>
      <w:tr w:rsidR="00F340B9" w:rsidRPr="00925FE5" w14:paraId="4E1E4942" w14:textId="77777777" w:rsidTr="002A503F">
        <w:trPr>
          <w:trHeight w:val="19"/>
        </w:trPr>
        <w:tc>
          <w:tcPr>
            <w:tcW w:w="1440" w:type="dxa"/>
            <w:shd w:val="clear" w:color="auto" w:fill="A6A6A6" w:themeFill="background1" w:themeFillShade="A6"/>
            <w:noWrap/>
          </w:tcPr>
          <w:p w14:paraId="36CD378A" w14:textId="77777777" w:rsidR="00F340B9" w:rsidRPr="00925FE5" w:rsidRDefault="00F340B9" w:rsidP="00DF7A25">
            <w:pPr>
              <w:contextualSpacing/>
              <w:rPr>
                <w:rFonts w:ascii="Garamond" w:hAnsi="Garamond" w:cstheme="minorHAnsi"/>
                <w:i/>
                <w:sz w:val="20"/>
                <w:szCs w:val="20"/>
              </w:rPr>
            </w:pPr>
            <w:r w:rsidRPr="00925FE5">
              <w:rPr>
                <w:rFonts w:ascii="Garamond" w:hAnsi="Garamond" w:cstheme="minorHAnsi"/>
                <w:i/>
                <w:sz w:val="20"/>
                <w:szCs w:val="20"/>
              </w:rPr>
              <w:t>African Region</w:t>
            </w:r>
          </w:p>
        </w:tc>
        <w:tc>
          <w:tcPr>
            <w:tcW w:w="1698" w:type="dxa"/>
            <w:shd w:val="clear" w:color="auto" w:fill="A6A6A6" w:themeFill="background1" w:themeFillShade="A6"/>
          </w:tcPr>
          <w:p w14:paraId="79D87D33" w14:textId="77777777" w:rsidR="00F340B9" w:rsidRPr="00925FE5" w:rsidRDefault="00F340B9" w:rsidP="00DF7A25">
            <w:pPr>
              <w:contextualSpacing/>
              <w:rPr>
                <w:rFonts w:ascii="Garamond" w:hAnsi="Garamond" w:cstheme="minorHAnsi"/>
                <w:sz w:val="20"/>
                <w:szCs w:val="20"/>
              </w:rPr>
            </w:pPr>
          </w:p>
        </w:tc>
        <w:tc>
          <w:tcPr>
            <w:tcW w:w="1614" w:type="dxa"/>
            <w:shd w:val="clear" w:color="auto" w:fill="A6A6A6" w:themeFill="background1" w:themeFillShade="A6"/>
            <w:noWrap/>
          </w:tcPr>
          <w:p w14:paraId="01480617" w14:textId="77777777" w:rsidR="00F340B9" w:rsidRPr="00925FE5" w:rsidRDefault="00F340B9" w:rsidP="00DF7A25">
            <w:pPr>
              <w:contextualSpacing/>
              <w:rPr>
                <w:rFonts w:ascii="Garamond" w:hAnsi="Garamond" w:cstheme="minorHAnsi"/>
                <w:sz w:val="20"/>
                <w:szCs w:val="20"/>
              </w:rPr>
            </w:pPr>
          </w:p>
        </w:tc>
        <w:tc>
          <w:tcPr>
            <w:tcW w:w="1728" w:type="dxa"/>
            <w:shd w:val="clear" w:color="auto" w:fill="A6A6A6" w:themeFill="background1" w:themeFillShade="A6"/>
            <w:noWrap/>
          </w:tcPr>
          <w:p w14:paraId="431E5DDF" w14:textId="77777777" w:rsidR="00F340B9" w:rsidRPr="00925FE5" w:rsidRDefault="00F340B9" w:rsidP="00DF7A25">
            <w:pPr>
              <w:contextualSpacing/>
              <w:rPr>
                <w:rFonts w:ascii="Garamond" w:hAnsi="Garamond" w:cstheme="minorHAnsi"/>
                <w:sz w:val="20"/>
                <w:szCs w:val="20"/>
              </w:rPr>
            </w:pPr>
          </w:p>
        </w:tc>
        <w:tc>
          <w:tcPr>
            <w:tcW w:w="1620" w:type="dxa"/>
            <w:shd w:val="clear" w:color="auto" w:fill="A6A6A6" w:themeFill="background1" w:themeFillShade="A6"/>
            <w:noWrap/>
          </w:tcPr>
          <w:p w14:paraId="7F0412B8" w14:textId="77777777" w:rsidR="00F340B9" w:rsidRPr="00925FE5" w:rsidRDefault="00F340B9" w:rsidP="00DF7A25">
            <w:pPr>
              <w:contextualSpacing/>
              <w:rPr>
                <w:rFonts w:ascii="Garamond" w:hAnsi="Garamond" w:cstheme="minorHAnsi"/>
                <w:sz w:val="20"/>
                <w:szCs w:val="20"/>
              </w:rPr>
            </w:pPr>
          </w:p>
        </w:tc>
        <w:tc>
          <w:tcPr>
            <w:tcW w:w="1740" w:type="dxa"/>
            <w:shd w:val="clear" w:color="auto" w:fill="A6A6A6" w:themeFill="background1" w:themeFillShade="A6"/>
          </w:tcPr>
          <w:p w14:paraId="5A4F18EC" w14:textId="77777777" w:rsidR="00F340B9" w:rsidRPr="00925FE5" w:rsidRDefault="00F340B9" w:rsidP="00DF7A25">
            <w:pPr>
              <w:contextualSpacing/>
              <w:rPr>
                <w:rFonts w:ascii="Garamond" w:hAnsi="Garamond" w:cstheme="minorHAnsi"/>
                <w:sz w:val="20"/>
                <w:szCs w:val="20"/>
              </w:rPr>
            </w:pPr>
          </w:p>
        </w:tc>
        <w:tc>
          <w:tcPr>
            <w:tcW w:w="1656" w:type="dxa"/>
            <w:shd w:val="clear" w:color="auto" w:fill="A6A6A6" w:themeFill="background1" w:themeFillShade="A6"/>
          </w:tcPr>
          <w:p w14:paraId="277C0E25" w14:textId="77777777" w:rsidR="00F340B9" w:rsidRPr="00925FE5" w:rsidRDefault="00F340B9" w:rsidP="00DF7A25">
            <w:pPr>
              <w:contextualSpacing/>
              <w:rPr>
                <w:rFonts w:ascii="Garamond" w:hAnsi="Garamond" w:cstheme="minorHAnsi"/>
                <w:b/>
                <w:bCs/>
                <w:sz w:val="20"/>
                <w:szCs w:val="20"/>
              </w:rPr>
            </w:pPr>
          </w:p>
        </w:tc>
        <w:tc>
          <w:tcPr>
            <w:tcW w:w="1704" w:type="dxa"/>
            <w:shd w:val="clear" w:color="auto" w:fill="A6A6A6" w:themeFill="background1" w:themeFillShade="A6"/>
          </w:tcPr>
          <w:p w14:paraId="5D37774F" w14:textId="77777777" w:rsidR="00F340B9" w:rsidRPr="00925FE5" w:rsidRDefault="00F340B9" w:rsidP="00DF7A25">
            <w:pPr>
              <w:contextualSpacing/>
              <w:rPr>
                <w:rFonts w:ascii="Garamond" w:hAnsi="Garamond" w:cstheme="minorHAnsi"/>
                <w:sz w:val="20"/>
                <w:szCs w:val="20"/>
              </w:rPr>
            </w:pPr>
          </w:p>
        </w:tc>
        <w:tc>
          <w:tcPr>
            <w:tcW w:w="269" w:type="dxa"/>
            <w:shd w:val="clear" w:color="auto" w:fill="A6A6A6" w:themeFill="background1" w:themeFillShade="A6"/>
          </w:tcPr>
          <w:p w14:paraId="33E8F1AF" w14:textId="77777777" w:rsidR="00F340B9" w:rsidRPr="00925FE5" w:rsidRDefault="00F340B9" w:rsidP="00DF7A25">
            <w:pPr>
              <w:contextualSpacing/>
              <w:rPr>
                <w:rFonts w:ascii="Garamond" w:hAnsi="Garamond" w:cstheme="minorHAnsi"/>
                <w:b/>
                <w:bCs/>
                <w:sz w:val="20"/>
                <w:szCs w:val="20"/>
              </w:rPr>
            </w:pPr>
          </w:p>
        </w:tc>
        <w:tc>
          <w:tcPr>
            <w:tcW w:w="1381" w:type="dxa"/>
            <w:shd w:val="clear" w:color="auto" w:fill="A6A6A6" w:themeFill="background1" w:themeFillShade="A6"/>
            <w:noWrap/>
          </w:tcPr>
          <w:p w14:paraId="0A8C9434" w14:textId="77777777" w:rsidR="00F340B9" w:rsidRPr="00925FE5" w:rsidRDefault="00F340B9" w:rsidP="00DF7A25">
            <w:pPr>
              <w:contextualSpacing/>
              <w:rPr>
                <w:rFonts w:ascii="Garamond" w:hAnsi="Garamond" w:cstheme="minorHAnsi"/>
                <w:sz w:val="20"/>
                <w:szCs w:val="20"/>
              </w:rPr>
            </w:pPr>
          </w:p>
        </w:tc>
      </w:tr>
      <w:tr w:rsidR="00F340B9" w:rsidRPr="00925FE5" w14:paraId="07A2F155" w14:textId="77777777" w:rsidTr="002A503F">
        <w:trPr>
          <w:trHeight w:val="19"/>
        </w:trPr>
        <w:tc>
          <w:tcPr>
            <w:tcW w:w="1440" w:type="dxa"/>
            <w:hideMark/>
          </w:tcPr>
          <w:p w14:paraId="7AED55E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Burkina Faso</w:t>
            </w:r>
          </w:p>
        </w:tc>
        <w:tc>
          <w:tcPr>
            <w:tcW w:w="1698" w:type="dxa"/>
            <w:noWrap/>
            <w:hideMark/>
          </w:tcPr>
          <w:p w14:paraId="7E061C9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$1,241,358 </w:t>
            </w:r>
          </w:p>
        </w:tc>
        <w:tc>
          <w:tcPr>
            <w:tcW w:w="1614" w:type="dxa"/>
            <w:noWrap/>
            <w:hideMark/>
          </w:tcPr>
          <w:p w14:paraId="4B84CA2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N/A</w:t>
            </w:r>
          </w:p>
        </w:tc>
        <w:tc>
          <w:tcPr>
            <w:tcW w:w="1728" w:type="dxa"/>
            <w:noWrap/>
            <w:hideMark/>
          </w:tcPr>
          <w:p w14:paraId="404C955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$48,715,331 </w:t>
            </w:r>
          </w:p>
        </w:tc>
        <w:tc>
          <w:tcPr>
            <w:tcW w:w="1620" w:type="dxa"/>
            <w:noWrap/>
            <w:hideMark/>
          </w:tcPr>
          <w:p w14:paraId="5509C32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$3,918,654 </w:t>
            </w:r>
          </w:p>
        </w:tc>
        <w:tc>
          <w:tcPr>
            <w:tcW w:w="1740" w:type="dxa"/>
            <w:hideMark/>
          </w:tcPr>
          <w:p w14:paraId="7291ABBA" w14:textId="5F8DE269"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53,875,343 </w:t>
            </w:r>
          </w:p>
        </w:tc>
        <w:tc>
          <w:tcPr>
            <w:tcW w:w="1656" w:type="dxa"/>
            <w:noWrap/>
            <w:hideMark/>
          </w:tcPr>
          <w:p w14:paraId="5975ED9D" w14:textId="675AB93C"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1C29815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$53,875,343 </w:t>
            </w:r>
          </w:p>
        </w:tc>
        <w:tc>
          <w:tcPr>
            <w:tcW w:w="269" w:type="dxa"/>
            <w:shd w:val="clear" w:color="auto" w:fill="A6A6A6" w:themeFill="background1" w:themeFillShade="A6"/>
            <w:hideMark/>
          </w:tcPr>
          <w:p w14:paraId="7F54CB1C"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7300FAD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282</w:t>
            </w:r>
          </w:p>
        </w:tc>
      </w:tr>
      <w:tr w:rsidR="00F340B9" w:rsidRPr="00925FE5" w14:paraId="003D1A12" w14:textId="77777777" w:rsidTr="002A503F">
        <w:trPr>
          <w:trHeight w:val="19"/>
        </w:trPr>
        <w:tc>
          <w:tcPr>
            <w:tcW w:w="1440" w:type="dxa"/>
            <w:hideMark/>
          </w:tcPr>
          <w:p w14:paraId="1110EF6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Cameroon</w:t>
            </w:r>
          </w:p>
        </w:tc>
        <w:tc>
          <w:tcPr>
            <w:tcW w:w="1698" w:type="dxa"/>
            <w:noWrap/>
            <w:hideMark/>
          </w:tcPr>
          <w:p w14:paraId="51BDB5C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$9,529,159 </w:t>
            </w:r>
          </w:p>
        </w:tc>
        <w:tc>
          <w:tcPr>
            <w:tcW w:w="1614" w:type="dxa"/>
            <w:noWrap/>
            <w:hideMark/>
          </w:tcPr>
          <w:p w14:paraId="75F3B8A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$1,312,048 </w:t>
            </w:r>
          </w:p>
        </w:tc>
        <w:tc>
          <w:tcPr>
            <w:tcW w:w="1728" w:type="dxa"/>
            <w:noWrap/>
            <w:hideMark/>
          </w:tcPr>
          <w:p w14:paraId="220000A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$199,686,609 </w:t>
            </w:r>
          </w:p>
        </w:tc>
        <w:tc>
          <w:tcPr>
            <w:tcW w:w="1620" w:type="dxa"/>
            <w:noWrap/>
            <w:hideMark/>
          </w:tcPr>
          <w:p w14:paraId="7526488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$14,433,882 </w:t>
            </w:r>
          </w:p>
        </w:tc>
        <w:tc>
          <w:tcPr>
            <w:tcW w:w="1740" w:type="dxa"/>
            <w:hideMark/>
          </w:tcPr>
          <w:p w14:paraId="58B8796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$224,961,698 </w:t>
            </w:r>
          </w:p>
        </w:tc>
        <w:tc>
          <w:tcPr>
            <w:tcW w:w="1656" w:type="dxa"/>
            <w:noWrap/>
            <w:hideMark/>
          </w:tcPr>
          <w:p w14:paraId="3815ED56" w14:textId="1E812C2F"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3C3EC75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$224,961,698 </w:t>
            </w:r>
          </w:p>
        </w:tc>
        <w:tc>
          <w:tcPr>
            <w:tcW w:w="269" w:type="dxa"/>
            <w:shd w:val="clear" w:color="auto" w:fill="A6A6A6" w:themeFill="background1" w:themeFillShade="A6"/>
            <w:hideMark/>
          </w:tcPr>
          <w:p w14:paraId="4F716EC7"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4DB3A7E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1,230</w:t>
            </w:r>
          </w:p>
        </w:tc>
      </w:tr>
      <w:tr w:rsidR="00F340B9" w:rsidRPr="00925FE5" w14:paraId="67E95F82" w14:textId="77777777" w:rsidTr="002A503F">
        <w:trPr>
          <w:trHeight w:val="19"/>
        </w:trPr>
        <w:tc>
          <w:tcPr>
            <w:tcW w:w="1440" w:type="dxa"/>
            <w:hideMark/>
          </w:tcPr>
          <w:p w14:paraId="431DCD2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Cote d'Ivoire</w:t>
            </w:r>
          </w:p>
        </w:tc>
        <w:tc>
          <w:tcPr>
            <w:tcW w:w="1698" w:type="dxa"/>
            <w:noWrap/>
            <w:hideMark/>
          </w:tcPr>
          <w:p w14:paraId="695415E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$507,653 </w:t>
            </w:r>
          </w:p>
        </w:tc>
        <w:tc>
          <w:tcPr>
            <w:tcW w:w="1614" w:type="dxa"/>
            <w:noWrap/>
            <w:hideMark/>
          </w:tcPr>
          <w:p w14:paraId="59D8304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$14,561,824 </w:t>
            </w:r>
          </w:p>
        </w:tc>
        <w:tc>
          <w:tcPr>
            <w:tcW w:w="1728" w:type="dxa"/>
            <w:noWrap/>
            <w:hideMark/>
          </w:tcPr>
          <w:p w14:paraId="55C00D7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$236,972,781 </w:t>
            </w:r>
          </w:p>
        </w:tc>
        <w:tc>
          <w:tcPr>
            <w:tcW w:w="1620" w:type="dxa"/>
            <w:noWrap/>
            <w:hideMark/>
          </w:tcPr>
          <w:p w14:paraId="43D0B47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$14,293,311 </w:t>
            </w:r>
          </w:p>
        </w:tc>
        <w:tc>
          <w:tcPr>
            <w:tcW w:w="1740" w:type="dxa"/>
            <w:hideMark/>
          </w:tcPr>
          <w:p w14:paraId="38A8223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$266,335,569 </w:t>
            </w:r>
          </w:p>
        </w:tc>
        <w:tc>
          <w:tcPr>
            <w:tcW w:w="1656" w:type="dxa"/>
            <w:noWrap/>
            <w:hideMark/>
          </w:tcPr>
          <w:p w14:paraId="25351117" w14:textId="5C88C470"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7FDD5DE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$266,335,569 </w:t>
            </w:r>
          </w:p>
        </w:tc>
        <w:tc>
          <w:tcPr>
            <w:tcW w:w="269" w:type="dxa"/>
            <w:vMerge w:val="restart"/>
            <w:shd w:val="clear" w:color="auto" w:fill="A6A6A6" w:themeFill="background1" w:themeFillShade="A6"/>
            <w:hideMark/>
          </w:tcPr>
          <w:p w14:paraId="6A68F3E9"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57620F1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1,266</w:t>
            </w:r>
          </w:p>
        </w:tc>
      </w:tr>
      <w:tr w:rsidR="00F340B9" w:rsidRPr="00925FE5" w14:paraId="5A7CF9F0" w14:textId="77777777" w:rsidTr="002A503F">
        <w:trPr>
          <w:trHeight w:val="19"/>
        </w:trPr>
        <w:tc>
          <w:tcPr>
            <w:tcW w:w="1440" w:type="dxa"/>
            <w:hideMark/>
          </w:tcPr>
          <w:p w14:paraId="7F01F7F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Democratic Republic of the Congo</w:t>
            </w:r>
          </w:p>
        </w:tc>
        <w:tc>
          <w:tcPr>
            <w:tcW w:w="1698" w:type="dxa"/>
            <w:noWrap/>
            <w:hideMark/>
          </w:tcPr>
          <w:p w14:paraId="09935EC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$127,081 </w:t>
            </w:r>
          </w:p>
        </w:tc>
        <w:tc>
          <w:tcPr>
            <w:tcW w:w="1614" w:type="dxa"/>
            <w:noWrap/>
            <w:hideMark/>
          </w:tcPr>
          <w:p w14:paraId="75A6F4A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$39,794 </w:t>
            </w:r>
          </w:p>
        </w:tc>
        <w:tc>
          <w:tcPr>
            <w:tcW w:w="1728" w:type="dxa"/>
            <w:noWrap/>
            <w:hideMark/>
          </w:tcPr>
          <w:p w14:paraId="2104325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$116,791,599 </w:t>
            </w:r>
          </w:p>
        </w:tc>
        <w:tc>
          <w:tcPr>
            <w:tcW w:w="1620" w:type="dxa"/>
            <w:noWrap/>
            <w:hideMark/>
          </w:tcPr>
          <w:p w14:paraId="390AEEE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$19,230,900 </w:t>
            </w:r>
          </w:p>
        </w:tc>
        <w:tc>
          <w:tcPr>
            <w:tcW w:w="1740" w:type="dxa"/>
            <w:hideMark/>
          </w:tcPr>
          <w:p w14:paraId="737C8EA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$136,189,374 </w:t>
            </w:r>
          </w:p>
        </w:tc>
        <w:tc>
          <w:tcPr>
            <w:tcW w:w="1656" w:type="dxa"/>
            <w:noWrap/>
            <w:hideMark/>
          </w:tcPr>
          <w:p w14:paraId="0C78877D" w14:textId="05E4F3D4"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06F2878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$136,189,374 </w:t>
            </w:r>
          </w:p>
        </w:tc>
        <w:tc>
          <w:tcPr>
            <w:tcW w:w="269" w:type="dxa"/>
            <w:vMerge/>
            <w:shd w:val="clear" w:color="auto" w:fill="A6A6A6" w:themeFill="background1" w:themeFillShade="A6"/>
            <w:hideMark/>
          </w:tcPr>
          <w:p w14:paraId="2145F39A"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139F1F3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650</w:t>
            </w:r>
          </w:p>
        </w:tc>
      </w:tr>
      <w:tr w:rsidR="00F340B9" w:rsidRPr="00925FE5" w14:paraId="52967279" w14:textId="77777777" w:rsidTr="002A503F">
        <w:trPr>
          <w:trHeight w:val="19"/>
        </w:trPr>
        <w:tc>
          <w:tcPr>
            <w:tcW w:w="1440" w:type="dxa"/>
            <w:hideMark/>
          </w:tcPr>
          <w:p w14:paraId="078D432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Ethiopia</w:t>
            </w:r>
          </w:p>
        </w:tc>
        <w:tc>
          <w:tcPr>
            <w:tcW w:w="1698" w:type="dxa"/>
            <w:noWrap/>
            <w:hideMark/>
          </w:tcPr>
          <w:p w14:paraId="5157112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$84,400,609 </w:t>
            </w:r>
          </w:p>
        </w:tc>
        <w:tc>
          <w:tcPr>
            <w:tcW w:w="1614" w:type="dxa"/>
            <w:noWrap/>
            <w:hideMark/>
          </w:tcPr>
          <w:p w14:paraId="1438FB8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$77,069 </w:t>
            </w:r>
          </w:p>
        </w:tc>
        <w:tc>
          <w:tcPr>
            <w:tcW w:w="1728" w:type="dxa"/>
            <w:noWrap/>
            <w:hideMark/>
          </w:tcPr>
          <w:p w14:paraId="69162A0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$1,442,582,182 </w:t>
            </w:r>
          </w:p>
        </w:tc>
        <w:tc>
          <w:tcPr>
            <w:tcW w:w="1620" w:type="dxa"/>
            <w:noWrap/>
            <w:hideMark/>
          </w:tcPr>
          <w:p w14:paraId="1257536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$28,189,516 </w:t>
            </w:r>
          </w:p>
        </w:tc>
        <w:tc>
          <w:tcPr>
            <w:tcW w:w="1740" w:type="dxa"/>
            <w:hideMark/>
          </w:tcPr>
          <w:p w14:paraId="3B26FF0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$1,555,249,376 </w:t>
            </w:r>
          </w:p>
        </w:tc>
        <w:tc>
          <w:tcPr>
            <w:tcW w:w="1656" w:type="dxa"/>
            <w:noWrap/>
            <w:hideMark/>
          </w:tcPr>
          <w:p w14:paraId="6213090F" w14:textId="3B6AB826"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0F4F69E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$1,555,249,376 </w:t>
            </w:r>
          </w:p>
        </w:tc>
        <w:tc>
          <w:tcPr>
            <w:tcW w:w="269" w:type="dxa"/>
            <w:shd w:val="clear" w:color="auto" w:fill="A6A6A6" w:themeFill="background1" w:themeFillShade="A6"/>
            <w:hideMark/>
          </w:tcPr>
          <w:p w14:paraId="749E9A82"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039A540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7,763</w:t>
            </w:r>
          </w:p>
        </w:tc>
      </w:tr>
      <w:tr w:rsidR="00F340B9" w:rsidRPr="00925FE5" w14:paraId="09B33C52" w14:textId="77777777" w:rsidTr="002A503F">
        <w:trPr>
          <w:trHeight w:val="19"/>
        </w:trPr>
        <w:tc>
          <w:tcPr>
            <w:tcW w:w="1440" w:type="dxa"/>
            <w:hideMark/>
          </w:tcPr>
          <w:p w14:paraId="70B2754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Ghana</w:t>
            </w:r>
          </w:p>
        </w:tc>
        <w:tc>
          <w:tcPr>
            <w:tcW w:w="1698" w:type="dxa"/>
            <w:noWrap/>
            <w:hideMark/>
          </w:tcPr>
          <w:p w14:paraId="094B1A0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$20,085,212 </w:t>
            </w:r>
          </w:p>
        </w:tc>
        <w:tc>
          <w:tcPr>
            <w:tcW w:w="1614" w:type="dxa"/>
            <w:noWrap/>
            <w:hideMark/>
          </w:tcPr>
          <w:p w14:paraId="2131B57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$38,225,023 </w:t>
            </w:r>
          </w:p>
        </w:tc>
        <w:tc>
          <w:tcPr>
            <w:tcW w:w="1728" w:type="dxa"/>
            <w:noWrap/>
            <w:hideMark/>
          </w:tcPr>
          <w:p w14:paraId="0B0C526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$741,602,561 </w:t>
            </w:r>
          </w:p>
        </w:tc>
        <w:tc>
          <w:tcPr>
            <w:tcW w:w="1620" w:type="dxa"/>
            <w:noWrap/>
            <w:hideMark/>
          </w:tcPr>
          <w:p w14:paraId="72C30D8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$150,001,167 </w:t>
            </w:r>
          </w:p>
        </w:tc>
        <w:tc>
          <w:tcPr>
            <w:tcW w:w="1740" w:type="dxa"/>
            <w:hideMark/>
          </w:tcPr>
          <w:p w14:paraId="3FEA6CB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$949,913,963 </w:t>
            </w:r>
          </w:p>
        </w:tc>
        <w:tc>
          <w:tcPr>
            <w:tcW w:w="1656" w:type="dxa"/>
            <w:noWrap/>
            <w:hideMark/>
          </w:tcPr>
          <w:p w14:paraId="1F58F0A9" w14:textId="0827631F"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321550D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$949,913,963 </w:t>
            </w:r>
          </w:p>
        </w:tc>
        <w:tc>
          <w:tcPr>
            <w:tcW w:w="269" w:type="dxa"/>
            <w:shd w:val="clear" w:color="auto" w:fill="A6A6A6" w:themeFill="background1" w:themeFillShade="A6"/>
            <w:hideMark/>
          </w:tcPr>
          <w:p w14:paraId="76CC4DCE"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16D1CD0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4,642</w:t>
            </w:r>
          </w:p>
        </w:tc>
      </w:tr>
      <w:tr w:rsidR="00F340B9" w:rsidRPr="00925FE5" w14:paraId="2389419B" w14:textId="77777777" w:rsidTr="002A503F">
        <w:trPr>
          <w:trHeight w:val="19"/>
        </w:trPr>
        <w:tc>
          <w:tcPr>
            <w:tcW w:w="1440" w:type="dxa"/>
            <w:hideMark/>
          </w:tcPr>
          <w:p w14:paraId="3C1DC0C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Guinea</w:t>
            </w:r>
          </w:p>
        </w:tc>
        <w:tc>
          <w:tcPr>
            <w:tcW w:w="1698" w:type="dxa"/>
            <w:noWrap/>
            <w:hideMark/>
          </w:tcPr>
          <w:p w14:paraId="5C7A35F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$7,007 </w:t>
            </w:r>
          </w:p>
        </w:tc>
        <w:tc>
          <w:tcPr>
            <w:tcW w:w="1614" w:type="dxa"/>
            <w:noWrap/>
            <w:hideMark/>
          </w:tcPr>
          <w:p w14:paraId="5776099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$20,295 </w:t>
            </w:r>
          </w:p>
        </w:tc>
        <w:tc>
          <w:tcPr>
            <w:tcW w:w="1728" w:type="dxa"/>
            <w:noWrap/>
            <w:hideMark/>
          </w:tcPr>
          <w:p w14:paraId="665BE30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$110,000,785 </w:t>
            </w:r>
          </w:p>
        </w:tc>
        <w:tc>
          <w:tcPr>
            <w:tcW w:w="1620" w:type="dxa"/>
            <w:noWrap/>
            <w:hideMark/>
          </w:tcPr>
          <w:p w14:paraId="6E20EA8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$25,322,027 </w:t>
            </w:r>
          </w:p>
        </w:tc>
        <w:tc>
          <w:tcPr>
            <w:tcW w:w="1740" w:type="dxa"/>
            <w:hideMark/>
          </w:tcPr>
          <w:p w14:paraId="7FD1B08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$135,350,114 </w:t>
            </w:r>
          </w:p>
        </w:tc>
        <w:tc>
          <w:tcPr>
            <w:tcW w:w="1656" w:type="dxa"/>
            <w:noWrap/>
            <w:hideMark/>
          </w:tcPr>
          <w:p w14:paraId="2A6E1E82" w14:textId="6A126384"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5D95379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$135,350,114 </w:t>
            </w:r>
          </w:p>
        </w:tc>
        <w:tc>
          <w:tcPr>
            <w:tcW w:w="269" w:type="dxa"/>
            <w:shd w:val="clear" w:color="auto" w:fill="A6A6A6" w:themeFill="background1" w:themeFillShade="A6"/>
            <w:hideMark/>
          </w:tcPr>
          <w:p w14:paraId="408392CC"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12A3734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731</w:t>
            </w:r>
          </w:p>
        </w:tc>
      </w:tr>
      <w:tr w:rsidR="00F340B9" w:rsidRPr="00925FE5" w14:paraId="79E42AD6" w14:textId="77777777" w:rsidTr="002A503F">
        <w:trPr>
          <w:trHeight w:val="19"/>
        </w:trPr>
        <w:tc>
          <w:tcPr>
            <w:tcW w:w="1440" w:type="dxa"/>
            <w:hideMark/>
          </w:tcPr>
          <w:p w14:paraId="63A6AB9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Kenya</w:t>
            </w:r>
          </w:p>
        </w:tc>
        <w:tc>
          <w:tcPr>
            <w:tcW w:w="1698" w:type="dxa"/>
            <w:noWrap/>
            <w:hideMark/>
          </w:tcPr>
          <w:p w14:paraId="0C121A0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$41,466,699 </w:t>
            </w:r>
          </w:p>
        </w:tc>
        <w:tc>
          <w:tcPr>
            <w:tcW w:w="1614" w:type="dxa"/>
            <w:noWrap/>
            <w:hideMark/>
          </w:tcPr>
          <w:p w14:paraId="2D7E15C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$10,558,569 </w:t>
            </w:r>
          </w:p>
        </w:tc>
        <w:tc>
          <w:tcPr>
            <w:tcW w:w="1728" w:type="dxa"/>
            <w:noWrap/>
            <w:hideMark/>
          </w:tcPr>
          <w:p w14:paraId="5917325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$845,070,323 </w:t>
            </w:r>
          </w:p>
        </w:tc>
        <w:tc>
          <w:tcPr>
            <w:tcW w:w="1620" w:type="dxa"/>
            <w:noWrap/>
            <w:hideMark/>
          </w:tcPr>
          <w:p w14:paraId="69F2F76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$46,341,066 </w:t>
            </w:r>
          </w:p>
        </w:tc>
        <w:tc>
          <w:tcPr>
            <w:tcW w:w="1740" w:type="dxa"/>
            <w:hideMark/>
          </w:tcPr>
          <w:p w14:paraId="290A861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$943,436,657 </w:t>
            </w:r>
          </w:p>
        </w:tc>
        <w:tc>
          <w:tcPr>
            <w:tcW w:w="1656" w:type="dxa"/>
            <w:noWrap/>
            <w:hideMark/>
          </w:tcPr>
          <w:p w14:paraId="13C7A988" w14:textId="5E80B530"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6DBF733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$943,436,657 </w:t>
            </w:r>
          </w:p>
        </w:tc>
        <w:tc>
          <w:tcPr>
            <w:tcW w:w="269" w:type="dxa"/>
            <w:shd w:val="clear" w:color="auto" w:fill="A6A6A6" w:themeFill="background1" w:themeFillShade="A6"/>
            <w:hideMark/>
          </w:tcPr>
          <w:p w14:paraId="64B3D048"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614A492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4,649</w:t>
            </w:r>
          </w:p>
        </w:tc>
      </w:tr>
      <w:tr w:rsidR="00F340B9" w:rsidRPr="00925FE5" w14:paraId="2EE1FE9D" w14:textId="77777777" w:rsidTr="002A503F">
        <w:trPr>
          <w:trHeight w:val="19"/>
        </w:trPr>
        <w:tc>
          <w:tcPr>
            <w:tcW w:w="1440" w:type="dxa"/>
            <w:hideMark/>
          </w:tcPr>
          <w:p w14:paraId="414C484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Liberia</w:t>
            </w:r>
          </w:p>
        </w:tc>
        <w:tc>
          <w:tcPr>
            <w:tcW w:w="1698" w:type="dxa"/>
            <w:noWrap/>
            <w:hideMark/>
          </w:tcPr>
          <w:p w14:paraId="267CD0D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$10,511,989 </w:t>
            </w:r>
          </w:p>
        </w:tc>
        <w:tc>
          <w:tcPr>
            <w:tcW w:w="1614" w:type="dxa"/>
            <w:noWrap/>
            <w:hideMark/>
          </w:tcPr>
          <w:p w14:paraId="1D6478D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$4,667 </w:t>
            </w:r>
          </w:p>
        </w:tc>
        <w:tc>
          <w:tcPr>
            <w:tcW w:w="1728" w:type="dxa"/>
            <w:noWrap/>
            <w:hideMark/>
          </w:tcPr>
          <w:p w14:paraId="327B799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$91,358,341 </w:t>
            </w:r>
          </w:p>
        </w:tc>
        <w:tc>
          <w:tcPr>
            <w:tcW w:w="1620" w:type="dxa"/>
            <w:noWrap/>
            <w:hideMark/>
          </w:tcPr>
          <w:p w14:paraId="45F447E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$33,932,554 </w:t>
            </w:r>
          </w:p>
        </w:tc>
        <w:tc>
          <w:tcPr>
            <w:tcW w:w="1740" w:type="dxa"/>
            <w:hideMark/>
          </w:tcPr>
          <w:p w14:paraId="4777760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$135,807,551 </w:t>
            </w:r>
          </w:p>
        </w:tc>
        <w:tc>
          <w:tcPr>
            <w:tcW w:w="1656" w:type="dxa"/>
            <w:noWrap/>
            <w:hideMark/>
          </w:tcPr>
          <w:p w14:paraId="4CF705B0" w14:textId="0AB3E468"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3BA21E6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$135,807,551 </w:t>
            </w:r>
          </w:p>
        </w:tc>
        <w:tc>
          <w:tcPr>
            <w:tcW w:w="269" w:type="dxa"/>
            <w:shd w:val="clear" w:color="auto" w:fill="A6A6A6" w:themeFill="background1" w:themeFillShade="A6"/>
            <w:hideMark/>
          </w:tcPr>
          <w:p w14:paraId="55756415"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138D4D7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692</w:t>
            </w:r>
          </w:p>
        </w:tc>
      </w:tr>
      <w:tr w:rsidR="00F340B9" w:rsidRPr="00925FE5" w14:paraId="6F3AF565" w14:textId="77777777" w:rsidTr="002A503F">
        <w:trPr>
          <w:trHeight w:val="19"/>
        </w:trPr>
        <w:tc>
          <w:tcPr>
            <w:tcW w:w="1440" w:type="dxa"/>
            <w:hideMark/>
          </w:tcPr>
          <w:p w14:paraId="2EF196D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Mali</w:t>
            </w:r>
          </w:p>
        </w:tc>
        <w:tc>
          <w:tcPr>
            <w:tcW w:w="1698" w:type="dxa"/>
            <w:noWrap/>
            <w:hideMark/>
          </w:tcPr>
          <w:p w14:paraId="05348CB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$1,617,365 </w:t>
            </w:r>
          </w:p>
        </w:tc>
        <w:tc>
          <w:tcPr>
            <w:tcW w:w="1614" w:type="dxa"/>
            <w:noWrap/>
            <w:hideMark/>
          </w:tcPr>
          <w:p w14:paraId="4C076E2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N/A   </w:t>
            </w:r>
          </w:p>
        </w:tc>
        <w:tc>
          <w:tcPr>
            <w:tcW w:w="1728" w:type="dxa"/>
            <w:noWrap/>
            <w:hideMark/>
          </w:tcPr>
          <w:p w14:paraId="5419729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$66,199,854 </w:t>
            </w:r>
          </w:p>
        </w:tc>
        <w:tc>
          <w:tcPr>
            <w:tcW w:w="1620" w:type="dxa"/>
            <w:noWrap/>
            <w:hideMark/>
          </w:tcPr>
          <w:p w14:paraId="6F4DA29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$4,608,860 </w:t>
            </w:r>
          </w:p>
        </w:tc>
        <w:tc>
          <w:tcPr>
            <w:tcW w:w="1740" w:type="dxa"/>
            <w:hideMark/>
          </w:tcPr>
          <w:p w14:paraId="1064046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$ 72,426,079 </w:t>
            </w:r>
          </w:p>
        </w:tc>
        <w:tc>
          <w:tcPr>
            <w:tcW w:w="1656" w:type="dxa"/>
            <w:noWrap/>
            <w:hideMark/>
          </w:tcPr>
          <w:p w14:paraId="6809B311" w14:textId="324E27D3"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5727703C" w14:textId="4217DD42"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72,426,079 </w:t>
            </w:r>
          </w:p>
        </w:tc>
        <w:tc>
          <w:tcPr>
            <w:tcW w:w="269" w:type="dxa"/>
            <w:shd w:val="clear" w:color="auto" w:fill="A6A6A6" w:themeFill="background1" w:themeFillShade="A6"/>
            <w:hideMark/>
          </w:tcPr>
          <w:p w14:paraId="1F099E91"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4F14E25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359</w:t>
            </w:r>
          </w:p>
        </w:tc>
      </w:tr>
      <w:tr w:rsidR="00F340B9" w:rsidRPr="00925FE5" w14:paraId="4E9A470D" w14:textId="77777777" w:rsidTr="002A503F">
        <w:trPr>
          <w:trHeight w:val="19"/>
        </w:trPr>
        <w:tc>
          <w:tcPr>
            <w:tcW w:w="1440" w:type="dxa"/>
            <w:hideMark/>
          </w:tcPr>
          <w:p w14:paraId="43E517D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Mozambique</w:t>
            </w:r>
          </w:p>
        </w:tc>
        <w:tc>
          <w:tcPr>
            <w:tcW w:w="1698" w:type="dxa"/>
            <w:noWrap/>
            <w:hideMark/>
          </w:tcPr>
          <w:p w14:paraId="46D00ED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$1,728,440 </w:t>
            </w:r>
          </w:p>
        </w:tc>
        <w:tc>
          <w:tcPr>
            <w:tcW w:w="1614" w:type="dxa"/>
            <w:noWrap/>
            <w:hideMark/>
          </w:tcPr>
          <w:p w14:paraId="36D5F40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$151,182 </w:t>
            </w:r>
          </w:p>
        </w:tc>
        <w:tc>
          <w:tcPr>
            <w:tcW w:w="1728" w:type="dxa"/>
            <w:noWrap/>
            <w:hideMark/>
          </w:tcPr>
          <w:p w14:paraId="48FF3A3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$251,858,373 </w:t>
            </w:r>
          </w:p>
        </w:tc>
        <w:tc>
          <w:tcPr>
            <w:tcW w:w="1620" w:type="dxa"/>
            <w:noWrap/>
            <w:hideMark/>
          </w:tcPr>
          <w:p w14:paraId="0268EDA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$10,466,000 </w:t>
            </w:r>
          </w:p>
        </w:tc>
        <w:tc>
          <w:tcPr>
            <w:tcW w:w="1740" w:type="dxa"/>
            <w:hideMark/>
          </w:tcPr>
          <w:p w14:paraId="0E71F6D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$264,203,995 </w:t>
            </w:r>
          </w:p>
        </w:tc>
        <w:tc>
          <w:tcPr>
            <w:tcW w:w="1656" w:type="dxa"/>
            <w:noWrap/>
            <w:hideMark/>
          </w:tcPr>
          <w:p w14:paraId="4516468E" w14:textId="7B5A8C69"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029DA0E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$264,203,995 </w:t>
            </w:r>
          </w:p>
        </w:tc>
        <w:tc>
          <w:tcPr>
            <w:tcW w:w="269" w:type="dxa"/>
            <w:shd w:val="clear" w:color="auto" w:fill="A6A6A6" w:themeFill="background1" w:themeFillShade="A6"/>
            <w:hideMark/>
          </w:tcPr>
          <w:p w14:paraId="7431DC22"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37D702F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1,316</w:t>
            </w:r>
          </w:p>
        </w:tc>
      </w:tr>
      <w:tr w:rsidR="00F340B9" w:rsidRPr="00925FE5" w14:paraId="4AF7DE7F" w14:textId="77777777" w:rsidTr="002A503F">
        <w:trPr>
          <w:trHeight w:val="19"/>
        </w:trPr>
        <w:tc>
          <w:tcPr>
            <w:tcW w:w="1440" w:type="dxa"/>
            <w:hideMark/>
          </w:tcPr>
          <w:p w14:paraId="0FA49ED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Rwanda</w:t>
            </w:r>
          </w:p>
        </w:tc>
        <w:tc>
          <w:tcPr>
            <w:tcW w:w="1698" w:type="dxa"/>
            <w:noWrap/>
            <w:hideMark/>
          </w:tcPr>
          <w:p w14:paraId="396E1471" w14:textId="77777777" w:rsidR="00F340B9" w:rsidRPr="00925FE5" w:rsidRDefault="00F340B9" w:rsidP="00DF7A25">
            <w:pPr>
              <w:contextualSpacing/>
              <w:jc w:val="both"/>
              <w:rPr>
                <w:rFonts w:ascii="Garamond" w:hAnsi="Garamond" w:cstheme="minorHAnsi"/>
                <w:sz w:val="20"/>
                <w:szCs w:val="20"/>
              </w:rPr>
            </w:pPr>
            <w:r w:rsidRPr="00925FE5">
              <w:rPr>
                <w:rFonts w:ascii="Garamond" w:hAnsi="Garamond" w:cstheme="minorHAnsi"/>
                <w:sz w:val="20"/>
                <w:szCs w:val="20"/>
              </w:rPr>
              <w:t xml:space="preserve">N/A    </w:t>
            </w:r>
          </w:p>
        </w:tc>
        <w:tc>
          <w:tcPr>
            <w:tcW w:w="1614" w:type="dxa"/>
            <w:noWrap/>
            <w:hideMark/>
          </w:tcPr>
          <w:p w14:paraId="4F12FC5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$3,000 </w:t>
            </w:r>
          </w:p>
        </w:tc>
        <w:tc>
          <w:tcPr>
            <w:tcW w:w="1728" w:type="dxa"/>
            <w:noWrap/>
            <w:hideMark/>
          </w:tcPr>
          <w:p w14:paraId="2667151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$10,787,196 </w:t>
            </w:r>
          </w:p>
        </w:tc>
        <w:tc>
          <w:tcPr>
            <w:tcW w:w="1620" w:type="dxa"/>
            <w:noWrap/>
            <w:hideMark/>
          </w:tcPr>
          <w:p w14:paraId="5BA0960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$3,497,514 </w:t>
            </w:r>
          </w:p>
        </w:tc>
        <w:tc>
          <w:tcPr>
            <w:tcW w:w="1740" w:type="dxa"/>
            <w:hideMark/>
          </w:tcPr>
          <w:p w14:paraId="3AA95F3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$ 14,287,710 </w:t>
            </w:r>
          </w:p>
        </w:tc>
        <w:tc>
          <w:tcPr>
            <w:tcW w:w="1656" w:type="dxa"/>
            <w:noWrap/>
            <w:hideMark/>
          </w:tcPr>
          <w:p w14:paraId="0EB7A44B" w14:textId="5BC9924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362691C3" w14:textId="5BB45292"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14,287,710 </w:t>
            </w:r>
          </w:p>
        </w:tc>
        <w:tc>
          <w:tcPr>
            <w:tcW w:w="269" w:type="dxa"/>
            <w:shd w:val="clear" w:color="auto" w:fill="A6A6A6" w:themeFill="background1" w:themeFillShade="A6"/>
            <w:hideMark/>
          </w:tcPr>
          <w:p w14:paraId="00B2A861"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60F2501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59</w:t>
            </w:r>
          </w:p>
        </w:tc>
      </w:tr>
      <w:tr w:rsidR="00F340B9" w:rsidRPr="00925FE5" w14:paraId="04DE1140" w14:textId="77777777" w:rsidTr="002A503F">
        <w:trPr>
          <w:trHeight w:val="19"/>
        </w:trPr>
        <w:tc>
          <w:tcPr>
            <w:tcW w:w="1440" w:type="dxa"/>
            <w:hideMark/>
          </w:tcPr>
          <w:p w14:paraId="221F866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Senegal</w:t>
            </w:r>
          </w:p>
        </w:tc>
        <w:tc>
          <w:tcPr>
            <w:tcW w:w="1698" w:type="dxa"/>
            <w:noWrap/>
            <w:hideMark/>
          </w:tcPr>
          <w:p w14:paraId="2E73F63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$918,485 </w:t>
            </w:r>
          </w:p>
        </w:tc>
        <w:tc>
          <w:tcPr>
            <w:tcW w:w="1614" w:type="dxa"/>
            <w:noWrap/>
            <w:hideMark/>
          </w:tcPr>
          <w:p w14:paraId="31B9327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$4,686,163 </w:t>
            </w:r>
          </w:p>
        </w:tc>
        <w:tc>
          <w:tcPr>
            <w:tcW w:w="1728" w:type="dxa"/>
            <w:noWrap/>
            <w:hideMark/>
          </w:tcPr>
          <w:p w14:paraId="28D19F3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$166,952,834 </w:t>
            </w:r>
          </w:p>
        </w:tc>
        <w:tc>
          <w:tcPr>
            <w:tcW w:w="1620" w:type="dxa"/>
            <w:noWrap/>
            <w:hideMark/>
          </w:tcPr>
          <w:p w14:paraId="0CD63D0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$23,870,929 </w:t>
            </w:r>
          </w:p>
        </w:tc>
        <w:tc>
          <w:tcPr>
            <w:tcW w:w="1740" w:type="dxa"/>
            <w:hideMark/>
          </w:tcPr>
          <w:p w14:paraId="11F0F26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$196,428,411 </w:t>
            </w:r>
          </w:p>
        </w:tc>
        <w:tc>
          <w:tcPr>
            <w:tcW w:w="1656" w:type="dxa"/>
            <w:noWrap/>
            <w:hideMark/>
          </w:tcPr>
          <w:p w14:paraId="6390AC6A" w14:textId="5EFD8AA1"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40334B8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$196,428,411 </w:t>
            </w:r>
          </w:p>
        </w:tc>
        <w:tc>
          <w:tcPr>
            <w:tcW w:w="269" w:type="dxa"/>
            <w:vMerge w:val="restart"/>
            <w:shd w:val="clear" w:color="auto" w:fill="A6A6A6" w:themeFill="background1" w:themeFillShade="A6"/>
            <w:hideMark/>
          </w:tcPr>
          <w:p w14:paraId="0AE55EE6"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1C7663C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900</w:t>
            </w:r>
          </w:p>
        </w:tc>
      </w:tr>
      <w:tr w:rsidR="00F340B9" w:rsidRPr="00925FE5" w14:paraId="001598B3" w14:textId="77777777" w:rsidTr="002A503F">
        <w:trPr>
          <w:trHeight w:val="19"/>
        </w:trPr>
        <w:tc>
          <w:tcPr>
            <w:tcW w:w="1440" w:type="dxa"/>
            <w:hideMark/>
          </w:tcPr>
          <w:p w14:paraId="56487CD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Sierra Leone</w:t>
            </w:r>
          </w:p>
        </w:tc>
        <w:tc>
          <w:tcPr>
            <w:tcW w:w="1698" w:type="dxa"/>
            <w:noWrap/>
            <w:hideMark/>
          </w:tcPr>
          <w:p w14:paraId="35E9637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$235,376 </w:t>
            </w:r>
          </w:p>
        </w:tc>
        <w:tc>
          <w:tcPr>
            <w:tcW w:w="1614" w:type="dxa"/>
            <w:noWrap/>
            <w:hideMark/>
          </w:tcPr>
          <w:p w14:paraId="5599007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 N/A      </w:t>
            </w:r>
          </w:p>
        </w:tc>
        <w:tc>
          <w:tcPr>
            <w:tcW w:w="1728" w:type="dxa"/>
            <w:noWrap/>
            <w:hideMark/>
          </w:tcPr>
          <w:p w14:paraId="69B4300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$52,625,652 </w:t>
            </w:r>
          </w:p>
        </w:tc>
        <w:tc>
          <w:tcPr>
            <w:tcW w:w="1620" w:type="dxa"/>
            <w:noWrap/>
            <w:hideMark/>
          </w:tcPr>
          <w:p w14:paraId="40A318A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$24,464,696 </w:t>
            </w:r>
          </w:p>
        </w:tc>
        <w:tc>
          <w:tcPr>
            <w:tcW w:w="1740" w:type="dxa"/>
            <w:hideMark/>
          </w:tcPr>
          <w:p w14:paraId="4BF529D6" w14:textId="032486C9"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77,325,724 </w:t>
            </w:r>
          </w:p>
        </w:tc>
        <w:tc>
          <w:tcPr>
            <w:tcW w:w="1656" w:type="dxa"/>
            <w:noWrap/>
            <w:hideMark/>
          </w:tcPr>
          <w:p w14:paraId="1752E3EA" w14:textId="3FBC1E5A"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61FE546F" w14:textId="48E35C6E"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77,325,724 </w:t>
            </w:r>
          </w:p>
        </w:tc>
        <w:tc>
          <w:tcPr>
            <w:tcW w:w="269" w:type="dxa"/>
            <w:vMerge/>
            <w:shd w:val="clear" w:color="auto" w:fill="A6A6A6" w:themeFill="background1" w:themeFillShade="A6"/>
            <w:hideMark/>
          </w:tcPr>
          <w:p w14:paraId="74FA0AA6"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37778AD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352</w:t>
            </w:r>
          </w:p>
        </w:tc>
      </w:tr>
      <w:tr w:rsidR="00F340B9" w:rsidRPr="00925FE5" w14:paraId="06EC3886" w14:textId="77777777" w:rsidTr="002A503F">
        <w:trPr>
          <w:trHeight w:val="19"/>
        </w:trPr>
        <w:tc>
          <w:tcPr>
            <w:tcW w:w="1440" w:type="dxa"/>
            <w:hideMark/>
          </w:tcPr>
          <w:p w14:paraId="578FA88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South Africa</w:t>
            </w:r>
          </w:p>
        </w:tc>
        <w:tc>
          <w:tcPr>
            <w:tcW w:w="1698" w:type="dxa"/>
            <w:noWrap/>
            <w:hideMark/>
          </w:tcPr>
          <w:p w14:paraId="3D41F26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$75,749,114 </w:t>
            </w:r>
          </w:p>
        </w:tc>
        <w:tc>
          <w:tcPr>
            <w:tcW w:w="1614" w:type="dxa"/>
            <w:noWrap/>
            <w:hideMark/>
          </w:tcPr>
          <w:p w14:paraId="25FE38D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$87,860,780 </w:t>
            </w:r>
          </w:p>
        </w:tc>
        <w:tc>
          <w:tcPr>
            <w:tcW w:w="1728" w:type="dxa"/>
            <w:noWrap/>
            <w:hideMark/>
          </w:tcPr>
          <w:p w14:paraId="24D7192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$5,046,141,616 </w:t>
            </w:r>
          </w:p>
        </w:tc>
        <w:tc>
          <w:tcPr>
            <w:tcW w:w="1620" w:type="dxa"/>
            <w:noWrap/>
            <w:hideMark/>
          </w:tcPr>
          <w:p w14:paraId="6AED85F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$248,542,110 </w:t>
            </w:r>
          </w:p>
        </w:tc>
        <w:tc>
          <w:tcPr>
            <w:tcW w:w="1740" w:type="dxa"/>
            <w:hideMark/>
          </w:tcPr>
          <w:p w14:paraId="353A7FB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$5,458,293,620 </w:t>
            </w:r>
          </w:p>
        </w:tc>
        <w:tc>
          <w:tcPr>
            <w:tcW w:w="1656" w:type="dxa"/>
            <w:hideMark/>
          </w:tcPr>
          <w:p w14:paraId="2043A2D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$3,184,000,000 </w:t>
            </w:r>
          </w:p>
        </w:tc>
        <w:tc>
          <w:tcPr>
            <w:tcW w:w="1704" w:type="dxa"/>
            <w:hideMark/>
          </w:tcPr>
          <w:p w14:paraId="5DCA235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$8,642,293,620 </w:t>
            </w:r>
          </w:p>
        </w:tc>
        <w:tc>
          <w:tcPr>
            <w:tcW w:w="269" w:type="dxa"/>
            <w:shd w:val="clear" w:color="auto" w:fill="A6A6A6" w:themeFill="background1" w:themeFillShade="A6"/>
            <w:hideMark/>
          </w:tcPr>
          <w:p w14:paraId="2EBB6ECB"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67962A9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46,400</w:t>
            </w:r>
          </w:p>
        </w:tc>
      </w:tr>
      <w:tr w:rsidR="00F340B9" w:rsidRPr="00925FE5" w14:paraId="165401A3" w14:textId="77777777" w:rsidTr="002A503F">
        <w:trPr>
          <w:trHeight w:val="19"/>
        </w:trPr>
        <w:tc>
          <w:tcPr>
            <w:tcW w:w="1440" w:type="dxa"/>
            <w:hideMark/>
          </w:tcPr>
          <w:p w14:paraId="2F412E7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Tanzania</w:t>
            </w:r>
          </w:p>
        </w:tc>
        <w:tc>
          <w:tcPr>
            <w:tcW w:w="1698" w:type="dxa"/>
            <w:noWrap/>
            <w:hideMark/>
          </w:tcPr>
          <w:p w14:paraId="72A0778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$9,376,570 </w:t>
            </w:r>
          </w:p>
        </w:tc>
        <w:tc>
          <w:tcPr>
            <w:tcW w:w="1614" w:type="dxa"/>
            <w:noWrap/>
            <w:hideMark/>
          </w:tcPr>
          <w:p w14:paraId="1115556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$453,271 </w:t>
            </w:r>
          </w:p>
        </w:tc>
        <w:tc>
          <w:tcPr>
            <w:tcW w:w="1728" w:type="dxa"/>
            <w:noWrap/>
            <w:hideMark/>
          </w:tcPr>
          <w:p w14:paraId="7A79F31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$130,853,496 </w:t>
            </w:r>
          </w:p>
        </w:tc>
        <w:tc>
          <w:tcPr>
            <w:tcW w:w="1620" w:type="dxa"/>
            <w:noWrap/>
            <w:hideMark/>
          </w:tcPr>
          <w:p w14:paraId="337056D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$32,119,717 </w:t>
            </w:r>
          </w:p>
        </w:tc>
        <w:tc>
          <w:tcPr>
            <w:tcW w:w="1740" w:type="dxa"/>
            <w:hideMark/>
          </w:tcPr>
          <w:p w14:paraId="77C0055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$172,803,054 </w:t>
            </w:r>
          </w:p>
        </w:tc>
        <w:tc>
          <w:tcPr>
            <w:tcW w:w="1656" w:type="dxa"/>
            <w:noWrap/>
            <w:hideMark/>
          </w:tcPr>
          <w:p w14:paraId="1C98C966" w14:textId="2EE530B2"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2C7300E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$172,803,054 </w:t>
            </w:r>
          </w:p>
        </w:tc>
        <w:tc>
          <w:tcPr>
            <w:tcW w:w="269" w:type="dxa"/>
            <w:vMerge w:val="restart"/>
            <w:shd w:val="clear" w:color="auto" w:fill="A6A6A6" w:themeFill="background1" w:themeFillShade="A6"/>
            <w:hideMark/>
          </w:tcPr>
          <w:p w14:paraId="52F7911D"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7E86D98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913</w:t>
            </w:r>
          </w:p>
        </w:tc>
      </w:tr>
      <w:tr w:rsidR="00F340B9" w:rsidRPr="00925FE5" w14:paraId="5EDA3896" w14:textId="77777777" w:rsidTr="002A503F">
        <w:trPr>
          <w:trHeight w:val="19"/>
        </w:trPr>
        <w:tc>
          <w:tcPr>
            <w:tcW w:w="1440" w:type="dxa"/>
            <w:hideMark/>
          </w:tcPr>
          <w:p w14:paraId="2FCF8BC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Uganda</w:t>
            </w:r>
          </w:p>
        </w:tc>
        <w:tc>
          <w:tcPr>
            <w:tcW w:w="1698" w:type="dxa"/>
            <w:noWrap/>
            <w:hideMark/>
          </w:tcPr>
          <w:p w14:paraId="483228A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$951,758 </w:t>
            </w:r>
          </w:p>
        </w:tc>
        <w:tc>
          <w:tcPr>
            <w:tcW w:w="1614" w:type="dxa"/>
            <w:noWrap/>
            <w:hideMark/>
          </w:tcPr>
          <w:p w14:paraId="474EAD4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$7,871 </w:t>
            </w:r>
          </w:p>
        </w:tc>
        <w:tc>
          <w:tcPr>
            <w:tcW w:w="1728" w:type="dxa"/>
            <w:noWrap/>
            <w:hideMark/>
          </w:tcPr>
          <w:p w14:paraId="305ADE2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$77,464,677 </w:t>
            </w:r>
          </w:p>
        </w:tc>
        <w:tc>
          <w:tcPr>
            <w:tcW w:w="1620" w:type="dxa"/>
            <w:noWrap/>
            <w:hideMark/>
          </w:tcPr>
          <w:p w14:paraId="290A4C9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$9,874,983 </w:t>
            </w:r>
          </w:p>
        </w:tc>
        <w:tc>
          <w:tcPr>
            <w:tcW w:w="1740" w:type="dxa"/>
            <w:hideMark/>
          </w:tcPr>
          <w:p w14:paraId="0B28704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$88,299,289 </w:t>
            </w:r>
          </w:p>
        </w:tc>
        <w:tc>
          <w:tcPr>
            <w:tcW w:w="1656" w:type="dxa"/>
            <w:noWrap/>
            <w:hideMark/>
          </w:tcPr>
          <w:p w14:paraId="29683B92" w14:textId="2989F9E0"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1EC2197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$88,299,289 </w:t>
            </w:r>
          </w:p>
        </w:tc>
        <w:tc>
          <w:tcPr>
            <w:tcW w:w="269" w:type="dxa"/>
            <w:vMerge/>
            <w:shd w:val="clear" w:color="auto" w:fill="A6A6A6" w:themeFill="background1" w:themeFillShade="A6"/>
            <w:hideMark/>
          </w:tcPr>
          <w:p w14:paraId="1757EABC"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22D4F57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395</w:t>
            </w:r>
          </w:p>
        </w:tc>
      </w:tr>
      <w:tr w:rsidR="00F340B9" w:rsidRPr="00925FE5" w14:paraId="405F7598" w14:textId="77777777" w:rsidTr="002A503F">
        <w:trPr>
          <w:trHeight w:val="19"/>
        </w:trPr>
        <w:tc>
          <w:tcPr>
            <w:tcW w:w="1440" w:type="dxa"/>
            <w:shd w:val="clear" w:color="auto" w:fill="A6A6A6" w:themeFill="background1" w:themeFillShade="A6"/>
          </w:tcPr>
          <w:p w14:paraId="74B9C894" w14:textId="77777777" w:rsidR="00F340B9" w:rsidRPr="00925FE5" w:rsidRDefault="00F340B9" w:rsidP="00DF7A25">
            <w:pPr>
              <w:contextualSpacing/>
              <w:rPr>
                <w:rFonts w:ascii="Garamond" w:hAnsi="Garamond" w:cstheme="minorHAnsi"/>
                <w:i/>
                <w:sz w:val="20"/>
                <w:szCs w:val="20"/>
              </w:rPr>
            </w:pPr>
            <w:r w:rsidRPr="00925FE5">
              <w:rPr>
                <w:rFonts w:ascii="Garamond" w:hAnsi="Garamond" w:cstheme="minorHAnsi"/>
                <w:i/>
                <w:sz w:val="20"/>
                <w:szCs w:val="20"/>
              </w:rPr>
              <w:lastRenderedPageBreak/>
              <w:t>European Region</w:t>
            </w:r>
          </w:p>
        </w:tc>
        <w:tc>
          <w:tcPr>
            <w:tcW w:w="1698" w:type="dxa"/>
            <w:shd w:val="clear" w:color="auto" w:fill="A6A6A6" w:themeFill="background1" w:themeFillShade="A6"/>
            <w:noWrap/>
          </w:tcPr>
          <w:p w14:paraId="1650B9CC" w14:textId="77777777" w:rsidR="00F340B9" w:rsidRPr="00925FE5" w:rsidRDefault="00F340B9" w:rsidP="00DF7A25">
            <w:pPr>
              <w:contextualSpacing/>
              <w:rPr>
                <w:rFonts w:ascii="Garamond" w:hAnsi="Garamond" w:cstheme="minorHAnsi"/>
                <w:sz w:val="20"/>
                <w:szCs w:val="20"/>
              </w:rPr>
            </w:pPr>
          </w:p>
        </w:tc>
        <w:tc>
          <w:tcPr>
            <w:tcW w:w="1614" w:type="dxa"/>
            <w:shd w:val="clear" w:color="auto" w:fill="A6A6A6" w:themeFill="background1" w:themeFillShade="A6"/>
            <w:noWrap/>
          </w:tcPr>
          <w:p w14:paraId="31F48D78" w14:textId="77777777" w:rsidR="00F340B9" w:rsidRPr="00925FE5" w:rsidRDefault="00F340B9" w:rsidP="00DF7A25">
            <w:pPr>
              <w:contextualSpacing/>
              <w:rPr>
                <w:rFonts w:ascii="Garamond" w:hAnsi="Garamond" w:cstheme="minorHAnsi"/>
                <w:sz w:val="20"/>
                <w:szCs w:val="20"/>
              </w:rPr>
            </w:pPr>
          </w:p>
        </w:tc>
        <w:tc>
          <w:tcPr>
            <w:tcW w:w="1728" w:type="dxa"/>
            <w:shd w:val="clear" w:color="auto" w:fill="A6A6A6" w:themeFill="background1" w:themeFillShade="A6"/>
            <w:noWrap/>
          </w:tcPr>
          <w:p w14:paraId="0DE3FD94" w14:textId="77777777" w:rsidR="00F340B9" w:rsidRPr="00925FE5" w:rsidRDefault="00F340B9" w:rsidP="00DF7A25">
            <w:pPr>
              <w:contextualSpacing/>
              <w:rPr>
                <w:rFonts w:ascii="Garamond" w:hAnsi="Garamond" w:cstheme="minorHAnsi"/>
                <w:sz w:val="20"/>
                <w:szCs w:val="20"/>
              </w:rPr>
            </w:pPr>
          </w:p>
        </w:tc>
        <w:tc>
          <w:tcPr>
            <w:tcW w:w="1620" w:type="dxa"/>
            <w:shd w:val="clear" w:color="auto" w:fill="A6A6A6" w:themeFill="background1" w:themeFillShade="A6"/>
            <w:noWrap/>
          </w:tcPr>
          <w:p w14:paraId="7E83C717" w14:textId="77777777" w:rsidR="00F340B9" w:rsidRPr="00925FE5" w:rsidRDefault="00F340B9" w:rsidP="00DF7A25">
            <w:pPr>
              <w:contextualSpacing/>
              <w:rPr>
                <w:rFonts w:ascii="Garamond" w:hAnsi="Garamond" w:cstheme="minorHAnsi"/>
                <w:sz w:val="20"/>
                <w:szCs w:val="20"/>
              </w:rPr>
            </w:pPr>
          </w:p>
        </w:tc>
        <w:tc>
          <w:tcPr>
            <w:tcW w:w="1740" w:type="dxa"/>
            <w:shd w:val="clear" w:color="auto" w:fill="A6A6A6" w:themeFill="background1" w:themeFillShade="A6"/>
          </w:tcPr>
          <w:p w14:paraId="2079C3A1" w14:textId="77777777" w:rsidR="00F340B9" w:rsidRPr="00925FE5" w:rsidRDefault="00F340B9" w:rsidP="00DF7A25">
            <w:pPr>
              <w:contextualSpacing/>
              <w:rPr>
                <w:rFonts w:ascii="Garamond" w:hAnsi="Garamond" w:cstheme="minorHAnsi"/>
                <w:sz w:val="20"/>
                <w:szCs w:val="20"/>
              </w:rPr>
            </w:pPr>
          </w:p>
        </w:tc>
        <w:tc>
          <w:tcPr>
            <w:tcW w:w="1656" w:type="dxa"/>
            <w:shd w:val="clear" w:color="auto" w:fill="A6A6A6" w:themeFill="background1" w:themeFillShade="A6"/>
            <w:noWrap/>
          </w:tcPr>
          <w:p w14:paraId="7A52BE24" w14:textId="77777777" w:rsidR="00F340B9" w:rsidRPr="00925FE5" w:rsidRDefault="00F340B9" w:rsidP="00DF7A25">
            <w:pPr>
              <w:contextualSpacing/>
              <w:rPr>
                <w:rFonts w:ascii="Garamond" w:hAnsi="Garamond" w:cstheme="minorHAnsi"/>
                <w:sz w:val="20"/>
                <w:szCs w:val="20"/>
              </w:rPr>
            </w:pPr>
          </w:p>
        </w:tc>
        <w:tc>
          <w:tcPr>
            <w:tcW w:w="1704" w:type="dxa"/>
            <w:shd w:val="clear" w:color="auto" w:fill="A6A6A6" w:themeFill="background1" w:themeFillShade="A6"/>
          </w:tcPr>
          <w:p w14:paraId="5355764B" w14:textId="77777777" w:rsidR="00F340B9" w:rsidRPr="00925FE5" w:rsidRDefault="00F340B9" w:rsidP="00DF7A25">
            <w:pPr>
              <w:contextualSpacing/>
              <w:rPr>
                <w:rFonts w:ascii="Garamond" w:hAnsi="Garamond" w:cstheme="minorHAnsi"/>
                <w:sz w:val="20"/>
                <w:szCs w:val="20"/>
              </w:rPr>
            </w:pPr>
          </w:p>
        </w:tc>
        <w:tc>
          <w:tcPr>
            <w:tcW w:w="269" w:type="dxa"/>
            <w:vMerge/>
            <w:shd w:val="clear" w:color="auto" w:fill="A6A6A6" w:themeFill="background1" w:themeFillShade="A6"/>
          </w:tcPr>
          <w:p w14:paraId="10A807F8" w14:textId="77777777" w:rsidR="00F340B9" w:rsidRPr="00925FE5" w:rsidRDefault="00F340B9" w:rsidP="00DF7A25">
            <w:pPr>
              <w:contextualSpacing/>
              <w:rPr>
                <w:rFonts w:ascii="Garamond" w:hAnsi="Garamond" w:cstheme="minorHAnsi"/>
                <w:b/>
                <w:bCs/>
                <w:sz w:val="20"/>
                <w:szCs w:val="20"/>
              </w:rPr>
            </w:pPr>
          </w:p>
        </w:tc>
        <w:tc>
          <w:tcPr>
            <w:tcW w:w="1381" w:type="dxa"/>
            <w:shd w:val="clear" w:color="auto" w:fill="A6A6A6" w:themeFill="background1" w:themeFillShade="A6"/>
            <w:noWrap/>
          </w:tcPr>
          <w:p w14:paraId="19467E14" w14:textId="77777777" w:rsidR="00F340B9" w:rsidRPr="00925FE5" w:rsidRDefault="00F340B9" w:rsidP="00DF7A25">
            <w:pPr>
              <w:contextualSpacing/>
              <w:rPr>
                <w:rFonts w:ascii="Garamond" w:hAnsi="Garamond" w:cstheme="minorHAnsi"/>
                <w:sz w:val="20"/>
                <w:szCs w:val="20"/>
              </w:rPr>
            </w:pPr>
          </w:p>
        </w:tc>
      </w:tr>
      <w:tr w:rsidR="00F340B9" w:rsidRPr="00925FE5" w14:paraId="5361A887" w14:textId="77777777" w:rsidTr="002A503F">
        <w:trPr>
          <w:trHeight w:val="19"/>
        </w:trPr>
        <w:tc>
          <w:tcPr>
            <w:tcW w:w="1440" w:type="dxa"/>
          </w:tcPr>
          <w:p w14:paraId="292F2821" w14:textId="77777777" w:rsidR="00F340B9" w:rsidRPr="00925FE5" w:rsidRDefault="00F340B9" w:rsidP="00DF7A25">
            <w:pPr>
              <w:contextualSpacing/>
              <w:rPr>
                <w:rFonts w:ascii="Garamond" w:hAnsi="Garamond" w:cstheme="minorHAnsi"/>
                <w:i/>
                <w:sz w:val="20"/>
                <w:szCs w:val="20"/>
              </w:rPr>
            </w:pPr>
            <w:r w:rsidRPr="00925FE5">
              <w:rPr>
                <w:rFonts w:ascii="Garamond" w:hAnsi="Garamond" w:cstheme="minorHAnsi"/>
                <w:sz w:val="20"/>
                <w:szCs w:val="20"/>
              </w:rPr>
              <w:t>Georgia</w:t>
            </w:r>
          </w:p>
        </w:tc>
        <w:tc>
          <w:tcPr>
            <w:tcW w:w="1698" w:type="dxa"/>
            <w:noWrap/>
          </w:tcPr>
          <w:p w14:paraId="112340A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$6,216,551 </w:t>
            </w:r>
          </w:p>
        </w:tc>
        <w:tc>
          <w:tcPr>
            <w:tcW w:w="1614" w:type="dxa"/>
            <w:noWrap/>
          </w:tcPr>
          <w:p w14:paraId="1073DEC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$93,177 </w:t>
            </w:r>
          </w:p>
        </w:tc>
        <w:tc>
          <w:tcPr>
            <w:tcW w:w="1728" w:type="dxa"/>
            <w:noWrap/>
          </w:tcPr>
          <w:p w14:paraId="4836FE5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$260,960,237 </w:t>
            </w:r>
          </w:p>
        </w:tc>
        <w:tc>
          <w:tcPr>
            <w:tcW w:w="1620" w:type="dxa"/>
            <w:noWrap/>
          </w:tcPr>
          <w:p w14:paraId="00C74AD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$73,232,146 </w:t>
            </w:r>
          </w:p>
        </w:tc>
        <w:tc>
          <w:tcPr>
            <w:tcW w:w="1740" w:type="dxa"/>
          </w:tcPr>
          <w:p w14:paraId="788EAC4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$340,502,111 </w:t>
            </w:r>
          </w:p>
        </w:tc>
        <w:tc>
          <w:tcPr>
            <w:tcW w:w="1656" w:type="dxa"/>
            <w:noWrap/>
          </w:tcPr>
          <w:p w14:paraId="1475583A" w14:textId="2D43DEB8"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tcPr>
          <w:p w14:paraId="74C65BF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$340,502,111 </w:t>
            </w:r>
          </w:p>
        </w:tc>
        <w:tc>
          <w:tcPr>
            <w:tcW w:w="269" w:type="dxa"/>
            <w:vMerge/>
            <w:shd w:val="clear" w:color="auto" w:fill="A6A6A6" w:themeFill="background1" w:themeFillShade="A6"/>
          </w:tcPr>
          <w:p w14:paraId="78C23990"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4E2743D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1,808</w:t>
            </w:r>
          </w:p>
        </w:tc>
      </w:tr>
      <w:tr w:rsidR="00F340B9" w:rsidRPr="00925FE5" w14:paraId="09991D96" w14:textId="77777777" w:rsidTr="002A503F">
        <w:trPr>
          <w:trHeight w:val="19"/>
        </w:trPr>
        <w:tc>
          <w:tcPr>
            <w:tcW w:w="1440" w:type="dxa"/>
          </w:tcPr>
          <w:p w14:paraId="648B29B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Kazakhstan</w:t>
            </w:r>
          </w:p>
        </w:tc>
        <w:tc>
          <w:tcPr>
            <w:tcW w:w="1698" w:type="dxa"/>
            <w:noWrap/>
          </w:tcPr>
          <w:p w14:paraId="49CB65A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$2,752,687 </w:t>
            </w:r>
          </w:p>
        </w:tc>
        <w:tc>
          <w:tcPr>
            <w:tcW w:w="1614" w:type="dxa"/>
            <w:noWrap/>
          </w:tcPr>
          <w:p w14:paraId="1B07CFA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$1,561,962 </w:t>
            </w:r>
          </w:p>
        </w:tc>
        <w:tc>
          <w:tcPr>
            <w:tcW w:w="1728" w:type="dxa"/>
            <w:noWrap/>
          </w:tcPr>
          <w:p w14:paraId="15B4EEB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$491,411,827 </w:t>
            </w:r>
          </w:p>
        </w:tc>
        <w:tc>
          <w:tcPr>
            <w:tcW w:w="1620" w:type="dxa"/>
            <w:noWrap/>
          </w:tcPr>
          <w:p w14:paraId="5935AD4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$14,752,595 </w:t>
            </w:r>
          </w:p>
        </w:tc>
        <w:tc>
          <w:tcPr>
            <w:tcW w:w="1740" w:type="dxa"/>
          </w:tcPr>
          <w:p w14:paraId="7B465B3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$510,479,071 </w:t>
            </w:r>
          </w:p>
        </w:tc>
        <w:tc>
          <w:tcPr>
            <w:tcW w:w="1656" w:type="dxa"/>
            <w:noWrap/>
          </w:tcPr>
          <w:p w14:paraId="5526D4BA" w14:textId="1FC3F23E"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tcPr>
          <w:p w14:paraId="4DBBCBC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$510,479,071 </w:t>
            </w:r>
          </w:p>
        </w:tc>
        <w:tc>
          <w:tcPr>
            <w:tcW w:w="269" w:type="dxa"/>
            <w:vMerge/>
            <w:shd w:val="clear" w:color="auto" w:fill="A6A6A6" w:themeFill="background1" w:themeFillShade="A6"/>
          </w:tcPr>
          <w:p w14:paraId="38861DFD"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0C39345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2,912</w:t>
            </w:r>
          </w:p>
        </w:tc>
      </w:tr>
      <w:tr w:rsidR="00F340B9" w:rsidRPr="00925FE5" w14:paraId="339F657D" w14:textId="77777777" w:rsidTr="002A503F">
        <w:trPr>
          <w:trHeight w:val="19"/>
        </w:trPr>
        <w:tc>
          <w:tcPr>
            <w:tcW w:w="1440" w:type="dxa"/>
          </w:tcPr>
          <w:p w14:paraId="5210B74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Ukraine</w:t>
            </w:r>
          </w:p>
        </w:tc>
        <w:tc>
          <w:tcPr>
            <w:tcW w:w="1698" w:type="dxa"/>
            <w:noWrap/>
          </w:tcPr>
          <w:p w14:paraId="6653993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$58,210,931 </w:t>
            </w:r>
          </w:p>
        </w:tc>
        <w:tc>
          <w:tcPr>
            <w:tcW w:w="1614" w:type="dxa"/>
            <w:noWrap/>
          </w:tcPr>
          <w:p w14:paraId="302AF52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$284,969,728 </w:t>
            </w:r>
          </w:p>
        </w:tc>
        <w:tc>
          <w:tcPr>
            <w:tcW w:w="1728" w:type="dxa"/>
            <w:noWrap/>
          </w:tcPr>
          <w:p w14:paraId="7B0BCF4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$480,426,788 </w:t>
            </w:r>
          </w:p>
        </w:tc>
        <w:tc>
          <w:tcPr>
            <w:tcW w:w="1620" w:type="dxa"/>
            <w:noWrap/>
          </w:tcPr>
          <w:p w14:paraId="0F1AD4A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$38,480,901 </w:t>
            </w:r>
          </w:p>
        </w:tc>
        <w:tc>
          <w:tcPr>
            <w:tcW w:w="1740" w:type="dxa"/>
          </w:tcPr>
          <w:p w14:paraId="135C844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$862,088,348 </w:t>
            </w:r>
          </w:p>
        </w:tc>
        <w:tc>
          <w:tcPr>
            <w:tcW w:w="1656" w:type="dxa"/>
            <w:noWrap/>
          </w:tcPr>
          <w:p w14:paraId="5F4C46F4" w14:textId="3B30ED3F"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tcPr>
          <w:p w14:paraId="0C4AD55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$862,088,348 </w:t>
            </w:r>
          </w:p>
        </w:tc>
        <w:tc>
          <w:tcPr>
            <w:tcW w:w="269" w:type="dxa"/>
            <w:vMerge/>
            <w:shd w:val="clear" w:color="auto" w:fill="A6A6A6" w:themeFill="background1" w:themeFillShade="A6"/>
          </w:tcPr>
          <w:p w14:paraId="2DE6FDCA"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11A2F50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4,811</w:t>
            </w:r>
          </w:p>
        </w:tc>
      </w:tr>
      <w:tr w:rsidR="00F340B9" w:rsidRPr="00925FE5" w14:paraId="485CD265" w14:textId="77777777" w:rsidTr="002A503F">
        <w:trPr>
          <w:trHeight w:val="19"/>
        </w:trPr>
        <w:tc>
          <w:tcPr>
            <w:tcW w:w="1440" w:type="dxa"/>
            <w:shd w:val="clear" w:color="auto" w:fill="A6A6A6" w:themeFill="background1" w:themeFillShade="A6"/>
          </w:tcPr>
          <w:p w14:paraId="0505329F" w14:textId="77777777" w:rsidR="00F340B9" w:rsidRPr="00925FE5" w:rsidRDefault="00F340B9" w:rsidP="00DF7A25">
            <w:pPr>
              <w:contextualSpacing/>
              <w:rPr>
                <w:rFonts w:ascii="Garamond" w:hAnsi="Garamond" w:cstheme="minorHAnsi"/>
                <w:i/>
                <w:sz w:val="20"/>
                <w:szCs w:val="20"/>
              </w:rPr>
            </w:pPr>
            <w:r w:rsidRPr="00925FE5">
              <w:rPr>
                <w:rFonts w:ascii="Garamond" w:hAnsi="Garamond" w:cstheme="minorHAnsi"/>
                <w:i/>
                <w:sz w:val="20"/>
                <w:szCs w:val="20"/>
              </w:rPr>
              <w:t>Eastern Mediterranean Region</w:t>
            </w:r>
          </w:p>
        </w:tc>
        <w:tc>
          <w:tcPr>
            <w:tcW w:w="1698" w:type="dxa"/>
            <w:shd w:val="clear" w:color="auto" w:fill="A6A6A6" w:themeFill="background1" w:themeFillShade="A6"/>
            <w:noWrap/>
          </w:tcPr>
          <w:p w14:paraId="3373B8CE" w14:textId="77777777" w:rsidR="00F340B9" w:rsidRPr="00925FE5" w:rsidRDefault="00F340B9" w:rsidP="00DF7A25">
            <w:pPr>
              <w:contextualSpacing/>
              <w:rPr>
                <w:rFonts w:ascii="Garamond" w:hAnsi="Garamond" w:cstheme="minorHAnsi"/>
                <w:sz w:val="20"/>
                <w:szCs w:val="20"/>
              </w:rPr>
            </w:pPr>
          </w:p>
        </w:tc>
        <w:tc>
          <w:tcPr>
            <w:tcW w:w="1614" w:type="dxa"/>
            <w:shd w:val="clear" w:color="auto" w:fill="A6A6A6" w:themeFill="background1" w:themeFillShade="A6"/>
            <w:noWrap/>
          </w:tcPr>
          <w:p w14:paraId="798595C4" w14:textId="77777777" w:rsidR="00F340B9" w:rsidRPr="00925FE5" w:rsidRDefault="00F340B9" w:rsidP="00DF7A25">
            <w:pPr>
              <w:contextualSpacing/>
              <w:rPr>
                <w:rFonts w:ascii="Garamond" w:hAnsi="Garamond" w:cstheme="minorHAnsi"/>
                <w:sz w:val="20"/>
                <w:szCs w:val="20"/>
              </w:rPr>
            </w:pPr>
          </w:p>
        </w:tc>
        <w:tc>
          <w:tcPr>
            <w:tcW w:w="1728" w:type="dxa"/>
            <w:shd w:val="clear" w:color="auto" w:fill="A6A6A6" w:themeFill="background1" w:themeFillShade="A6"/>
            <w:noWrap/>
          </w:tcPr>
          <w:p w14:paraId="14CF85BA" w14:textId="77777777" w:rsidR="00F340B9" w:rsidRPr="00925FE5" w:rsidRDefault="00F340B9" w:rsidP="00DF7A25">
            <w:pPr>
              <w:contextualSpacing/>
              <w:rPr>
                <w:rFonts w:ascii="Garamond" w:hAnsi="Garamond" w:cstheme="minorHAnsi"/>
                <w:sz w:val="20"/>
                <w:szCs w:val="20"/>
              </w:rPr>
            </w:pPr>
          </w:p>
        </w:tc>
        <w:tc>
          <w:tcPr>
            <w:tcW w:w="1620" w:type="dxa"/>
            <w:shd w:val="clear" w:color="auto" w:fill="A6A6A6" w:themeFill="background1" w:themeFillShade="A6"/>
            <w:noWrap/>
          </w:tcPr>
          <w:p w14:paraId="7849FE6B" w14:textId="77777777" w:rsidR="00F340B9" w:rsidRPr="00925FE5" w:rsidRDefault="00F340B9" w:rsidP="00DF7A25">
            <w:pPr>
              <w:contextualSpacing/>
              <w:rPr>
                <w:rFonts w:ascii="Garamond" w:hAnsi="Garamond" w:cstheme="minorHAnsi"/>
                <w:sz w:val="20"/>
                <w:szCs w:val="20"/>
              </w:rPr>
            </w:pPr>
          </w:p>
        </w:tc>
        <w:tc>
          <w:tcPr>
            <w:tcW w:w="1740" w:type="dxa"/>
            <w:shd w:val="clear" w:color="auto" w:fill="A6A6A6" w:themeFill="background1" w:themeFillShade="A6"/>
          </w:tcPr>
          <w:p w14:paraId="49B24482" w14:textId="77777777" w:rsidR="00F340B9" w:rsidRPr="00925FE5" w:rsidRDefault="00F340B9" w:rsidP="00DF7A25">
            <w:pPr>
              <w:contextualSpacing/>
              <w:rPr>
                <w:rFonts w:ascii="Garamond" w:hAnsi="Garamond" w:cstheme="minorHAnsi"/>
                <w:sz w:val="20"/>
                <w:szCs w:val="20"/>
              </w:rPr>
            </w:pPr>
          </w:p>
        </w:tc>
        <w:tc>
          <w:tcPr>
            <w:tcW w:w="1656" w:type="dxa"/>
            <w:shd w:val="clear" w:color="auto" w:fill="A6A6A6" w:themeFill="background1" w:themeFillShade="A6"/>
            <w:noWrap/>
          </w:tcPr>
          <w:p w14:paraId="56FB0FF5" w14:textId="77777777" w:rsidR="00F340B9" w:rsidRPr="00925FE5" w:rsidRDefault="00F340B9" w:rsidP="00DF7A25">
            <w:pPr>
              <w:contextualSpacing/>
              <w:rPr>
                <w:rFonts w:ascii="Garamond" w:hAnsi="Garamond" w:cstheme="minorHAnsi"/>
                <w:sz w:val="20"/>
                <w:szCs w:val="20"/>
              </w:rPr>
            </w:pPr>
          </w:p>
        </w:tc>
        <w:tc>
          <w:tcPr>
            <w:tcW w:w="1704" w:type="dxa"/>
            <w:shd w:val="clear" w:color="auto" w:fill="A6A6A6" w:themeFill="background1" w:themeFillShade="A6"/>
          </w:tcPr>
          <w:p w14:paraId="78A016F2" w14:textId="77777777" w:rsidR="00F340B9" w:rsidRPr="00925FE5" w:rsidRDefault="00F340B9" w:rsidP="00DF7A25">
            <w:pPr>
              <w:contextualSpacing/>
              <w:rPr>
                <w:rFonts w:ascii="Garamond" w:hAnsi="Garamond" w:cstheme="minorHAnsi"/>
                <w:sz w:val="20"/>
                <w:szCs w:val="20"/>
              </w:rPr>
            </w:pPr>
          </w:p>
        </w:tc>
        <w:tc>
          <w:tcPr>
            <w:tcW w:w="269" w:type="dxa"/>
            <w:vMerge/>
            <w:shd w:val="clear" w:color="auto" w:fill="A6A6A6" w:themeFill="background1" w:themeFillShade="A6"/>
          </w:tcPr>
          <w:p w14:paraId="309D462A" w14:textId="77777777" w:rsidR="00F340B9" w:rsidRPr="00925FE5" w:rsidRDefault="00F340B9" w:rsidP="00DF7A25">
            <w:pPr>
              <w:contextualSpacing/>
              <w:rPr>
                <w:rFonts w:ascii="Garamond" w:hAnsi="Garamond" w:cstheme="minorHAnsi"/>
                <w:b/>
                <w:bCs/>
                <w:sz w:val="20"/>
                <w:szCs w:val="20"/>
              </w:rPr>
            </w:pPr>
          </w:p>
        </w:tc>
        <w:tc>
          <w:tcPr>
            <w:tcW w:w="1381" w:type="dxa"/>
            <w:shd w:val="clear" w:color="auto" w:fill="A6A6A6" w:themeFill="background1" w:themeFillShade="A6"/>
            <w:noWrap/>
          </w:tcPr>
          <w:p w14:paraId="1C9983AA" w14:textId="77777777" w:rsidR="00F340B9" w:rsidRPr="00925FE5" w:rsidRDefault="00F340B9" w:rsidP="00DF7A25">
            <w:pPr>
              <w:contextualSpacing/>
              <w:rPr>
                <w:rFonts w:ascii="Garamond" w:hAnsi="Garamond" w:cstheme="minorHAnsi"/>
                <w:sz w:val="20"/>
                <w:szCs w:val="20"/>
              </w:rPr>
            </w:pPr>
          </w:p>
        </w:tc>
      </w:tr>
      <w:tr w:rsidR="00F340B9" w:rsidRPr="00925FE5" w14:paraId="747C2CFC" w14:textId="77777777" w:rsidTr="002A503F">
        <w:trPr>
          <w:trHeight w:val="19"/>
        </w:trPr>
        <w:tc>
          <w:tcPr>
            <w:tcW w:w="1440" w:type="dxa"/>
          </w:tcPr>
          <w:p w14:paraId="2C004B07" w14:textId="77777777" w:rsidR="00F340B9" w:rsidRPr="00925FE5" w:rsidRDefault="00F340B9" w:rsidP="00DF7A25">
            <w:pPr>
              <w:contextualSpacing/>
              <w:rPr>
                <w:rFonts w:ascii="Garamond" w:hAnsi="Garamond" w:cstheme="minorHAnsi"/>
                <w:i/>
                <w:sz w:val="20"/>
                <w:szCs w:val="20"/>
              </w:rPr>
            </w:pPr>
            <w:r w:rsidRPr="00925FE5">
              <w:rPr>
                <w:rFonts w:ascii="Garamond" w:hAnsi="Garamond" w:cstheme="minorHAnsi"/>
                <w:sz w:val="20"/>
                <w:szCs w:val="20"/>
              </w:rPr>
              <w:t>Egypt</w:t>
            </w:r>
          </w:p>
        </w:tc>
        <w:tc>
          <w:tcPr>
            <w:tcW w:w="1698" w:type="dxa"/>
            <w:noWrap/>
          </w:tcPr>
          <w:p w14:paraId="224B195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$539,374,172 </w:t>
            </w:r>
          </w:p>
        </w:tc>
        <w:tc>
          <w:tcPr>
            <w:tcW w:w="1614" w:type="dxa"/>
            <w:noWrap/>
          </w:tcPr>
          <w:p w14:paraId="3617271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$103,372,436 </w:t>
            </w:r>
          </w:p>
        </w:tc>
        <w:tc>
          <w:tcPr>
            <w:tcW w:w="1728" w:type="dxa"/>
            <w:noWrap/>
          </w:tcPr>
          <w:p w14:paraId="3143A86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$3,988,118,551 </w:t>
            </w:r>
          </w:p>
        </w:tc>
        <w:tc>
          <w:tcPr>
            <w:tcW w:w="1620" w:type="dxa"/>
            <w:noWrap/>
          </w:tcPr>
          <w:p w14:paraId="0BA115D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$122,118,526 </w:t>
            </w:r>
          </w:p>
        </w:tc>
        <w:tc>
          <w:tcPr>
            <w:tcW w:w="1740" w:type="dxa"/>
          </w:tcPr>
          <w:p w14:paraId="3DD0CF4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$4,752,983,685 </w:t>
            </w:r>
          </w:p>
        </w:tc>
        <w:tc>
          <w:tcPr>
            <w:tcW w:w="1656" w:type="dxa"/>
            <w:noWrap/>
          </w:tcPr>
          <w:p w14:paraId="0EAD74CC" w14:textId="5F0A509E"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tcPr>
          <w:p w14:paraId="2F6675F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$4,752,983,685 </w:t>
            </w:r>
          </w:p>
        </w:tc>
        <w:tc>
          <w:tcPr>
            <w:tcW w:w="269" w:type="dxa"/>
            <w:vMerge/>
            <w:shd w:val="clear" w:color="auto" w:fill="A6A6A6" w:themeFill="background1" w:themeFillShade="A6"/>
          </w:tcPr>
          <w:p w14:paraId="08C7BBD4"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717D719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25,256</w:t>
            </w:r>
          </w:p>
        </w:tc>
      </w:tr>
      <w:tr w:rsidR="00F340B9" w:rsidRPr="00925FE5" w14:paraId="151CD529" w14:textId="77777777" w:rsidTr="002A503F">
        <w:trPr>
          <w:trHeight w:val="19"/>
        </w:trPr>
        <w:tc>
          <w:tcPr>
            <w:tcW w:w="1440" w:type="dxa"/>
          </w:tcPr>
          <w:p w14:paraId="5AD6AC1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Jordan</w:t>
            </w:r>
          </w:p>
        </w:tc>
        <w:tc>
          <w:tcPr>
            <w:tcW w:w="1698" w:type="dxa"/>
            <w:noWrap/>
          </w:tcPr>
          <w:p w14:paraId="7895DC6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$75,223,080 </w:t>
            </w:r>
          </w:p>
        </w:tc>
        <w:tc>
          <w:tcPr>
            <w:tcW w:w="1614" w:type="dxa"/>
            <w:noWrap/>
          </w:tcPr>
          <w:p w14:paraId="28345B2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$4,121,004 </w:t>
            </w:r>
          </w:p>
        </w:tc>
        <w:tc>
          <w:tcPr>
            <w:tcW w:w="1728" w:type="dxa"/>
            <w:noWrap/>
          </w:tcPr>
          <w:p w14:paraId="7B994F1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$936,166,206 </w:t>
            </w:r>
          </w:p>
        </w:tc>
        <w:tc>
          <w:tcPr>
            <w:tcW w:w="1620" w:type="dxa"/>
            <w:noWrap/>
          </w:tcPr>
          <w:p w14:paraId="437CFFF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$343,466,901 </w:t>
            </w:r>
          </w:p>
        </w:tc>
        <w:tc>
          <w:tcPr>
            <w:tcW w:w="1740" w:type="dxa"/>
          </w:tcPr>
          <w:p w14:paraId="2D74D7C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$1,358,977,191 </w:t>
            </w:r>
          </w:p>
        </w:tc>
        <w:tc>
          <w:tcPr>
            <w:tcW w:w="1656" w:type="dxa"/>
            <w:noWrap/>
          </w:tcPr>
          <w:p w14:paraId="76871C2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$710,000,000 </w:t>
            </w:r>
          </w:p>
        </w:tc>
        <w:tc>
          <w:tcPr>
            <w:tcW w:w="1704" w:type="dxa"/>
          </w:tcPr>
          <w:p w14:paraId="3850C23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$2,068,977,191 </w:t>
            </w:r>
          </w:p>
        </w:tc>
        <w:tc>
          <w:tcPr>
            <w:tcW w:w="269" w:type="dxa"/>
            <w:vMerge/>
            <w:shd w:val="clear" w:color="auto" w:fill="A6A6A6" w:themeFill="background1" w:themeFillShade="A6"/>
          </w:tcPr>
          <w:p w14:paraId="0D387A8D"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4AC2254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11,107</w:t>
            </w:r>
          </w:p>
        </w:tc>
      </w:tr>
      <w:tr w:rsidR="00F340B9" w:rsidRPr="00925FE5" w14:paraId="05D436E6" w14:textId="77777777" w:rsidTr="002A503F">
        <w:trPr>
          <w:trHeight w:val="19"/>
        </w:trPr>
        <w:tc>
          <w:tcPr>
            <w:tcW w:w="1440" w:type="dxa"/>
          </w:tcPr>
          <w:p w14:paraId="0E2A3A7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Pakistan</w:t>
            </w:r>
          </w:p>
        </w:tc>
        <w:tc>
          <w:tcPr>
            <w:tcW w:w="1698" w:type="dxa"/>
            <w:noWrap/>
          </w:tcPr>
          <w:p w14:paraId="0512E13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$316,968,892 </w:t>
            </w:r>
          </w:p>
        </w:tc>
        <w:tc>
          <w:tcPr>
            <w:tcW w:w="1614" w:type="dxa"/>
            <w:noWrap/>
          </w:tcPr>
          <w:p w14:paraId="4057EFD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$4,444,053 </w:t>
            </w:r>
          </w:p>
        </w:tc>
        <w:tc>
          <w:tcPr>
            <w:tcW w:w="1728" w:type="dxa"/>
            <w:noWrap/>
          </w:tcPr>
          <w:p w14:paraId="0898458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$1,270,807,398 </w:t>
            </w:r>
          </w:p>
        </w:tc>
        <w:tc>
          <w:tcPr>
            <w:tcW w:w="1620" w:type="dxa"/>
            <w:noWrap/>
          </w:tcPr>
          <w:p w14:paraId="54AEFCC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$245,286,590 </w:t>
            </w:r>
          </w:p>
        </w:tc>
        <w:tc>
          <w:tcPr>
            <w:tcW w:w="1740" w:type="dxa"/>
          </w:tcPr>
          <w:p w14:paraId="5824C18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$1,837,506,933 </w:t>
            </w:r>
          </w:p>
        </w:tc>
        <w:tc>
          <w:tcPr>
            <w:tcW w:w="1656" w:type="dxa"/>
            <w:noWrap/>
          </w:tcPr>
          <w:p w14:paraId="152214D8" w14:textId="29C3A939"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tcPr>
          <w:p w14:paraId="5786550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$1,837,506,933 </w:t>
            </w:r>
          </w:p>
        </w:tc>
        <w:tc>
          <w:tcPr>
            <w:tcW w:w="269" w:type="dxa"/>
            <w:vMerge/>
            <w:shd w:val="clear" w:color="auto" w:fill="A6A6A6" w:themeFill="background1" w:themeFillShade="A6"/>
          </w:tcPr>
          <w:p w14:paraId="57797823"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6A02BB3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9,993</w:t>
            </w:r>
          </w:p>
        </w:tc>
      </w:tr>
      <w:tr w:rsidR="00F340B9" w:rsidRPr="00925FE5" w14:paraId="1A9B0E6F" w14:textId="77777777" w:rsidTr="002A503F">
        <w:trPr>
          <w:trHeight w:val="19"/>
        </w:trPr>
        <w:tc>
          <w:tcPr>
            <w:tcW w:w="1440" w:type="dxa"/>
            <w:shd w:val="clear" w:color="auto" w:fill="A6A6A6" w:themeFill="background1" w:themeFillShade="A6"/>
            <w:noWrap/>
          </w:tcPr>
          <w:p w14:paraId="394ABED7" w14:textId="77777777" w:rsidR="00F340B9" w:rsidRPr="00925FE5" w:rsidRDefault="00F340B9" w:rsidP="00DF7A25">
            <w:pPr>
              <w:contextualSpacing/>
              <w:rPr>
                <w:rFonts w:ascii="Garamond" w:hAnsi="Garamond" w:cstheme="minorHAnsi"/>
                <w:i/>
                <w:sz w:val="20"/>
                <w:szCs w:val="20"/>
              </w:rPr>
            </w:pPr>
            <w:r w:rsidRPr="00925FE5">
              <w:rPr>
                <w:rFonts w:ascii="Garamond" w:hAnsi="Garamond" w:cstheme="minorHAnsi"/>
                <w:i/>
                <w:sz w:val="20"/>
                <w:szCs w:val="20"/>
              </w:rPr>
              <w:t>Region of the Americas</w:t>
            </w:r>
          </w:p>
        </w:tc>
        <w:tc>
          <w:tcPr>
            <w:tcW w:w="1698" w:type="dxa"/>
            <w:shd w:val="clear" w:color="auto" w:fill="A6A6A6" w:themeFill="background1" w:themeFillShade="A6"/>
          </w:tcPr>
          <w:p w14:paraId="03881B2C" w14:textId="77777777" w:rsidR="00F340B9" w:rsidRPr="00925FE5" w:rsidRDefault="00F340B9" w:rsidP="00DF7A25">
            <w:pPr>
              <w:contextualSpacing/>
              <w:rPr>
                <w:rFonts w:ascii="Garamond" w:hAnsi="Garamond" w:cstheme="minorHAnsi"/>
                <w:sz w:val="20"/>
                <w:szCs w:val="20"/>
              </w:rPr>
            </w:pPr>
          </w:p>
        </w:tc>
        <w:tc>
          <w:tcPr>
            <w:tcW w:w="1614" w:type="dxa"/>
            <w:shd w:val="clear" w:color="auto" w:fill="A6A6A6" w:themeFill="background1" w:themeFillShade="A6"/>
            <w:noWrap/>
          </w:tcPr>
          <w:p w14:paraId="17870B07" w14:textId="77777777" w:rsidR="00F340B9" w:rsidRPr="00925FE5" w:rsidRDefault="00F340B9" w:rsidP="00DF7A25">
            <w:pPr>
              <w:contextualSpacing/>
              <w:rPr>
                <w:rFonts w:ascii="Garamond" w:hAnsi="Garamond" w:cstheme="minorHAnsi"/>
                <w:sz w:val="20"/>
                <w:szCs w:val="20"/>
              </w:rPr>
            </w:pPr>
          </w:p>
        </w:tc>
        <w:tc>
          <w:tcPr>
            <w:tcW w:w="1728" w:type="dxa"/>
            <w:shd w:val="clear" w:color="auto" w:fill="A6A6A6" w:themeFill="background1" w:themeFillShade="A6"/>
            <w:noWrap/>
          </w:tcPr>
          <w:p w14:paraId="32BECD2E" w14:textId="77777777" w:rsidR="00F340B9" w:rsidRPr="00925FE5" w:rsidRDefault="00F340B9" w:rsidP="00DF7A25">
            <w:pPr>
              <w:contextualSpacing/>
              <w:rPr>
                <w:rFonts w:ascii="Garamond" w:hAnsi="Garamond" w:cstheme="minorHAnsi"/>
                <w:sz w:val="20"/>
                <w:szCs w:val="20"/>
              </w:rPr>
            </w:pPr>
          </w:p>
        </w:tc>
        <w:tc>
          <w:tcPr>
            <w:tcW w:w="1620" w:type="dxa"/>
            <w:shd w:val="clear" w:color="auto" w:fill="A6A6A6" w:themeFill="background1" w:themeFillShade="A6"/>
            <w:noWrap/>
          </w:tcPr>
          <w:p w14:paraId="5CD23C0B" w14:textId="77777777" w:rsidR="00F340B9" w:rsidRPr="00925FE5" w:rsidRDefault="00F340B9" w:rsidP="00DF7A25">
            <w:pPr>
              <w:contextualSpacing/>
              <w:rPr>
                <w:rFonts w:ascii="Garamond" w:hAnsi="Garamond" w:cstheme="minorHAnsi"/>
                <w:sz w:val="20"/>
                <w:szCs w:val="20"/>
              </w:rPr>
            </w:pPr>
          </w:p>
        </w:tc>
        <w:tc>
          <w:tcPr>
            <w:tcW w:w="1740" w:type="dxa"/>
            <w:shd w:val="clear" w:color="auto" w:fill="A6A6A6" w:themeFill="background1" w:themeFillShade="A6"/>
          </w:tcPr>
          <w:p w14:paraId="08566623" w14:textId="77777777" w:rsidR="00F340B9" w:rsidRPr="00925FE5" w:rsidRDefault="00F340B9" w:rsidP="00DF7A25">
            <w:pPr>
              <w:contextualSpacing/>
              <w:rPr>
                <w:rFonts w:ascii="Garamond" w:hAnsi="Garamond" w:cstheme="minorHAnsi"/>
                <w:sz w:val="20"/>
                <w:szCs w:val="20"/>
              </w:rPr>
            </w:pPr>
          </w:p>
        </w:tc>
        <w:tc>
          <w:tcPr>
            <w:tcW w:w="1656" w:type="dxa"/>
            <w:shd w:val="clear" w:color="auto" w:fill="A6A6A6" w:themeFill="background1" w:themeFillShade="A6"/>
          </w:tcPr>
          <w:p w14:paraId="75991505" w14:textId="77777777" w:rsidR="00F340B9" w:rsidRPr="00925FE5" w:rsidRDefault="00F340B9" w:rsidP="00DF7A25">
            <w:pPr>
              <w:contextualSpacing/>
              <w:rPr>
                <w:rFonts w:ascii="Garamond" w:hAnsi="Garamond" w:cstheme="minorHAnsi"/>
                <w:b/>
                <w:bCs/>
                <w:sz w:val="20"/>
                <w:szCs w:val="20"/>
              </w:rPr>
            </w:pPr>
          </w:p>
        </w:tc>
        <w:tc>
          <w:tcPr>
            <w:tcW w:w="1704" w:type="dxa"/>
            <w:shd w:val="clear" w:color="auto" w:fill="A6A6A6" w:themeFill="background1" w:themeFillShade="A6"/>
          </w:tcPr>
          <w:p w14:paraId="0CC84586" w14:textId="77777777" w:rsidR="00F340B9" w:rsidRPr="00925FE5" w:rsidRDefault="00F340B9" w:rsidP="00DF7A25">
            <w:pPr>
              <w:contextualSpacing/>
              <w:rPr>
                <w:rFonts w:ascii="Garamond" w:hAnsi="Garamond" w:cstheme="minorHAnsi"/>
                <w:sz w:val="20"/>
                <w:szCs w:val="20"/>
              </w:rPr>
            </w:pPr>
          </w:p>
        </w:tc>
        <w:tc>
          <w:tcPr>
            <w:tcW w:w="269" w:type="dxa"/>
            <w:vMerge/>
            <w:shd w:val="clear" w:color="auto" w:fill="A6A6A6" w:themeFill="background1" w:themeFillShade="A6"/>
          </w:tcPr>
          <w:p w14:paraId="7A1FDDF3" w14:textId="77777777" w:rsidR="00F340B9" w:rsidRPr="00925FE5" w:rsidRDefault="00F340B9" w:rsidP="00DF7A25">
            <w:pPr>
              <w:contextualSpacing/>
              <w:rPr>
                <w:rFonts w:ascii="Garamond" w:hAnsi="Garamond" w:cstheme="minorHAnsi"/>
                <w:b/>
                <w:bCs/>
                <w:sz w:val="20"/>
                <w:szCs w:val="20"/>
              </w:rPr>
            </w:pPr>
          </w:p>
        </w:tc>
        <w:tc>
          <w:tcPr>
            <w:tcW w:w="1381" w:type="dxa"/>
            <w:shd w:val="clear" w:color="auto" w:fill="A6A6A6" w:themeFill="background1" w:themeFillShade="A6"/>
            <w:noWrap/>
          </w:tcPr>
          <w:p w14:paraId="33929CED" w14:textId="77777777" w:rsidR="00F340B9" w:rsidRPr="00925FE5" w:rsidRDefault="00F340B9" w:rsidP="00DF7A25">
            <w:pPr>
              <w:contextualSpacing/>
              <w:rPr>
                <w:rFonts w:ascii="Garamond" w:hAnsi="Garamond" w:cstheme="minorHAnsi"/>
                <w:sz w:val="20"/>
                <w:szCs w:val="20"/>
              </w:rPr>
            </w:pPr>
          </w:p>
        </w:tc>
      </w:tr>
      <w:tr w:rsidR="00F340B9" w:rsidRPr="00925FE5" w14:paraId="7E6C2669" w14:textId="77777777" w:rsidTr="002A503F">
        <w:trPr>
          <w:trHeight w:val="19"/>
        </w:trPr>
        <w:tc>
          <w:tcPr>
            <w:tcW w:w="1440" w:type="dxa"/>
            <w:noWrap/>
            <w:hideMark/>
          </w:tcPr>
          <w:p w14:paraId="49858619" w14:textId="69E2177A"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Antigua and Barbuda</w:t>
            </w:r>
            <w:r w:rsidR="007F1FD8" w:rsidRPr="00925FE5">
              <w:rPr>
                <w:rFonts w:ascii="Garamond" w:hAnsi="Garamond" w:cstheme="minorHAnsi"/>
                <w:sz w:val="20"/>
                <w:szCs w:val="20"/>
                <w:vertAlign w:val="superscript"/>
              </w:rPr>
              <w:t>6</w:t>
            </w:r>
          </w:p>
        </w:tc>
        <w:tc>
          <w:tcPr>
            <w:tcW w:w="1698" w:type="dxa"/>
            <w:hideMark/>
          </w:tcPr>
          <w:p w14:paraId="22765BC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$4,425,071 </w:t>
            </w:r>
          </w:p>
        </w:tc>
        <w:tc>
          <w:tcPr>
            <w:tcW w:w="1614" w:type="dxa"/>
            <w:noWrap/>
            <w:hideMark/>
          </w:tcPr>
          <w:p w14:paraId="31AAB97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$893,801 </w:t>
            </w:r>
          </w:p>
        </w:tc>
        <w:tc>
          <w:tcPr>
            <w:tcW w:w="1728" w:type="dxa"/>
            <w:noWrap/>
            <w:hideMark/>
          </w:tcPr>
          <w:p w14:paraId="7D9975C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$577,342,312 </w:t>
            </w:r>
          </w:p>
        </w:tc>
        <w:tc>
          <w:tcPr>
            <w:tcW w:w="1620" w:type="dxa"/>
            <w:noWrap/>
            <w:hideMark/>
          </w:tcPr>
          <w:p w14:paraId="0348169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$94,996,449 </w:t>
            </w:r>
          </w:p>
        </w:tc>
        <w:tc>
          <w:tcPr>
            <w:tcW w:w="1740" w:type="dxa"/>
            <w:hideMark/>
          </w:tcPr>
          <w:p w14:paraId="7F970A1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$677,657,633 </w:t>
            </w:r>
          </w:p>
        </w:tc>
        <w:tc>
          <w:tcPr>
            <w:tcW w:w="1656" w:type="dxa"/>
            <w:hideMark/>
          </w:tcPr>
          <w:p w14:paraId="606B5539" w14:textId="523FB1CB" w:rsidR="00F340B9" w:rsidRPr="00925FE5" w:rsidRDefault="00F340B9" w:rsidP="00DF7A25">
            <w:pPr>
              <w:contextualSpacing/>
              <w:rPr>
                <w:rFonts w:ascii="Garamond" w:hAnsi="Garamond" w:cstheme="minorHAnsi"/>
                <w:b/>
                <w:bCs/>
                <w:sz w:val="20"/>
                <w:szCs w:val="20"/>
              </w:rPr>
            </w:pPr>
            <w:r w:rsidRPr="00925FE5">
              <w:rPr>
                <w:rFonts w:ascii="Garamond" w:hAnsi="Garamond" w:cstheme="minorHAnsi"/>
                <w:b/>
                <w:bCs/>
                <w:sz w:val="20"/>
                <w:szCs w:val="20"/>
              </w:rPr>
              <w:t> </w:t>
            </w:r>
            <w:r w:rsidR="00D04E33" w:rsidRPr="00925FE5">
              <w:rPr>
                <w:rFonts w:ascii="Garamond" w:hAnsi="Garamond" w:cstheme="minorHAnsi"/>
                <w:sz w:val="20"/>
                <w:szCs w:val="20"/>
              </w:rPr>
              <w:t>N/A</w:t>
            </w:r>
          </w:p>
        </w:tc>
        <w:tc>
          <w:tcPr>
            <w:tcW w:w="1704" w:type="dxa"/>
            <w:hideMark/>
          </w:tcPr>
          <w:p w14:paraId="10B14B1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$677,657,633 </w:t>
            </w:r>
          </w:p>
        </w:tc>
        <w:tc>
          <w:tcPr>
            <w:tcW w:w="269" w:type="dxa"/>
            <w:vMerge/>
            <w:shd w:val="clear" w:color="auto" w:fill="A6A6A6" w:themeFill="background1" w:themeFillShade="A6"/>
            <w:hideMark/>
          </w:tcPr>
          <w:p w14:paraId="7C9A93F5"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512B1FB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2,108</w:t>
            </w:r>
          </w:p>
        </w:tc>
      </w:tr>
      <w:tr w:rsidR="00F340B9" w:rsidRPr="00925FE5" w14:paraId="29ADC7BB" w14:textId="77777777" w:rsidTr="002A503F">
        <w:trPr>
          <w:trHeight w:val="19"/>
        </w:trPr>
        <w:tc>
          <w:tcPr>
            <w:tcW w:w="1440" w:type="dxa"/>
            <w:hideMark/>
          </w:tcPr>
          <w:p w14:paraId="160A8B2D" w14:textId="26079C36"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Bahamas</w:t>
            </w:r>
            <w:r w:rsidR="007F1FD8" w:rsidRPr="00925FE5">
              <w:rPr>
                <w:rFonts w:ascii="Garamond" w:hAnsi="Garamond" w:cstheme="minorHAnsi"/>
                <w:sz w:val="20"/>
                <w:szCs w:val="20"/>
                <w:vertAlign w:val="superscript"/>
              </w:rPr>
              <w:t>6</w:t>
            </w:r>
          </w:p>
        </w:tc>
        <w:tc>
          <w:tcPr>
            <w:tcW w:w="1698" w:type="dxa"/>
            <w:noWrap/>
            <w:hideMark/>
          </w:tcPr>
          <w:p w14:paraId="2D89E8B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$41,671,679 </w:t>
            </w:r>
          </w:p>
        </w:tc>
        <w:tc>
          <w:tcPr>
            <w:tcW w:w="1614" w:type="dxa"/>
            <w:noWrap/>
            <w:hideMark/>
          </w:tcPr>
          <w:p w14:paraId="1EB22E4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$11,721,952 </w:t>
            </w:r>
          </w:p>
        </w:tc>
        <w:tc>
          <w:tcPr>
            <w:tcW w:w="1728" w:type="dxa"/>
            <w:noWrap/>
            <w:hideMark/>
          </w:tcPr>
          <w:p w14:paraId="34A6BD5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$2,061,876,881 </w:t>
            </w:r>
          </w:p>
        </w:tc>
        <w:tc>
          <w:tcPr>
            <w:tcW w:w="1620" w:type="dxa"/>
            <w:noWrap/>
            <w:hideMark/>
          </w:tcPr>
          <w:p w14:paraId="7BBAF1D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$271,191,352 </w:t>
            </w:r>
          </w:p>
        </w:tc>
        <w:tc>
          <w:tcPr>
            <w:tcW w:w="1740" w:type="dxa"/>
            <w:hideMark/>
          </w:tcPr>
          <w:p w14:paraId="4DDBF41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$2,386,461,864 </w:t>
            </w:r>
          </w:p>
        </w:tc>
        <w:tc>
          <w:tcPr>
            <w:tcW w:w="1656" w:type="dxa"/>
            <w:noWrap/>
            <w:hideMark/>
          </w:tcPr>
          <w:p w14:paraId="0A30A287" w14:textId="70949A86"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06D7CC0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$2,386,461,864 </w:t>
            </w:r>
          </w:p>
        </w:tc>
        <w:tc>
          <w:tcPr>
            <w:tcW w:w="269" w:type="dxa"/>
            <w:vMerge/>
            <w:shd w:val="clear" w:color="auto" w:fill="A6A6A6" w:themeFill="background1" w:themeFillShade="A6"/>
            <w:hideMark/>
          </w:tcPr>
          <w:p w14:paraId="1FBB81EA"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77739F2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10,572</w:t>
            </w:r>
          </w:p>
        </w:tc>
      </w:tr>
      <w:tr w:rsidR="00F340B9" w:rsidRPr="00925FE5" w14:paraId="5805CA0F" w14:textId="77777777" w:rsidTr="002A503F">
        <w:trPr>
          <w:trHeight w:val="19"/>
        </w:trPr>
        <w:tc>
          <w:tcPr>
            <w:tcW w:w="1440" w:type="dxa"/>
            <w:hideMark/>
          </w:tcPr>
          <w:p w14:paraId="0AD410B3" w14:textId="75474728"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Barbados</w:t>
            </w:r>
            <w:r w:rsidR="007F1FD8" w:rsidRPr="00925FE5">
              <w:rPr>
                <w:rFonts w:ascii="Garamond" w:hAnsi="Garamond" w:cstheme="minorHAnsi"/>
                <w:sz w:val="20"/>
                <w:szCs w:val="20"/>
                <w:vertAlign w:val="superscript"/>
              </w:rPr>
              <w:t>6</w:t>
            </w:r>
          </w:p>
        </w:tc>
        <w:tc>
          <w:tcPr>
            <w:tcW w:w="1698" w:type="dxa"/>
            <w:noWrap/>
            <w:hideMark/>
          </w:tcPr>
          <w:p w14:paraId="04916C9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$42,284,065 </w:t>
            </w:r>
          </w:p>
        </w:tc>
        <w:tc>
          <w:tcPr>
            <w:tcW w:w="1614" w:type="dxa"/>
            <w:noWrap/>
            <w:hideMark/>
          </w:tcPr>
          <w:p w14:paraId="5A005E6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$1,091,480 </w:t>
            </w:r>
          </w:p>
        </w:tc>
        <w:tc>
          <w:tcPr>
            <w:tcW w:w="1728" w:type="dxa"/>
            <w:noWrap/>
            <w:hideMark/>
          </w:tcPr>
          <w:p w14:paraId="5B31BAE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$496,569,046 </w:t>
            </w:r>
          </w:p>
        </w:tc>
        <w:tc>
          <w:tcPr>
            <w:tcW w:w="1620" w:type="dxa"/>
            <w:noWrap/>
            <w:hideMark/>
          </w:tcPr>
          <w:p w14:paraId="1DDC1FF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$56,021,716 </w:t>
            </w:r>
          </w:p>
        </w:tc>
        <w:tc>
          <w:tcPr>
            <w:tcW w:w="1740" w:type="dxa"/>
            <w:hideMark/>
          </w:tcPr>
          <w:p w14:paraId="20C202D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$595,966,307 </w:t>
            </w:r>
          </w:p>
        </w:tc>
        <w:tc>
          <w:tcPr>
            <w:tcW w:w="1656" w:type="dxa"/>
            <w:noWrap/>
            <w:hideMark/>
          </w:tcPr>
          <w:p w14:paraId="4DF4DFD4" w14:textId="0FF90875"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463BB86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$595,966,307 </w:t>
            </w:r>
          </w:p>
        </w:tc>
        <w:tc>
          <w:tcPr>
            <w:tcW w:w="269" w:type="dxa"/>
            <w:shd w:val="clear" w:color="auto" w:fill="A6A6A6" w:themeFill="background1" w:themeFillShade="A6"/>
            <w:hideMark/>
          </w:tcPr>
          <w:p w14:paraId="7C1E594D"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3354D1E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2,504</w:t>
            </w:r>
          </w:p>
        </w:tc>
      </w:tr>
      <w:tr w:rsidR="00F340B9" w:rsidRPr="00925FE5" w14:paraId="2DD90423" w14:textId="77777777" w:rsidTr="002A503F">
        <w:trPr>
          <w:trHeight w:val="19"/>
        </w:trPr>
        <w:tc>
          <w:tcPr>
            <w:tcW w:w="1440" w:type="dxa"/>
            <w:hideMark/>
          </w:tcPr>
          <w:p w14:paraId="7125894C" w14:textId="6BE68ADB"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Belize</w:t>
            </w:r>
            <w:r w:rsidR="007F1FD8" w:rsidRPr="00925FE5">
              <w:rPr>
                <w:rFonts w:ascii="Garamond" w:hAnsi="Garamond" w:cstheme="minorHAnsi"/>
                <w:sz w:val="20"/>
                <w:szCs w:val="20"/>
                <w:vertAlign w:val="superscript"/>
              </w:rPr>
              <w:t>6</w:t>
            </w:r>
          </w:p>
        </w:tc>
        <w:tc>
          <w:tcPr>
            <w:tcW w:w="1698" w:type="dxa"/>
            <w:noWrap/>
            <w:hideMark/>
          </w:tcPr>
          <w:p w14:paraId="48111F5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$10,557,642 </w:t>
            </w:r>
          </w:p>
        </w:tc>
        <w:tc>
          <w:tcPr>
            <w:tcW w:w="1614" w:type="dxa"/>
            <w:noWrap/>
            <w:hideMark/>
          </w:tcPr>
          <w:p w14:paraId="53ED559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$162,146 </w:t>
            </w:r>
          </w:p>
        </w:tc>
        <w:tc>
          <w:tcPr>
            <w:tcW w:w="1728" w:type="dxa"/>
            <w:noWrap/>
            <w:hideMark/>
          </w:tcPr>
          <w:p w14:paraId="52F9E9D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$238,120,841 </w:t>
            </w:r>
          </w:p>
        </w:tc>
        <w:tc>
          <w:tcPr>
            <w:tcW w:w="1620" w:type="dxa"/>
            <w:noWrap/>
            <w:hideMark/>
          </w:tcPr>
          <w:p w14:paraId="588C780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$36,399,635 </w:t>
            </w:r>
          </w:p>
        </w:tc>
        <w:tc>
          <w:tcPr>
            <w:tcW w:w="1740" w:type="dxa"/>
            <w:hideMark/>
          </w:tcPr>
          <w:p w14:paraId="1FE4A03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$285,240,264 </w:t>
            </w:r>
          </w:p>
        </w:tc>
        <w:tc>
          <w:tcPr>
            <w:tcW w:w="1656" w:type="dxa"/>
            <w:noWrap/>
            <w:hideMark/>
          </w:tcPr>
          <w:p w14:paraId="20E366BA" w14:textId="5FC63B0E"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4EE8B40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$285,240,264 </w:t>
            </w:r>
          </w:p>
        </w:tc>
        <w:tc>
          <w:tcPr>
            <w:tcW w:w="269" w:type="dxa"/>
            <w:shd w:val="clear" w:color="auto" w:fill="A6A6A6" w:themeFill="background1" w:themeFillShade="A6"/>
            <w:hideMark/>
          </w:tcPr>
          <w:p w14:paraId="504E5A50"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68EB81A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1,423</w:t>
            </w:r>
          </w:p>
        </w:tc>
      </w:tr>
      <w:tr w:rsidR="00F340B9" w:rsidRPr="00925FE5" w14:paraId="6420C050" w14:textId="77777777" w:rsidTr="002A503F">
        <w:trPr>
          <w:trHeight w:val="19"/>
        </w:trPr>
        <w:tc>
          <w:tcPr>
            <w:tcW w:w="1440" w:type="dxa"/>
            <w:hideMark/>
          </w:tcPr>
          <w:p w14:paraId="798075D9" w14:textId="359F247B"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Dominica</w:t>
            </w:r>
            <w:r w:rsidR="007F1FD8" w:rsidRPr="00925FE5">
              <w:rPr>
                <w:rFonts w:ascii="Garamond" w:hAnsi="Garamond" w:cstheme="minorHAnsi"/>
                <w:sz w:val="20"/>
                <w:szCs w:val="20"/>
                <w:vertAlign w:val="superscript"/>
              </w:rPr>
              <w:t>6</w:t>
            </w:r>
          </w:p>
        </w:tc>
        <w:tc>
          <w:tcPr>
            <w:tcW w:w="1698" w:type="dxa"/>
            <w:noWrap/>
            <w:hideMark/>
          </w:tcPr>
          <w:p w14:paraId="5035FC7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$1,755,963 </w:t>
            </w:r>
          </w:p>
        </w:tc>
        <w:tc>
          <w:tcPr>
            <w:tcW w:w="1614" w:type="dxa"/>
            <w:noWrap/>
            <w:hideMark/>
          </w:tcPr>
          <w:p w14:paraId="4222699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$47,991 </w:t>
            </w:r>
          </w:p>
        </w:tc>
        <w:tc>
          <w:tcPr>
            <w:tcW w:w="1728" w:type="dxa"/>
            <w:noWrap/>
            <w:hideMark/>
          </w:tcPr>
          <w:p w14:paraId="3D38DCC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$51,769,853 </w:t>
            </w:r>
          </w:p>
        </w:tc>
        <w:tc>
          <w:tcPr>
            <w:tcW w:w="1620" w:type="dxa"/>
            <w:noWrap/>
            <w:hideMark/>
          </w:tcPr>
          <w:p w14:paraId="497BB1B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$13,738,239 </w:t>
            </w:r>
          </w:p>
        </w:tc>
        <w:tc>
          <w:tcPr>
            <w:tcW w:w="1740" w:type="dxa"/>
            <w:hideMark/>
          </w:tcPr>
          <w:p w14:paraId="295D7C0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$ 67,312,046 </w:t>
            </w:r>
          </w:p>
        </w:tc>
        <w:tc>
          <w:tcPr>
            <w:tcW w:w="1656" w:type="dxa"/>
            <w:noWrap/>
            <w:hideMark/>
          </w:tcPr>
          <w:p w14:paraId="026B8AAF" w14:textId="52D47E06"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72B41E4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$67,312,046 </w:t>
            </w:r>
          </w:p>
        </w:tc>
        <w:tc>
          <w:tcPr>
            <w:tcW w:w="269" w:type="dxa"/>
            <w:shd w:val="clear" w:color="auto" w:fill="A6A6A6" w:themeFill="background1" w:themeFillShade="A6"/>
            <w:hideMark/>
          </w:tcPr>
          <w:p w14:paraId="02F9BD26"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41DA05E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315</w:t>
            </w:r>
          </w:p>
        </w:tc>
      </w:tr>
      <w:tr w:rsidR="00F340B9" w:rsidRPr="00925FE5" w14:paraId="1BD2F54B" w14:textId="77777777" w:rsidTr="002A503F">
        <w:trPr>
          <w:trHeight w:val="19"/>
        </w:trPr>
        <w:tc>
          <w:tcPr>
            <w:tcW w:w="1440" w:type="dxa"/>
            <w:hideMark/>
          </w:tcPr>
          <w:p w14:paraId="577EAEA7" w14:textId="2497B3F9"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Grenada</w:t>
            </w:r>
            <w:r w:rsidR="007F1FD8" w:rsidRPr="00925FE5">
              <w:rPr>
                <w:rFonts w:ascii="Garamond" w:hAnsi="Garamond" w:cstheme="minorHAnsi"/>
                <w:sz w:val="20"/>
                <w:szCs w:val="20"/>
                <w:vertAlign w:val="superscript"/>
              </w:rPr>
              <w:t>6</w:t>
            </w:r>
          </w:p>
        </w:tc>
        <w:tc>
          <w:tcPr>
            <w:tcW w:w="1698" w:type="dxa"/>
            <w:noWrap/>
            <w:hideMark/>
          </w:tcPr>
          <w:p w14:paraId="31FF249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$6,208,823 </w:t>
            </w:r>
          </w:p>
        </w:tc>
        <w:tc>
          <w:tcPr>
            <w:tcW w:w="1614" w:type="dxa"/>
            <w:noWrap/>
            <w:hideMark/>
          </w:tcPr>
          <w:p w14:paraId="242BB29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$51,145 </w:t>
            </w:r>
          </w:p>
        </w:tc>
        <w:tc>
          <w:tcPr>
            <w:tcW w:w="1728" w:type="dxa"/>
            <w:noWrap/>
            <w:hideMark/>
          </w:tcPr>
          <w:p w14:paraId="3B6EF66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$62,262,186 </w:t>
            </w:r>
          </w:p>
        </w:tc>
        <w:tc>
          <w:tcPr>
            <w:tcW w:w="1620" w:type="dxa"/>
            <w:noWrap/>
            <w:hideMark/>
          </w:tcPr>
          <w:p w14:paraId="2AEF224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$21,897,995 </w:t>
            </w:r>
          </w:p>
        </w:tc>
        <w:tc>
          <w:tcPr>
            <w:tcW w:w="1740" w:type="dxa"/>
            <w:hideMark/>
          </w:tcPr>
          <w:p w14:paraId="3302263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$ 90,420,149 </w:t>
            </w:r>
          </w:p>
        </w:tc>
        <w:tc>
          <w:tcPr>
            <w:tcW w:w="1656" w:type="dxa"/>
            <w:noWrap/>
            <w:hideMark/>
          </w:tcPr>
          <w:p w14:paraId="748065C4" w14:textId="3CF38246"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7CCCF7FA" w14:textId="095313A2"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90,420,149 </w:t>
            </w:r>
          </w:p>
        </w:tc>
        <w:tc>
          <w:tcPr>
            <w:tcW w:w="269" w:type="dxa"/>
            <w:shd w:val="clear" w:color="auto" w:fill="A6A6A6" w:themeFill="background1" w:themeFillShade="A6"/>
            <w:hideMark/>
          </w:tcPr>
          <w:p w14:paraId="5E5221B0"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0FE33E1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391</w:t>
            </w:r>
          </w:p>
        </w:tc>
      </w:tr>
      <w:tr w:rsidR="00F340B9" w:rsidRPr="00925FE5" w14:paraId="68C0C6E7" w14:textId="77777777" w:rsidTr="002A503F">
        <w:trPr>
          <w:trHeight w:val="19"/>
        </w:trPr>
        <w:tc>
          <w:tcPr>
            <w:tcW w:w="1440" w:type="dxa"/>
          </w:tcPr>
          <w:p w14:paraId="0719036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Guatemala</w:t>
            </w:r>
          </w:p>
        </w:tc>
        <w:tc>
          <w:tcPr>
            <w:tcW w:w="1698" w:type="dxa"/>
            <w:noWrap/>
          </w:tcPr>
          <w:p w14:paraId="65A4795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$445,331,677 </w:t>
            </w:r>
          </w:p>
        </w:tc>
        <w:tc>
          <w:tcPr>
            <w:tcW w:w="1614" w:type="dxa"/>
            <w:noWrap/>
          </w:tcPr>
          <w:p w14:paraId="71D08A5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$79,665,048 </w:t>
            </w:r>
          </w:p>
        </w:tc>
        <w:tc>
          <w:tcPr>
            <w:tcW w:w="1728" w:type="dxa"/>
            <w:noWrap/>
          </w:tcPr>
          <w:p w14:paraId="68576C1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$4,600,212,482 </w:t>
            </w:r>
          </w:p>
        </w:tc>
        <w:tc>
          <w:tcPr>
            <w:tcW w:w="1620" w:type="dxa"/>
            <w:noWrap/>
          </w:tcPr>
          <w:p w14:paraId="7CD9A0D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$681,504,688 </w:t>
            </w:r>
          </w:p>
        </w:tc>
        <w:tc>
          <w:tcPr>
            <w:tcW w:w="1740" w:type="dxa"/>
          </w:tcPr>
          <w:p w14:paraId="43FB473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$5,806,713,895 </w:t>
            </w:r>
          </w:p>
        </w:tc>
        <w:tc>
          <w:tcPr>
            <w:tcW w:w="1656" w:type="dxa"/>
            <w:noWrap/>
          </w:tcPr>
          <w:p w14:paraId="19E717E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$1,487,000,000 </w:t>
            </w:r>
          </w:p>
        </w:tc>
        <w:tc>
          <w:tcPr>
            <w:tcW w:w="1704" w:type="dxa"/>
          </w:tcPr>
          <w:p w14:paraId="518D422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$7,293,713,895 </w:t>
            </w:r>
          </w:p>
        </w:tc>
        <w:tc>
          <w:tcPr>
            <w:tcW w:w="269" w:type="dxa"/>
            <w:shd w:val="clear" w:color="auto" w:fill="A6A6A6" w:themeFill="background1" w:themeFillShade="A6"/>
          </w:tcPr>
          <w:p w14:paraId="33308DD8"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68BE549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34,399</w:t>
            </w:r>
          </w:p>
        </w:tc>
      </w:tr>
      <w:tr w:rsidR="00F340B9" w:rsidRPr="00925FE5" w14:paraId="2EAA6886" w14:textId="77777777" w:rsidTr="002A503F">
        <w:trPr>
          <w:trHeight w:val="19"/>
        </w:trPr>
        <w:tc>
          <w:tcPr>
            <w:tcW w:w="1440" w:type="dxa"/>
            <w:hideMark/>
          </w:tcPr>
          <w:p w14:paraId="469B6AC7" w14:textId="0CA71E83"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Guyana</w:t>
            </w:r>
            <w:r w:rsidR="007F1FD8" w:rsidRPr="00925FE5">
              <w:rPr>
                <w:rFonts w:ascii="Garamond" w:hAnsi="Garamond" w:cstheme="minorHAnsi"/>
                <w:sz w:val="20"/>
                <w:szCs w:val="20"/>
                <w:vertAlign w:val="superscript"/>
              </w:rPr>
              <w:t>6</w:t>
            </w:r>
          </w:p>
        </w:tc>
        <w:tc>
          <w:tcPr>
            <w:tcW w:w="1698" w:type="dxa"/>
            <w:noWrap/>
            <w:hideMark/>
          </w:tcPr>
          <w:p w14:paraId="535C2C7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$32,168,070 </w:t>
            </w:r>
          </w:p>
        </w:tc>
        <w:tc>
          <w:tcPr>
            <w:tcW w:w="1614" w:type="dxa"/>
            <w:noWrap/>
            <w:hideMark/>
          </w:tcPr>
          <w:p w14:paraId="122362D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$1,797,979 </w:t>
            </w:r>
          </w:p>
        </w:tc>
        <w:tc>
          <w:tcPr>
            <w:tcW w:w="1728" w:type="dxa"/>
            <w:noWrap/>
            <w:hideMark/>
          </w:tcPr>
          <w:p w14:paraId="7294C5F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$277,389,373 </w:t>
            </w:r>
          </w:p>
        </w:tc>
        <w:tc>
          <w:tcPr>
            <w:tcW w:w="1620" w:type="dxa"/>
            <w:noWrap/>
            <w:hideMark/>
          </w:tcPr>
          <w:p w14:paraId="507BCDC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$56,774,244 </w:t>
            </w:r>
          </w:p>
        </w:tc>
        <w:tc>
          <w:tcPr>
            <w:tcW w:w="1740" w:type="dxa"/>
            <w:hideMark/>
          </w:tcPr>
          <w:p w14:paraId="3893247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$368,129,666 </w:t>
            </w:r>
          </w:p>
        </w:tc>
        <w:tc>
          <w:tcPr>
            <w:tcW w:w="1656" w:type="dxa"/>
            <w:noWrap/>
            <w:hideMark/>
          </w:tcPr>
          <w:p w14:paraId="7FEBA247" w14:textId="64D985F4"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0DBD79F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$368,129,666 </w:t>
            </w:r>
          </w:p>
        </w:tc>
        <w:tc>
          <w:tcPr>
            <w:tcW w:w="269" w:type="dxa"/>
            <w:shd w:val="clear" w:color="auto" w:fill="A6A6A6" w:themeFill="background1" w:themeFillShade="A6"/>
            <w:hideMark/>
          </w:tcPr>
          <w:p w14:paraId="38FC385E"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3F0B46D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1,666</w:t>
            </w:r>
          </w:p>
        </w:tc>
      </w:tr>
      <w:tr w:rsidR="00F340B9" w:rsidRPr="00925FE5" w14:paraId="5EBB2330" w14:textId="77777777" w:rsidTr="002A503F">
        <w:trPr>
          <w:trHeight w:val="19"/>
        </w:trPr>
        <w:tc>
          <w:tcPr>
            <w:tcW w:w="1440" w:type="dxa"/>
            <w:hideMark/>
          </w:tcPr>
          <w:p w14:paraId="5A78A728" w14:textId="2F7CC88E"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Haiti</w:t>
            </w:r>
            <w:r w:rsidR="007F1FD8" w:rsidRPr="00925FE5">
              <w:rPr>
                <w:rFonts w:ascii="Garamond" w:hAnsi="Garamond" w:cstheme="minorHAnsi"/>
                <w:sz w:val="20"/>
                <w:szCs w:val="20"/>
                <w:vertAlign w:val="superscript"/>
              </w:rPr>
              <w:t>6</w:t>
            </w:r>
          </w:p>
        </w:tc>
        <w:tc>
          <w:tcPr>
            <w:tcW w:w="1698" w:type="dxa"/>
            <w:noWrap/>
            <w:hideMark/>
          </w:tcPr>
          <w:p w14:paraId="61B1988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$52,546,349 </w:t>
            </w:r>
          </w:p>
        </w:tc>
        <w:tc>
          <w:tcPr>
            <w:tcW w:w="1614" w:type="dxa"/>
            <w:noWrap/>
            <w:hideMark/>
          </w:tcPr>
          <w:p w14:paraId="753440B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$535,526 </w:t>
            </w:r>
          </w:p>
        </w:tc>
        <w:tc>
          <w:tcPr>
            <w:tcW w:w="1728" w:type="dxa"/>
            <w:noWrap/>
            <w:hideMark/>
          </w:tcPr>
          <w:p w14:paraId="70A37AA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$648,291,864 </w:t>
            </w:r>
          </w:p>
        </w:tc>
        <w:tc>
          <w:tcPr>
            <w:tcW w:w="1620" w:type="dxa"/>
            <w:noWrap/>
            <w:hideMark/>
          </w:tcPr>
          <w:p w14:paraId="4AA45DB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$439,200,446 </w:t>
            </w:r>
          </w:p>
        </w:tc>
        <w:tc>
          <w:tcPr>
            <w:tcW w:w="1740" w:type="dxa"/>
            <w:hideMark/>
          </w:tcPr>
          <w:p w14:paraId="1EABE643"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$1,140,574,185 </w:t>
            </w:r>
          </w:p>
        </w:tc>
        <w:tc>
          <w:tcPr>
            <w:tcW w:w="1656" w:type="dxa"/>
            <w:noWrap/>
            <w:hideMark/>
          </w:tcPr>
          <w:p w14:paraId="43AD5555" w14:textId="07F4C945"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6BAF722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$1,140,574,185 </w:t>
            </w:r>
          </w:p>
        </w:tc>
        <w:tc>
          <w:tcPr>
            <w:tcW w:w="269" w:type="dxa"/>
            <w:shd w:val="clear" w:color="auto" w:fill="A6A6A6" w:themeFill="background1" w:themeFillShade="A6"/>
            <w:hideMark/>
          </w:tcPr>
          <w:p w14:paraId="44BBE916"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77E9C86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4,338</w:t>
            </w:r>
          </w:p>
        </w:tc>
      </w:tr>
      <w:tr w:rsidR="00F340B9" w:rsidRPr="00925FE5" w14:paraId="22B41F4B" w14:textId="77777777" w:rsidTr="002A503F">
        <w:trPr>
          <w:trHeight w:val="19"/>
        </w:trPr>
        <w:tc>
          <w:tcPr>
            <w:tcW w:w="1440" w:type="dxa"/>
            <w:hideMark/>
          </w:tcPr>
          <w:p w14:paraId="4C41D2C3" w14:textId="4E189F0A"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Jamaica</w:t>
            </w:r>
            <w:r w:rsidR="007F1FD8" w:rsidRPr="00925FE5">
              <w:rPr>
                <w:rFonts w:ascii="Garamond" w:hAnsi="Garamond" w:cstheme="minorHAnsi"/>
                <w:sz w:val="20"/>
                <w:szCs w:val="20"/>
                <w:vertAlign w:val="superscript"/>
              </w:rPr>
              <w:t>6</w:t>
            </w:r>
          </w:p>
        </w:tc>
        <w:tc>
          <w:tcPr>
            <w:tcW w:w="1698" w:type="dxa"/>
            <w:noWrap/>
            <w:hideMark/>
          </w:tcPr>
          <w:p w14:paraId="143F530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$148,593,986 </w:t>
            </w:r>
          </w:p>
        </w:tc>
        <w:tc>
          <w:tcPr>
            <w:tcW w:w="1614" w:type="dxa"/>
            <w:noWrap/>
            <w:hideMark/>
          </w:tcPr>
          <w:p w14:paraId="5C60819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$36,433,321 </w:t>
            </w:r>
          </w:p>
        </w:tc>
        <w:tc>
          <w:tcPr>
            <w:tcW w:w="1728" w:type="dxa"/>
            <w:noWrap/>
            <w:hideMark/>
          </w:tcPr>
          <w:p w14:paraId="7D576B9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$1,392,160,096 </w:t>
            </w:r>
          </w:p>
        </w:tc>
        <w:tc>
          <w:tcPr>
            <w:tcW w:w="1620" w:type="dxa"/>
            <w:noWrap/>
            <w:hideMark/>
          </w:tcPr>
          <w:p w14:paraId="1DC790D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$138,843,411 </w:t>
            </w:r>
          </w:p>
        </w:tc>
        <w:tc>
          <w:tcPr>
            <w:tcW w:w="1740" w:type="dxa"/>
            <w:hideMark/>
          </w:tcPr>
          <w:p w14:paraId="0C0C743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$1,716,030,814 </w:t>
            </w:r>
          </w:p>
        </w:tc>
        <w:tc>
          <w:tcPr>
            <w:tcW w:w="1656" w:type="dxa"/>
            <w:noWrap/>
            <w:hideMark/>
          </w:tcPr>
          <w:p w14:paraId="54D3B308" w14:textId="54DA178F"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58880B3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$1,716,030,814 </w:t>
            </w:r>
          </w:p>
        </w:tc>
        <w:tc>
          <w:tcPr>
            <w:tcW w:w="269" w:type="dxa"/>
            <w:shd w:val="clear" w:color="auto" w:fill="A6A6A6" w:themeFill="background1" w:themeFillShade="A6"/>
            <w:hideMark/>
          </w:tcPr>
          <w:p w14:paraId="7622A6CC"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2A65E94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8,164</w:t>
            </w:r>
          </w:p>
        </w:tc>
      </w:tr>
      <w:tr w:rsidR="00F340B9" w:rsidRPr="00925FE5" w14:paraId="0C3DBA65" w14:textId="77777777" w:rsidTr="002A503F">
        <w:trPr>
          <w:trHeight w:val="19"/>
        </w:trPr>
        <w:tc>
          <w:tcPr>
            <w:tcW w:w="1440" w:type="dxa"/>
            <w:hideMark/>
          </w:tcPr>
          <w:p w14:paraId="73213E6F" w14:textId="48A0D392"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Montserrat</w:t>
            </w:r>
            <w:r w:rsidR="007F1FD8" w:rsidRPr="00925FE5">
              <w:rPr>
                <w:rFonts w:ascii="Garamond" w:hAnsi="Garamond" w:cstheme="minorHAnsi"/>
                <w:sz w:val="20"/>
                <w:szCs w:val="20"/>
                <w:vertAlign w:val="superscript"/>
              </w:rPr>
              <w:t>6</w:t>
            </w:r>
          </w:p>
        </w:tc>
        <w:tc>
          <w:tcPr>
            <w:tcW w:w="1698" w:type="dxa"/>
            <w:noWrap/>
            <w:hideMark/>
          </w:tcPr>
          <w:p w14:paraId="5D651F6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$80,123 </w:t>
            </w:r>
          </w:p>
        </w:tc>
        <w:tc>
          <w:tcPr>
            <w:tcW w:w="1614" w:type="dxa"/>
            <w:noWrap/>
            <w:hideMark/>
          </w:tcPr>
          <w:p w14:paraId="0B71E49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$91,672 </w:t>
            </w:r>
          </w:p>
        </w:tc>
        <w:tc>
          <w:tcPr>
            <w:tcW w:w="1728" w:type="dxa"/>
            <w:noWrap/>
            <w:hideMark/>
          </w:tcPr>
          <w:p w14:paraId="2B5A731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$5,075,852 </w:t>
            </w:r>
          </w:p>
        </w:tc>
        <w:tc>
          <w:tcPr>
            <w:tcW w:w="1620" w:type="dxa"/>
            <w:noWrap/>
            <w:hideMark/>
          </w:tcPr>
          <w:p w14:paraId="47FDAF6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$1,392,364 </w:t>
            </w:r>
          </w:p>
        </w:tc>
        <w:tc>
          <w:tcPr>
            <w:tcW w:w="1740" w:type="dxa"/>
            <w:hideMark/>
          </w:tcPr>
          <w:p w14:paraId="6A3E631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$6,640,011 </w:t>
            </w:r>
          </w:p>
        </w:tc>
        <w:tc>
          <w:tcPr>
            <w:tcW w:w="1656" w:type="dxa"/>
            <w:noWrap/>
            <w:hideMark/>
          </w:tcPr>
          <w:p w14:paraId="766C92C4" w14:textId="4DC6AB54"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3E475D7E" w14:textId="1B26875B"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6,640,011 </w:t>
            </w:r>
          </w:p>
        </w:tc>
        <w:tc>
          <w:tcPr>
            <w:tcW w:w="269" w:type="dxa"/>
            <w:shd w:val="clear" w:color="auto" w:fill="A6A6A6" w:themeFill="background1" w:themeFillShade="A6"/>
            <w:hideMark/>
          </w:tcPr>
          <w:p w14:paraId="52DA8104"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239452E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30</w:t>
            </w:r>
          </w:p>
        </w:tc>
      </w:tr>
      <w:tr w:rsidR="00F340B9" w:rsidRPr="00925FE5" w14:paraId="08D3938E" w14:textId="77777777" w:rsidTr="002A503F">
        <w:trPr>
          <w:trHeight w:val="19"/>
        </w:trPr>
        <w:tc>
          <w:tcPr>
            <w:tcW w:w="1440" w:type="dxa"/>
          </w:tcPr>
          <w:p w14:paraId="372470EF" w14:textId="77777777" w:rsidR="00F340B9" w:rsidRPr="00925FE5" w:rsidRDefault="00F340B9" w:rsidP="00DF7A25">
            <w:pPr>
              <w:contextualSpacing/>
              <w:rPr>
                <w:rFonts w:ascii="Garamond" w:hAnsi="Garamond" w:cstheme="minorHAnsi"/>
                <w:sz w:val="20"/>
                <w:szCs w:val="20"/>
                <w:highlight w:val="yellow"/>
              </w:rPr>
            </w:pPr>
            <w:r w:rsidRPr="00925FE5">
              <w:rPr>
                <w:rFonts w:ascii="Garamond" w:hAnsi="Garamond" w:cstheme="minorHAnsi"/>
                <w:sz w:val="20"/>
                <w:szCs w:val="20"/>
              </w:rPr>
              <w:t>Peru</w:t>
            </w:r>
          </w:p>
        </w:tc>
        <w:tc>
          <w:tcPr>
            <w:tcW w:w="1698" w:type="dxa"/>
            <w:noWrap/>
          </w:tcPr>
          <w:p w14:paraId="0C0D5C2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$617,558,253 </w:t>
            </w:r>
          </w:p>
        </w:tc>
        <w:tc>
          <w:tcPr>
            <w:tcW w:w="1614" w:type="dxa"/>
            <w:noWrap/>
          </w:tcPr>
          <w:p w14:paraId="77957AD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$27,761,924 </w:t>
            </w:r>
          </w:p>
        </w:tc>
        <w:tc>
          <w:tcPr>
            <w:tcW w:w="1728" w:type="dxa"/>
            <w:noWrap/>
          </w:tcPr>
          <w:p w14:paraId="3C96842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$7,726,103,228 </w:t>
            </w:r>
          </w:p>
        </w:tc>
        <w:tc>
          <w:tcPr>
            <w:tcW w:w="1620" w:type="dxa"/>
            <w:noWrap/>
          </w:tcPr>
          <w:p w14:paraId="7559150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$354,184,068 </w:t>
            </w:r>
          </w:p>
        </w:tc>
        <w:tc>
          <w:tcPr>
            <w:tcW w:w="1740" w:type="dxa"/>
          </w:tcPr>
          <w:p w14:paraId="75896CBC"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$8,725,607,473 </w:t>
            </w:r>
          </w:p>
        </w:tc>
        <w:tc>
          <w:tcPr>
            <w:tcW w:w="1656" w:type="dxa"/>
            <w:noWrap/>
          </w:tcPr>
          <w:p w14:paraId="341D606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$3,879,000,000 </w:t>
            </w:r>
          </w:p>
        </w:tc>
        <w:tc>
          <w:tcPr>
            <w:tcW w:w="1704" w:type="dxa"/>
          </w:tcPr>
          <w:p w14:paraId="66085636" w14:textId="6FDAF8F8" w:rsidR="00F340B9" w:rsidRPr="00925FE5" w:rsidRDefault="002B4F92" w:rsidP="00DF7A25">
            <w:pPr>
              <w:contextualSpacing/>
              <w:rPr>
                <w:rFonts w:ascii="Garamond" w:hAnsi="Garamond" w:cstheme="minorHAnsi"/>
                <w:sz w:val="20"/>
                <w:szCs w:val="20"/>
              </w:rPr>
            </w:pPr>
            <w:r w:rsidRPr="00925FE5">
              <w:rPr>
                <w:rFonts w:ascii="Garamond" w:hAnsi="Garamond" w:cstheme="minorHAnsi"/>
                <w:sz w:val="20"/>
                <w:szCs w:val="20"/>
              </w:rPr>
              <w:t>$</w:t>
            </w:r>
            <w:r w:rsidR="00F340B9" w:rsidRPr="00925FE5">
              <w:rPr>
                <w:rFonts w:ascii="Garamond" w:hAnsi="Garamond" w:cstheme="minorHAnsi"/>
                <w:sz w:val="20"/>
                <w:szCs w:val="20"/>
              </w:rPr>
              <w:t xml:space="preserve">12,604,607,473 </w:t>
            </w:r>
          </w:p>
        </w:tc>
        <w:tc>
          <w:tcPr>
            <w:tcW w:w="269" w:type="dxa"/>
            <w:shd w:val="clear" w:color="auto" w:fill="A6A6A6" w:themeFill="background1" w:themeFillShade="A6"/>
          </w:tcPr>
          <w:p w14:paraId="68E04D0D" w14:textId="77777777" w:rsidR="00F340B9" w:rsidRPr="00925FE5" w:rsidRDefault="00F340B9" w:rsidP="00DF7A25">
            <w:pPr>
              <w:contextualSpacing/>
              <w:rPr>
                <w:rFonts w:ascii="Garamond" w:hAnsi="Garamond" w:cstheme="minorHAnsi"/>
                <w:b/>
                <w:bCs/>
                <w:sz w:val="20"/>
                <w:szCs w:val="20"/>
              </w:rPr>
            </w:pPr>
          </w:p>
        </w:tc>
        <w:tc>
          <w:tcPr>
            <w:tcW w:w="1381" w:type="dxa"/>
            <w:noWrap/>
          </w:tcPr>
          <w:p w14:paraId="7FF8DA1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62,402</w:t>
            </w:r>
          </w:p>
        </w:tc>
      </w:tr>
      <w:tr w:rsidR="00F340B9" w:rsidRPr="00925FE5" w14:paraId="5EA99508" w14:textId="77777777" w:rsidTr="002A503F">
        <w:trPr>
          <w:trHeight w:val="19"/>
        </w:trPr>
        <w:tc>
          <w:tcPr>
            <w:tcW w:w="1440" w:type="dxa"/>
            <w:hideMark/>
          </w:tcPr>
          <w:p w14:paraId="37D050FB" w14:textId="08CA777D"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St. Kitts and Nevis</w:t>
            </w:r>
            <w:r w:rsidR="007F1FD8" w:rsidRPr="00925FE5">
              <w:rPr>
                <w:rFonts w:ascii="Garamond" w:hAnsi="Garamond" w:cstheme="minorHAnsi"/>
                <w:sz w:val="20"/>
                <w:szCs w:val="20"/>
                <w:vertAlign w:val="superscript"/>
              </w:rPr>
              <w:t>6</w:t>
            </w:r>
          </w:p>
        </w:tc>
        <w:tc>
          <w:tcPr>
            <w:tcW w:w="1698" w:type="dxa"/>
            <w:noWrap/>
            <w:hideMark/>
          </w:tcPr>
          <w:p w14:paraId="4DBF6EF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$2,923,055 </w:t>
            </w:r>
          </w:p>
        </w:tc>
        <w:tc>
          <w:tcPr>
            <w:tcW w:w="1614" w:type="dxa"/>
            <w:noWrap/>
            <w:hideMark/>
          </w:tcPr>
          <w:p w14:paraId="44110C5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$1,017,642 </w:t>
            </w:r>
          </w:p>
        </w:tc>
        <w:tc>
          <w:tcPr>
            <w:tcW w:w="1728" w:type="dxa"/>
            <w:noWrap/>
            <w:hideMark/>
          </w:tcPr>
          <w:p w14:paraId="5D1437A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$125,769,267 </w:t>
            </w:r>
          </w:p>
        </w:tc>
        <w:tc>
          <w:tcPr>
            <w:tcW w:w="1620" w:type="dxa"/>
            <w:noWrap/>
            <w:hideMark/>
          </w:tcPr>
          <w:p w14:paraId="6BA8FDA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$19,997,144 </w:t>
            </w:r>
          </w:p>
        </w:tc>
        <w:tc>
          <w:tcPr>
            <w:tcW w:w="1740" w:type="dxa"/>
            <w:hideMark/>
          </w:tcPr>
          <w:p w14:paraId="4D16E72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$149,707,108 </w:t>
            </w:r>
          </w:p>
        </w:tc>
        <w:tc>
          <w:tcPr>
            <w:tcW w:w="1656" w:type="dxa"/>
            <w:hideMark/>
          </w:tcPr>
          <w:p w14:paraId="02AE78BF" w14:textId="59A7A24F"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7A5AE5FD"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$149,707,108 </w:t>
            </w:r>
          </w:p>
        </w:tc>
        <w:tc>
          <w:tcPr>
            <w:tcW w:w="269" w:type="dxa"/>
            <w:shd w:val="clear" w:color="auto" w:fill="A6A6A6" w:themeFill="background1" w:themeFillShade="A6"/>
            <w:hideMark/>
          </w:tcPr>
          <w:p w14:paraId="0C361A5E"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129E518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743</w:t>
            </w:r>
          </w:p>
        </w:tc>
      </w:tr>
      <w:tr w:rsidR="00F340B9" w:rsidRPr="00925FE5" w14:paraId="5CF1EB21" w14:textId="77777777" w:rsidTr="002A503F">
        <w:trPr>
          <w:trHeight w:val="19"/>
        </w:trPr>
        <w:tc>
          <w:tcPr>
            <w:tcW w:w="1440" w:type="dxa"/>
            <w:hideMark/>
          </w:tcPr>
          <w:p w14:paraId="2AC74593" w14:textId="1FBF1823"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St. Lucia</w:t>
            </w:r>
            <w:r w:rsidR="007F1FD8" w:rsidRPr="00925FE5">
              <w:rPr>
                <w:rFonts w:ascii="Garamond" w:hAnsi="Garamond" w:cstheme="minorHAnsi"/>
                <w:sz w:val="20"/>
                <w:szCs w:val="20"/>
                <w:vertAlign w:val="superscript"/>
              </w:rPr>
              <w:t>6</w:t>
            </w:r>
          </w:p>
        </w:tc>
        <w:tc>
          <w:tcPr>
            <w:tcW w:w="1698" w:type="dxa"/>
            <w:noWrap/>
            <w:hideMark/>
          </w:tcPr>
          <w:p w14:paraId="39C4E0E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$4,742,305 </w:t>
            </w:r>
          </w:p>
        </w:tc>
        <w:tc>
          <w:tcPr>
            <w:tcW w:w="1614" w:type="dxa"/>
            <w:noWrap/>
            <w:hideMark/>
          </w:tcPr>
          <w:p w14:paraId="50F6041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$535,205 </w:t>
            </w:r>
          </w:p>
        </w:tc>
        <w:tc>
          <w:tcPr>
            <w:tcW w:w="1728" w:type="dxa"/>
            <w:noWrap/>
            <w:hideMark/>
          </w:tcPr>
          <w:p w14:paraId="0906F8D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$441,131,852 </w:t>
            </w:r>
          </w:p>
        </w:tc>
        <w:tc>
          <w:tcPr>
            <w:tcW w:w="1620" w:type="dxa"/>
            <w:noWrap/>
            <w:hideMark/>
          </w:tcPr>
          <w:p w14:paraId="6B8407F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$64,401,662 </w:t>
            </w:r>
          </w:p>
        </w:tc>
        <w:tc>
          <w:tcPr>
            <w:tcW w:w="1740" w:type="dxa"/>
            <w:hideMark/>
          </w:tcPr>
          <w:p w14:paraId="4332AF1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$510,811,024 </w:t>
            </w:r>
          </w:p>
        </w:tc>
        <w:tc>
          <w:tcPr>
            <w:tcW w:w="1656" w:type="dxa"/>
            <w:noWrap/>
            <w:hideMark/>
          </w:tcPr>
          <w:p w14:paraId="0A736105" w14:textId="0F0AA704"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075DACA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$510,811,024 </w:t>
            </w:r>
          </w:p>
        </w:tc>
        <w:tc>
          <w:tcPr>
            <w:tcW w:w="269" w:type="dxa"/>
            <w:vMerge w:val="restart"/>
            <w:shd w:val="clear" w:color="auto" w:fill="A6A6A6" w:themeFill="background1" w:themeFillShade="A6"/>
            <w:hideMark/>
          </w:tcPr>
          <w:p w14:paraId="2FB42542"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2D06121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1,766</w:t>
            </w:r>
          </w:p>
        </w:tc>
      </w:tr>
      <w:tr w:rsidR="00F340B9" w:rsidRPr="00925FE5" w14:paraId="5A726333" w14:textId="77777777" w:rsidTr="002A503F">
        <w:trPr>
          <w:trHeight w:val="19"/>
        </w:trPr>
        <w:tc>
          <w:tcPr>
            <w:tcW w:w="1440" w:type="dxa"/>
            <w:hideMark/>
          </w:tcPr>
          <w:p w14:paraId="47D62FD9" w14:textId="6FFDF60E"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St. Vincent and Grenadines</w:t>
            </w:r>
            <w:r w:rsidR="007F1FD8" w:rsidRPr="00925FE5">
              <w:rPr>
                <w:rFonts w:ascii="Garamond" w:hAnsi="Garamond" w:cstheme="minorHAnsi"/>
                <w:sz w:val="20"/>
                <w:szCs w:val="20"/>
                <w:vertAlign w:val="superscript"/>
              </w:rPr>
              <w:t>6</w:t>
            </w:r>
          </w:p>
        </w:tc>
        <w:tc>
          <w:tcPr>
            <w:tcW w:w="1698" w:type="dxa"/>
            <w:noWrap/>
            <w:hideMark/>
          </w:tcPr>
          <w:p w14:paraId="7EF6700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$10,206,210 </w:t>
            </w:r>
          </w:p>
        </w:tc>
        <w:tc>
          <w:tcPr>
            <w:tcW w:w="1614" w:type="dxa"/>
            <w:noWrap/>
            <w:hideMark/>
          </w:tcPr>
          <w:p w14:paraId="4F34680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$2,130,831 </w:t>
            </w:r>
          </w:p>
        </w:tc>
        <w:tc>
          <w:tcPr>
            <w:tcW w:w="1728" w:type="dxa"/>
            <w:noWrap/>
            <w:hideMark/>
          </w:tcPr>
          <w:p w14:paraId="2886AF5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$61,215,180 </w:t>
            </w:r>
          </w:p>
        </w:tc>
        <w:tc>
          <w:tcPr>
            <w:tcW w:w="1620" w:type="dxa"/>
            <w:noWrap/>
            <w:hideMark/>
          </w:tcPr>
          <w:p w14:paraId="5200EF7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$11,170,277 </w:t>
            </w:r>
          </w:p>
        </w:tc>
        <w:tc>
          <w:tcPr>
            <w:tcW w:w="1740" w:type="dxa"/>
            <w:hideMark/>
          </w:tcPr>
          <w:p w14:paraId="08F0CE0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$ 84,722,498 </w:t>
            </w:r>
          </w:p>
        </w:tc>
        <w:tc>
          <w:tcPr>
            <w:tcW w:w="1656" w:type="dxa"/>
            <w:noWrap/>
            <w:hideMark/>
          </w:tcPr>
          <w:p w14:paraId="191BC14D" w14:textId="26B5F0AA"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58D35EA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$84,722,498 </w:t>
            </w:r>
          </w:p>
        </w:tc>
        <w:tc>
          <w:tcPr>
            <w:tcW w:w="269" w:type="dxa"/>
            <w:vMerge/>
            <w:shd w:val="clear" w:color="auto" w:fill="A6A6A6" w:themeFill="background1" w:themeFillShade="A6"/>
            <w:hideMark/>
          </w:tcPr>
          <w:p w14:paraId="3FE2B835"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77C1A20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447</w:t>
            </w:r>
          </w:p>
        </w:tc>
      </w:tr>
      <w:tr w:rsidR="00F340B9" w:rsidRPr="00925FE5" w14:paraId="6371BE54" w14:textId="77777777" w:rsidTr="002A503F">
        <w:trPr>
          <w:trHeight w:val="19"/>
        </w:trPr>
        <w:tc>
          <w:tcPr>
            <w:tcW w:w="1440" w:type="dxa"/>
            <w:hideMark/>
          </w:tcPr>
          <w:p w14:paraId="7154883F" w14:textId="58B45849"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Suriname</w:t>
            </w:r>
            <w:r w:rsidR="007F1FD8" w:rsidRPr="00925FE5">
              <w:rPr>
                <w:rFonts w:ascii="Garamond" w:hAnsi="Garamond" w:cstheme="minorHAnsi"/>
                <w:sz w:val="20"/>
                <w:szCs w:val="20"/>
                <w:vertAlign w:val="superscript"/>
              </w:rPr>
              <w:t>6</w:t>
            </w:r>
          </w:p>
        </w:tc>
        <w:tc>
          <w:tcPr>
            <w:tcW w:w="1698" w:type="dxa"/>
            <w:noWrap/>
            <w:hideMark/>
          </w:tcPr>
          <w:p w14:paraId="52FBC83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$6,602,613 </w:t>
            </w:r>
          </w:p>
        </w:tc>
        <w:tc>
          <w:tcPr>
            <w:tcW w:w="1614" w:type="dxa"/>
            <w:noWrap/>
            <w:hideMark/>
          </w:tcPr>
          <w:p w14:paraId="203D564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$868,940 </w:t>
            </w:r>
          </w:p>
        </w:tc>
        <w:tc>
          <w:tcPr>
            <w:tcW w:w="1728" w:type="dxa"/>
            <w:noWrap/>
            <w:hideMark/>
          </w:tcPr>
          <w:p w14:paraId="6C23A94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$400,837,620 </w:t>
            </w:r>
          </w:p>
        </w:tc>
        <w:tc>
          <w:tcPr>
            <w:tcW w:w="1620" w:type="dxa"/>
            <w:noWrap/>
            <w:hideMark/>
          </w:tcPr>
          <w:p w14:paraId="2F21C736"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$35,334,140 </w:t>
            </w:r>
          </w:p>
        </w:tc>
        <w:tc>
          <w:tcPr>
            <w:tcW w:w="1740" w:type="dxa"/>
            <w:hideMark/>
          </w:tcPr>
          <w:p w14:paraId="3DE421E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$443,643,313 </w:t>
            </w:r>
          </w:p>
        </w:tc>
        <w:tc>
          <w:tcPr>
            <w:tcW w:w="1656" w:type="dxa"/>
            <w:noWrap/>
            <w:hideMark/>
          </w:tcPr>
          <w:p w14:paraId="73F693F4" w14:textId="2CDE63AE"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5596F87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$443,643,313 </w:t>
            </w:r>
          </w:p>
        </w:tc>
        <w:tc>
          <w:tcPr>
            <w:tcW w:w="269" w:type="dxa"/>
            <w:shd w:val="clear" w:color="auto" w:fill="A6A6A6" w:themeFill="background1" w:themeFillShade="A6"/>
            <w:hideMark/>
          </w:tcPr>
          <w:p w14:paraId="1BC5EA2F"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12B5CC77"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2,361</w:t>
            </w:r>
          </w:p>
        </w:tc>
      </w:tr>
      <w:tr w:rsidR="00F340B9" w:rsidRPr="00925FE5" w14:paraId="5F806178" w14:textId="77777777" w:rsidTr="002A503F">
        <w:trPr>
          <w:trHeight w:val="19"/>
        </w:trPr>
        <w:tc>
          <w:tcPr>
            <w:tcW w:w="1440" w:type="dxa"/>
            <w:hideMark/>
          </w:tcPr>
          <w:p w14:paraId="1D9F9933" w14:textId="7C2DA899" w:rsidR="00F340B9" w:rsidRPr="00925FE5" w:rsidRDefault="00F340B9" w:rsidP="007F1FD8">
            <w:pPr>
              <w:contextualSpacing/>
              <w:rPr>
                <w:rFonts w:ascii="Garamond" w:hAnsi="Garamond" w:cstheme="minorHAnsi"/>
                <w:sz w:val="20"/>
                <w:szCs w:val="20"/>
              </w:rPr>
            </w:pPr>
            <w:r w:rsidRPr="00925FE5">
              <w:rPr>
                <w:rFonts w:ascii="Garamond" w:hAnsi="Garamond" w:cstheme="minorHAnsi"/>
                <w:sz w:val="20"/>
                <w:szCs w:val="20"/>
              </w:rPr>
              <w:t>Trinidad and Tobago</w:t>
            </w:r>
            <w:r w:rsidR="007F1FD8" w:rsidRPr="00925FE5">
              <w:rPr>
                <w:rFonts w:ascii="Garamond" w:hAnsi="Garamond" w:cstheme="minorHAnsi"/>
                <w:sz w:val="20"/>
                <w:szCs w:val="20"/>
                <w:vertAlign w:val="superscript"/>
              </w:rPr>
              <w:t>6</w:t>
            </w:r>
          </w:p>
        </w:tc>
        <w:tc>
          <w:tcPr>
            <w:tcW w:w="1698" w:type="dxa"/>
            <w:noWrap/>
            <w:hideMark/>
          </w:tcPr>
          <w:p w14:paraId="0EC4F699"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$112,786,882 </w:t>
            </w:r>
          </w:p>
        </w:tc>
        <w:tc>
          <w:tcPr>
            <w:tcW w:w="1614" w:type="dxa"/>
            <w:noWrap/>
            <w:hideMark/>
          </w:tcPr>
          <w:p w14:paraId="3535007B"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$12,379,871 </w:t>
            </w:r>
          </w:p>
        </w:tc>
        <w:tc>
          <w:tcPr>
            <w:tcW w:w="1728" w:type="dxa"/>
            <w:noWrap/>
            <w:hideMark/>
          </w:tcPr>
          <w:p w14:paraId="4D6051A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$2,198,703,883 </w:t>
            </w:r>
          </w:p>
        </w:tc>
        <w:tc>
          <w:tcPr>
            <w:tcW w:w="1620" w:type="dxa"/>
            <w:noWrap/>
            <w:hideMark/>
          </w:tcPr>
          <w:p w14:paraId="0329BE94"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$187,324,475 </w:t>
            </w:r>
          </w:p>
        </w:tc>
        <w:tc>
          <w:tcPr>
            <w:tcW w:w="1740" w:type="dxa"/>
            <w:hideMark/>
          </w:tcPr>
          <w:p w14:paraId="7380E2B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$2,511,195,111 </w:t>
            </w:r>
          </w:p>
        </w:tc>
        <w:tc>
          <w:tcPr>
            <w:tcW w:w="1656" w:type="dxa"/>
            <w:noWrap/>
            <w:hideMark/>
          </w:tcPr>
          <w:p w14:paraId="32878EF5" w14:textId="6AA2CD58"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w:t>
            </w:r>
            <w:r w:rsidR="00D04E33" w:rsidRPr="00925FE5">
              <w:rPr>
                <w:rFonts w:ascii="Garamond" w:hAnsi="Garamond" w:cstheme="minorHAnsi"/>
                <w:sz w:val="20"/>
                <w:szCs w:val="20"/>
              </w:rPr>
              <w:t>N/A</w:t>
            </w:r>
          </w:p>
        </w:tc>
        <w:tc>
          <w:tcPr>
            <w:tcW w:w="1704" w:type="dxa"/>
            <w:hideMark/>
          </w:tcPr>
          <w:p w14:paraId="15842832"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$2,511,195,111 </w:t>
            </w:r>
          </w:p>
        </w:tc>
        <w:tc>
          <w:tcPr>
            <w:tcW w:w="269" w:type="dxa"/>
            <w:shd w:val="clear" w:color="auto" w:fill="A6A6A6" w:themeFill="background1" w:themeFillShade="A6"/>
            <w:hideMark/>
          </w:tcPr>
          <w:p w14:paraId="0A06BBD1"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3F5FF680"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12,462</w:t>
            </w:r>
          </w:p>
        </w:tc>
      </w:tr>
      <w:tr w:rsidR="00F340B9" w:rsidRPr="00925FE5" w14:paraId="0C78BD4E" w14:textId="77777777" w:rsidTr="002A503F">
        <w:trPr>
          <w:trHeight w:val="19"/>
        </w:trPr>
        <w:tc>
          <w:tcPr>
            <w:tcW w:w="1440" w:type="dxa"/>
            <w:hideMark/>
          </w:tcPr>
          <w:p w14:paraId="5B2811AF" w14:textId="77777777" w:rsidR="00F340B9" w:rsidRPr="00925FE5" w:rsidRDefault="00F340B9" w:rsidP="00DF7A25">
            <w:pPr>
              <w:contextualSpacing/>
              <w:rPr>
                <w:rFonts w:ascii="Garamond" w:hAnsi="Garamond" w:cstheme="minorHAnsi"/>
                <w:b/>
                <w:bCs/>
                <w:sz w:val="20"/>
                <w:szCs w:val="20"/>
              </w:rPr>
            </w:pPr>
            <w:r w:rsidRPr="00925FE5">
              <w:rPr>
                <w:rFonts w:ascii="Garamond" w:hAnsi="Garamond" w:cstheme="minorHAnsi"/>
                <w:b/>
                <w:bCs/>
                <w:sz w:val="20"/>
                <w:szCs w:val="20"/>
              </w:rPr>
              <w:t>Total</w:t>
            </w:r>
          </w:p>
        </w:tc>
        <w:tc>
          <w:tcPr>
            <w:tcW w:w="1698" w:type="dxa"/>
            <w:noWrap/>
            <w:hideMark/>
          </w:tcPr>
          <w:p w14:paraId="2B3B3F4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$25,520,977,109 </w:t>
            </w:r>
          </w:p>
        </w:tc>
        <w:tc>
          <w:tcPr>
            <w:tcW w:w="1614" w:type="dxa"/>
            <w:noWrap/>
            <w:hideMark/>
          </w:tcPr>
          <w:p w14:paraId="1AF7D61F"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$3,472,996,358 </w:t>
            </w:r>
          </w:p>
        </w:tc>
        <w:tc>
          <w:tcPr>
            <w:tcW w:w="1728" w:type="dxa"/>
            <w:noWrap/>
            <w:hideMark/>
          </w:tcPr>
          <w:p w14:paraId="30DE2DB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$178,933,050,381 </w:t>
            </w:r>
          </w:p>
        </w:tc>
        <w:tc>
          <w:tcPr>
            <w:tcW w:w="1620" w:type="dxa"/>
            <w:noWrap/>
            <w:hideMark/>
          </w:tcPr>
          <w:p w14:paraId="568D9AA1"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$14,645,630,194 </w:t>
            </w:r>
          </w:p>
        </w:tc>
        <w:tc>
          <w:tcPr>
            <w:tcW w:w="1740" w:type="dxa"/>
            <w:hideMark/>
          </w:tcPr>
          <w:p w14:paraId="1171ECB5"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$222,572,654,042 </w:t>
            </w:r>
          </w:p>
        </w:tc>
        <w:tc>
          <w:tcPr>
            <w:tcW w:w="1656" w:type="dxa"/>
            <w:noWrap/>
            <w:hideMark/>
          </w:tcPr>
          <w:p w14:paraId="5A92838A"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$85,928,000,000 </w:t>
            </w:r>
          </w:p>
        </w:tc>
        <w:tc>
          <w:tcPr>
            <w:tcW w:w="1704" w:type="dxa"/>
            <w:hideMark/>
          </w:tcPr>
          <w:p w14:paraId="41CD3048"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$308,500,654,042 </w:t>
            </w:r>
          </w:p>
        </w:tc>
        <w:tc>
          <w:tcPr>
            <w:tcW w:w="269" w:type="dxa"/>
            <w:shd w:val="clear" w:color="auto" w:fill="A6A6A6" w:themeFill="background1" w:themeFillShade="A6"/>
            <w:hideMark/>
          </w:tcPr>
          <w:p w14:paraId="77C20A40" w14:textId="77777777" w:rsidR="00F340B9" w:rsidRPr="00925FE5" w:rsidRDefault="00F340B9" w:rsidP="00DF7A25">
            <w:pPr>
              <w:contextualSpacing/>
              <w:rPr>
                <w:rFonts w:ascii="Garamond" w:hAnsi="Garamond" w:cstheme="minorHAnsi"/>
                <w:b/>
                <w:bCs/>
                <w:sz w:val="20"/>
                <w:szCs w:val="20"/>
              </w:rPr>
            </w:pPr>
          </w:p>
        </w:tc>
        <w:tc>
          <w:tcPr>
            <w:tcW w:w="1381" w:type="dxa"/>
            <w:noWrap/>
            <w:hideMark/>
          </w:tcPr>
          <w:p w14:paraId="6A10401E" w14:textId="77777777" w:rsidR="00F340B9" w:rsidRPr="00925FE5" w:rsidRDefault="00F340B9" w:rsidP="00DF7A25">
            <w:pPr>
              <w:contextualSpacing/>
              <w:rPr>
                <w:rFonts w:ascii="Garamond" w:hAnsi="Garamond" w:cstheme="minorHAnsi"/>
                <w:sz w:val="20"/>
                <w:szCs w:val="20"/>
              </w:rPr>
            </w:pPr>
            <w:r w:rsidRPr="00925FE5">
              <w:rPr>
                <w:rFonts w:ascii="Garamond" w:hAnsi="Garamond" w:cstheme="minorHAnsi"/>
                <w:sz w:val="20"/>
                <w:szCs w:val="20"/>
              </w:rPr>
              <w:t xml:space="preserve">1,644,200 </w:t>
            </w:r>
          </w:p>
        </w:tc>
      </w:tr>
    </w:tbl>
    <w:p w14:paraId="0F031D39" w14:textId="7B9DFF36" w:rsidR="00F340B9" w:rsidRPr="00925FE5" w:rsidRDefault="00D04E33" w:rsidP="00F340B9">
      <w:pPr>
        <w:spacing w:line="240" w:lineRule="auto"/>
        <w:ind w:left="-720" w:firstLine="450"/>
        <w:contextualSpacing/>
        <w:rPr>
          <w:rFonts w:ascii="Garamond" w:hAnsi="Garamond" w:cs="Times New Roman"/>
          <w:bCs/>
          <w:sz w:val="16"/>
          <w:szCs w:val="16"/>
        </w:rPr>
      </w:pPr>
      <w:r w:rsidRPr="00925FE5">
        <w:rPr>
          <w:rFonts w:ascii="Garamond" w:hAnsi="Garamond" w:cs="Times New Roman"/>
          <w:bCs/>
          <w:sz w:val="16"/>
          <w:szCs w:val="16"/>
        </w:rPr>
        <w:t xml:space="preserve">USD=U.S. dollar; </w:t>
      </w:r>
      <w:r w:rsidR="00F340B9" w:rsidRPr="00925FE5">
        <w:rPr>
          <w:rFonts w:ascii="Garamond" w:hAnsi="Garamond" w:cs="Times New Roman"/>
          <w:bCs/>
          <w:sz w:val="16"/>
          <w:szCs w:val="16"/>
        </w:rPr>
        <w:t>N/A</w:t>
      </w:r>
      <w:r w:rsidR="007F1FD8" w:rsidRPr="00925FE5">
        <w:rPr>
          <w:rFonts w:ascii="Garamond" w:hAnsi="Garamond" w:cs="Times New Roman"/>
          <w:bCs/>
          <w:sz w:val="16"/>
          <w:szCs w:val="16"/>
        </w:rPr>
        <w:t xml:space="preserve"> </w:t>
      </w:r>
      <w:r w:rsidR="00F340B9" w:rsidRPr="00925FE5">
        <w:rPr>
          <w:rFonts w:ascii="Garamond" w:hAnsi="Garamond" w:cs="Times New Roman"/>
          <w:bCs/>
          <w:sz w:val="16"/>
          <w:szCs w:val="16"/>
        </w:rPr>
        <w:t>=</w:t>
      </w:r>
      <w:r w:rsidR="007F1FD8" w:rsidRPr="00925FE5">
        <w:rPr>
          <w:rFonts w:ascii="Garamond" w:hAnsi="Garamond" w:cs="Times New Roman"/>
          <w:bCs/>
          <w:sz w:val="16"/>
          <w:szCs w:val="16"/>
        </w:rPr>
        <w:t xml:space="preserve"> </w:t>
      </w:r>
      <w:r w:rsidR="00F340B9" w:rsidRPr="00925FE5">
        <w:rPr>
          <w:rFonts w:ascii="Garamond" w:hAnsi="Garamond" w:cs="Times New Roman"/>
          <w:bCs/>
          <w:sz w:val="16"/>
          <w:szCs w:val="16"/>
        </w:rPr>
        <w:t>not available</w:t>
      </w:r>
    </w:p>
    <w:p w14:paraId="6F0DB125" w14:textId="7DE95772" w:rsidR="007F1FD8" w:rsidRPr="00925FE5" w:rsidRDefault="007F1FD8" w:rsidP="007F1FD8">
      <w:pPr>
        <w:spacing w:line="240" w:lineRule="auto"/>
        <w:ind w:left="-270"/>
        <w:contextualSpacing/>
        <w:rPr>
          <w:rFonts w:ascii="Garamond" w:hAnsi="Garamond" w:cs="Times New Roman"/>
          <w:sz w:val="16"/>
          <w:szCs w:val="16"/>
        </w:rPr>
      </w:pPr>
      <w:r w:rsidRPr="00925FE5">
        <w:rPr>
          <w:rFonts w:ascii="Garamond" w:hAnsi="Garamond" w:cs="Times New Roman"/>
          <w:sz w:val="16"/>
          <w:szCs w:val="16"/>
          <w:vertAlign w:val="superscript"/>
        </w:rPr>
        <w:t>1</w:t>
      </w:r>
      <w:r w:rsidRPr="00925FE5">
        <w:rPr>
          <w:rFonts w:ascii="Garamond" w:hAnsi="Garamond" w:cs="Times New Roman"/>
          <w:bCs/>
          <w:sz w:val="16"/>
          <w:szCs w:val="16"/>
        </w:rPr>
        <w:t xml:space="preserve"> See Appendix for definition and list of countries included in the 49 </w:t>
      </w:r>
      <w:r w:rsidR="00B578DC" w:rsidRPr="00925FE5">
        <w:rPr>
          <w:rFonts w:ascii="Garamond" w:hAnsi="Garamond" w:cs="Times New Roman"/>
          <w:bCs/>
          <w:sz w:val="16"/>
          <w:szCs w:val="16"/>
        </w:rPr>
        <w:t xml:space="preserve">global </w:t>
      </w:r>
      <w:r w:rsidRPr="00925FE5">
        <w:rPr>
          <w:rFonts w:ascii="Garamond" w:hAnsi="Garamond" w:cs="Times New Roman"/>
          <w:bCs/>
          <w:sz w:val="16"/>
          <w:szCs w:val="16"/>
        </w:rPr>
        <w:t>health security priority countries.</w:t>
      </w:r>
    </w:p>
    <w:p w14:paraId="0584DCEA" w14:textId="784E6E4F" w:rsidR="00F340B9" w:rsidRPr="00925FE5" w:rsidRDefault="007F1FD8" w:rsidP="00F340B9">
      <w:pPr>
        <w:spacing w:line="240" w:lineRule="auto"/>
        <w:ind w:left="-270"/>
        <w:contextualSpacing/>
        <w:rPr>
          <w:rFonts w:ascii="Garamond" w:hAnsi="Garamond" w:cs="Times New Roman"/>
          <w:bCs/>
          <w:sz w:val="16"/>
          <w:szCs w:val="16"/>
        </w:rPr>
      </w:pPr>
      <w:r w:rsidRPr="00925FE5">
        <w:rPr>
          <w:rFonts w:ascii="Garamond" w:hAnsi="Garamond" w:cs="Times New Roman"/>
          <w:bCs/>
          <w:sz w:val="16"/>
          <w:szCs w:val="16"/>
          <w:vertAlign w:val="superscript"/>
        </w:rPr>
        <w:t>2</w:t>
      </w:r>
      <w:r w:rsidR="00F340B9" w:rsidRPr="00925FE5">
        <w:rPr>
          <w:rFonts w:ascii="Garamond" w:hAnsi="Garamond" w:cs="Times New Roman"/>
          <w:bCs/>
          <w:sz w:val="16"/>
          <w:szCs w:val="16"/>
        </w:rPr>
        <w:t xml:space="preserve"> Included estimated s</w:t>
      </w:r>
      <w:r w:rsidR="00697619" w:rsidRPr="00925FE5">
        <w:rPr>
          <w:rFonts w:ascii="Garamond" w:hAnsi="Garamond" w:cs="Times New Roman"/>
          <w:bCs/>
          <w:sz w:val="16"/>
          <w:szCs w:val="16"/>
        </w:rPr>
        <w:t>ummation of the following first</w:t>
      </w:r>
      <w:r w:rsidR="00B578DC" w:rsidRPr="00925FE5">
        <w:rPr>
          <w:rFonts w:ascii="Garamond" w:hAnsi="Garamond" w:cs="Times New Roman"/>
          <w:bCs/>
          <w:sz w:val="16"/>
          <w:szCs w:val="16"/>
        </w:rPr>
        <w:t xml:space="preserve"> four </w:t>
      </w:r>
      <w:r w:rsidR="00F340B9" w:rsidRPr="00925FE5">
        <w:rPr>
          <w:rFonts w:ascii="Garamond" w:hAnsi="Garamond" w:cs="Times New Roman"/>
          <w:bCs/>
          <w:sz w:val="16"/>
          <w:szCs w:val="16"/>
        </w:rPr>
        <w:t xml:space="preserve">columns (categories): agriculture, forestry, fishing and hunting + mining, quarrying, and oil/gas extraction + manufactured goods + other exports. Per the North America Industrial Classification Standard (NAICS), other exports are defined as waste, used merchandise and special classification. Data for the first four categories were downloaded from the International Trade Administration's Trade Policy Information System (TPIS) website by selecting the </w:t>
      </w:r>
      <w:r w:rsidR="001B6ED8" w:rsidRPr="00925FE5">
        <w:rPr>
          <w:rFonts w:ascii="Garamond" w:hAnsi="Garamond" w:cs="Times New Roman"/>
          <w:bCs/>
          <w:sz w:val="16"/>
          <w:szCs w:val="16"/>
        </w:rPr>
        <w:t xml:space="preserve">global </w:t>
      </w:r>
      <w:r w:rsidR="00F340B9" w:rsidRPr="00925FE5">
        <w:rPr>
          <w:rFonts w:ascii="Garamond" w:hAnsi="Garamond" w:cs="Times New Roman"/>
          <w:bCs/>
          <w:sz w:val="16"/>
          <w:szCs w:val="16"/>
        </w:rPr>
        <w:t xml:space="preserve">health security priority countries and selecting: </w:t>
      </w:r>
      <w:hyperlink r:id="rId10" w:history="1">
        <w:r w:rsidR="00F340B9" w:rsidRPr="00925FE5">
          <w:rPr>
            <w:rFonts w:ascii="Garamond" w:hAnsi="Garamond" w:cs="Times New Roman"/>
            <w:bCs/>
            <w:color w:val="0000FF" w:themeColor="hyperlink"/>
            <w:sz w:val="16"/>
            <w:szCs w:val="16"/>
            <w:u w:val="single"/>
          </w:rPr>
          <w:t>http://tpis1.trade.gov</w:t>
        </w:r>
      </w:hyperlink>
      <w:r w:rsidR="00F340B9" w:rsidRPr="00925FE5">
        <w:rPr>
          <w:rFonts w:ascii="Garamond" w:hAnsi="Garamond" w:cs="Times New Roman"/>
          <w:bCs/>
          <w:sz w:val="16"/>
          <w:szCs w:val="16"/>
        </w:rPr>
        <w:t xml:space="preserve"> (</w:t>
      </w:r>
      <w:r w:rsidR="001B6ED8" w:rsidRPr="00925FE5">
        <w:rPr>
          <w:rFonts w:ascii="Garamond" w:hAnsi="Garamond" w:cs="Times New Roman"/>
          <w:bCs/>
          <w:sz w:val="16"/>
          <w:szCs w:val="16"/>
        </w:rPr>
        <w:t>1</w:t>
      </w:r>
      <w:r w:rsidR="00697619" w:rsidRPr="00925FE5">
        <w:rPr>
          <w:rFonts w:ascii="Garamond" w:hAnsi="Garamond" w:cs="Times New Roman"/>
          <w:bCs/>
          <w:sz w:val="16"/>
          <w:szCs w:val="16"/>
        </w:rPr>
        <w:t>2</w:t>
      </w:r>
      <w:r w:rsidR="001B6ED8" w:rsidRPr="00925FE5">
        <w:rPr>
          <w:rFonts w:ascii="Garamond" w:hAnsi="Garamond" w:cs="Times New Roman"/>
          <w:bCs/>
          <w:sz w:val="16"/>
          <w:szCs w:val="16"/>
        </w:rPr>
        <w:t>-1</w:t>
      </w:r>
      <w:r w:rsidR="00697619" w:rsidRPr="00925FE5">
        <w:rPr>
          <w:rFonts w:ascii="Garamond" w:hAnsi="Garamond" w:cs="Times New Roman"/>
          <w:bCs/>
          <w:sz w:val="16"/>
          <w:szCs w:val="16"/>
        </w:rPr>
        <w:t>7</w:t>
      </w:r>
      <w:r w:rsidR="00F340B9" w:rsidRPr="00925FE5">
        <w:rPr>
          <w:rFonts w:ascii="Garamond" w:hAnsi="Garamond" w:cs="Times New Roman"/>
          <w:bCs/>
          <w:sz w:val="16"/>
          <w:szCs w:val="16"/>
        </w:rPr>
        <w:t>)</w:t>
      </w:r>
      <w:r w:rsidR="0021008F" w:rsidRPr="00925FE5">
        <w:rPr>
          <w:rFonts w:ascii="Garamond" w:hAnsi="Garamond" w:cs="Times New Roman"/>
          <w:bCs/>
          <w:sz w:val="16"/>
          <w:szCs w:val="16"/>
        </w:rPr>
        <w:t>.</w:t>
      </w:r>
      <w:r w:rsidR="00F340B9" w:rsidRPr="00925FE5">
        <w:rPr>
          <w:rFonts w:ascii="Garamond" w:hAnsi="Garamond" w:cs="Times New Roman"/>
          <w:bCs/>
          <w:sz w:val="16"/>
          <w:szCs w:val="16"/>
        </w:rPr>
        <w:t xml:space="preserve"> Then, the data were summed. </w:t>
      </w:r>
    </w:p>
    <w:p w14:paraId="551BC23E" w14:textId="23AC07A1" w:rsidR="00F340B9" w:rsidRPr="00925FE5" w:rsidRDefault="007F1FD8" w:rsidP="00F340B9">
      <w:pPr>
        <w:spacing w:line="240" w:lineRule="auto"/>
        <w:ind w:left="-270"/>
        <w:contextualSpacing/>
        <w:rPr>
          <w:rFonts w:ascii="Garamond" w:hAnsi="Garamond" w:cs="Times New Roman"/>
          <w:bCs/>
          <w:sz w:val="16"/>
          <w:szCs w:val="16"/>
          <w:vertAlign w:val="superscript"/>
        </w:rPr>
      </w:pPr>
      <w:r w:rsidRPr="00925FE5">
        <w:rPr>
          <w:rFonts w:ascii="Garamond" w:hAnsi="Garamond" w:cs="Times New Roman"/>
          <w:b/>
          <w:bCs/>
          <w:sz w:val="16"/>
          <w:szCs w:val="16"/>
          <w:vertAlign w:val="superscript"/>
        </w:rPr>
        <w:t>3</w:t>
      </w:r>
      <w:r w:rsidR="00F340B9" w:rsidRPr="00925FE5">
        <w:rPr>
          <w:rFonts w:ascii="Garamond" w:hAnsi="Garamond" w:cs="Times New Roman"/>
          <w:b/>
          <w:bCs/>
          <w:sz w:val="16"/>
          <w:szCs w:val="16"/>
          <w:vertAlign w:val="superscript"/>
        </w:rPr>
        <w:t xml:space="preserve"> </w:t>
      </w:r>
      <w:r w:rsidR="00F340B9" w:rsidRPr="00925FE5">
        <w:rPr>
          <w:rFonts w:ascii="Garamond" w:hAnsi="Garamond" w:cs="Times New Roman"/>
          <w:bCs/>
          <w:sz w:val="16"/>
          <w:szCs w:val="16"/>
        </w:rPr>
        <w:t>Service</w:t>
      </w:r>
      <w:r w:rsidR="00F340B9" w:rsidRPr="00925FE5">
        <w:rPr>
          <w:rFonts w:ascii="Garamond" w:hAnsi="Garamond" w:cs="Times New Roman"/>
          <w:b/>
          <w:bCs/>
          <w:sz w:val="16"/>
          <w:szCs w:val="16"/>
          <w:vertAlign w:val="superscript"/>
        </w:rPr>
        <w:t xml:space="preserve"> </w:t>
      </w:r>
      <w:r w:rsidR="00F340B9" w:rsidRPr="00925FE5">
        <w:rPr>
          <w:rFonts w:ascii="Garamond" w:hAnsi="Garamond" w:cs="Times New Roman"/>
          <w:bCs/>
          <w:sz w:val="16"/>
          <w:szCs w:val="16"/>
        </w:rPr>
        <w:t xml:space="preserve">data only available for countries where U.S. have trade agreements or presence (n=10). Service data can be found on the U.S. Department of Commerce Bureau of Economic Analysis (BEA) </w:t>
      </w:r>
      <w:r w:rsidRPr="00925FE5">
        <w:rPr>
          <w:rFonts w:ascii="Garamond" w:hAnsi="Garamond" w:cs="Times New Roman"/>
          <w:bCs/>
          <w:sz w:val="16"/>
          <w:szCs w:val="16"/>
        </w:rPr>
        <w:t>(</w:t>
      </w:r>
      <w:r w:rsidR="001B6ED8" w:rsidRPr="00925FE5">
        <w:rPr>
          <w:rFonts w:ascii="Garamond" w:hAnsi="Garamond" w:cs="Times New Roman"/>
          <w:bCs/>
          <w:sz w:val="16"/>
          <w:szCs w:val="16"/>
        </w:rPr>
        <w:t>1</w:t>
      </w:r>
      <w:r w:rsidR="00697619" w:rsidRPr="00925FE5">
        <w:rPr>
          <w:rFonts w:ascii="Garamond" w:hAnsi="Garamond" w:cs="Times New Roman"/>
          <w:bCs/>
          <w:sz w:val="16"/>
          <w:szCs w:val="16"/>
        </w:rPr>
        <w:t>2</w:t>
      </w:r>
      <w:r w:rsidR="001B6ED8" w:rsidRPr="00925FE5">
        <w:rPr>
          <w:rFonts w:ascii="Garamond" w:hAnsi="Garamond" w:cs="Times New Roman"/>
          <w:bCs/>
          <w:sz w:val="16"/>
          <w:szCs w:val="16"/>
        </w:rPr>
        <w:t>-1</w:t>
      </w:r>
      <w:r w:rsidR="00697619" w:rsidRPr="00925FE5">
        <w:rPr>
          <w:rFonts w:ascii="Garamond" w:hAnsi="Garamond" w:cs="Times New Roman"/>
          <w:bCs/>
          <w:sz w:val="16"/>
          <w:szCs w:val="16"/>
        </w:rPr>
        <w:t>7</w:t>
      </w:r>
      <w:r w:rsidR="00F340B9" w:rsidRPr="00925FE5">
        <w:rPr>
          <w:rFonts w:ascii="Garamond" w:hAnsi="Garamond" w:cs="Times New Roman"/>
          <w:bCs/>
          <w:sz w:val="16"/>
          <w:szCs w:val="16"/>
        </w:rPr>
        <w:t>). Service data on the BEA website is rounded to the nearest million.</w:t>
      </w:r>
    </w:p>
    <w:p w14:paraId="24F79812" w14:textId="704E8A55" w:rsidR="00F340B9" w:rsidRPr="00925FE5" w:rsidRDefault="007F1FD8" w:rsidP="00F340B9">
      <w:pPr>
        <w:spacing w:line="240" w:lineRule="auto"/>
        <w:ind w:left="-270"/>
        <w:contextualSpacing/>
        <w:rPr>
          <w:rFonts w:ascii="Garamond" w:hAnsi="Garamond" w:cs="Times New Roman"/>
          <w:bCs/>
          <w:sz w:val="16"/>
          <w:szCs w:val="16"/>
        </w:rPr>
      </w:pPr>
      <w:r w:rsidRPr="00925FE5">
        <w:rPr>
          <w:rFonts w:ascii="Garamond" w:hAnsi="Garamond" w:cs="Times New Roman"/>
          <w:bCs/>
          <w:sz w:val="16"/>
          <w:szCs w:val="16"/>
          <w:vertAlign w:val="superscript"/>
        </w:rPr>
        <w:t>4</w:t>
      </w:r>
      <w:r w:rsidR="00F340B9" w:rsidRPr="00925FE5">
        <w:rPr>
          <w:rFonts w:ascii="Garamond" w:hAnsi="Garamond" w:cs="Times New Roman"/>
          <w:bCs/>
          <w:sz w:val="16"/>
          <w:szCs w:val="16"/>
          <w:vertAlign w:val="superscript"/>
        </w:rPr>
        <w:t xml:space="preserve"> </w:t>
      </w:r>
      <w:r w:rsidR="00F340B9" w:rsidRPr="00925FE5">
        <w:rPr>
          <w:rFonts w:ascii="Garamond" w:hAnsi="Garamond" w:cs="Times New Roman"/>
          <w:bCs/>
          <w:sz w:val="16"/>
          <w:szCs w:val="16"/>
        </w:rPr>
        <w:t xml:space="preserve">If no service data available, then only estimated total value for exported material goods was used in providing the total value of exported material goods and/or services row and column. If service data were available, then the total value of exported material goods and/or services exported included </w:t>
      </w:r>
      <w:r w:rsidR="00F340B9" w:rsidRPr="00925FE5">
        <w:rPr>
          <w:rFonts w:ascii="Garamond" w:hAnsi="Garamond" w:cs="Times New Roman"/>
          <w:bCs/>
          <w:i/>
          <w:sz w:val="16"/>
          <w:szCs w:val="16"/>
        </w:rPr>
        <w:t>both</w:t>
      </w:r>
      <w:r w:rsidR="00F340B9" w:rsidRPr="00925FE5">
        <w:rPr>
          <w:rFonts w:ascii="Garamond" w:hAnsi="Garamond" w:cs="Times New Roman"/>
          <w:bCs/>
          <w:sz w:val="16"/>
          <w:szCs w:val="16"/>
        </w:rPr>
        <w:t xml:space="preserve"> the total value for exported material goods and total value of services exported. </w:t>
      </w:r>
    </w:p>
    <w:p w14:paraId="4991B252" w14:textId="5D662E8A" w:rsidR="00F340B9" w:rsidRPr="00925FE5" w:rsidRDefault="007F1FD8" w:rsidP="00F340B9">
      <w:pPr>
        <w:spacing w:line="240" w:lineRule="auto"/>
        <w:ind w:left="-270"/>
        <w:contextualSpacing/>
        <w:rPr>
          <w:rFonts w:ascii="Garamond" w:hAnsi="Garamond" w:cs="Times New Roman"/>
          <w:bCs/>
          <w:sz w:val="16"/>
          <w:szCs w:val="16"/>
        </w:rPr>
      </w:pPr>
      <w:r w:rsidRPr="00925FE5">
        <w:rPr>
          <w:rFonts w:ascii="Garamond" w:hAnsi="Garamond" w:cs="Times New Roman"/>
          <w:bCs/>
          <w:sz w:val="16"/>
          <w:szCs w:val="16"/>
          <w:vertAlign w:val="superscript"/>
        </w:rPr>
        <w:t>5</w:t>
      </w:r>
      <w:r w:rsidR="00F340B9" w:rsidRPr="00925FE5">
        <w:rPr>
          <w:rFonts w:ascii="Garamond" w:hAnsi="Garamond" w:cs="Times New Roman"/>
          <w:bCs/>
          <w:sz w:val="16"/>
          <w:szCs w:val="16"/>
          <w:vertAlign w:val="superscript"/>
        </w:rPr>
        <w:t xml:space="preserve"> </w:t>
      </w:r>
      <w:r w:rsidR="00F340B9" w:rsidRPr="00925FE5">
        <w:rPr>
          <w:rFonts w:ascii="Garamond" w:hAnsi="Garamond" w:cs="Times New Roman"/>
          <w:bCs/>
          <w:sz w:val="16"/>
          <w:szCs w:val="16"/>
        </w:rPr>
        <w:t>Data for number of U.S. jobs supported by material goods and/or services exported came from the U.S. Department of Commerce International Trade Administration website for “Jobs Su</w:t>
      </w:r>
      <w:r w:rsidR="0021008F" w:rsidRPr="00925FE5">
        <w:rPr>
          <w:rFonts w:ascii="Garamond" w:hAnsi="Garamond" w:cs="Times New Roman"/>
          <w:bCs/>
          <w:sz w:val="16"/>
          <w:szCs w:val="16"/>
        </w:rPr>
        <w:t xml:space="preserve">pported by Export Destination” </w:t>
      </w:r>
      <w:r w:rsidR="00F340B9" w:rsidRPr="00925FE5">
        <w:rPr>
          <w:rFonts w:ascii="Garamond" w:hAnsi="Garamond" w:cs="Times New Roman"/>
          <w:bCs/>
          <w:sz w:val="16"/>
          <w:szCs w:val="16"/>
        </w:rPr>
        <w:t>(1</w:t>
      </w:r>
      <w:r w:rsidR="00697619" w:rsidRPr="00925FE5">
        <w:rPr>
          <w:rFonts w:ascii="Garamond" w:hAnsi="Garamond" w:cs="Times New Roman"/>
          <w:bCs/>
          <w:sz w:val="16"/>
          <w:szCs w:val="16"/>
        </w:rPr>
        <w:t>4</w:t>
      </w:r>
      <w:r w:rsidR="00F340B9" w:rsidRPr="00925FE5">
        <w:rPr>
          <w:rFonts w:ascii="Garamond" w:hAnsi="Garamond" w:cs="Times New Roman"/>
          <w:bCs/>
          <w:sz w:val="16"/>
          <w:szCs w:val="16"/>
        </w:rPr>
        <w:t>).</w:t>
      </w:r>
    </w:p>
    <w:p w14:paraId="250C6174" w14:textId="5200FB7F" w:rsidR="005065C8" w:rsidRPr="00925FE5" w:rsidRDefault="007F1FD8" w:rsidP="005E3848">
      <w:pPr>
        <w:spacing w:line="240" w:lineRule="auto"/>
        <w:ind w:left="-270"/>
        <w:contextualSpacing/>
        <w:rPr>
          <w:rFonts w:ascii="Garamond" w:eastAsia="Times New Roman" w:hAnsi="Garamond" w:cs="Times New Roman"/>
          <w:bCs/>
          <w:sz w:val="16"/>
          <w:szCs w:val="16"/>
        </w:rPr>
      </w:pPr>
      <w:r w:rsidRPr="00925FE5">
        <w:rPr>
          <w:rFonts w:ascii="Garamond" w:hAnsi="Garamond" w:cs="Times New Roman"/>
          <w:bCs/>
          <w:sz w:val="16"/>
          <w:szCs w:val="16"/>
          <w:vertAlign w:val="superscript"/>
        </w:rPr>
        <w:t xml:space="preserve">6 </w:t>
      </w:r>
      <w:r w:rsidR="00F340B9" w:rsidRPr="00925FE5">
        <w:rPr>
          <w:rFonts w:ascii="Garamond" w:hAnsi="Garamond" w:cs="Times New Roman"/>
          <w:bCs/>
          <w:sz w:val="16"/>
          <w:szCs w:val="16"/>
        </w:rPr>
        <w:t>These 15 nations comprise the Caribbean commun</w:t>
      </w:r>
      <w:r w:rsidR="00352D04" w:rsidRPr="00925FE5">
        <w:rPr>
          <w:rFonts w:ascii="Garamond" w:hAnsi="Garamond" w:cs="Times New Roman"/>
          <w:bCs/>
          <w:sz w:val="16"/>
          <w:szCs w:val="16"/>
        </w:rPr>
        <w:t>ity, otherwise known as CARICO</w:t>
      </w:r>
      <w:r w:rsidR="005E3848" w:rsidRPr="00925FE5">
        <w:rPr>
          <w:rFonts w:ascii="Garamond" w:hAnsi="Garamond" w:cs="Times New Roman"/>
          <w:bCs/>
          <w:sz w:val="16"/>
          <w:szCs w:val="16"/>
        </w:rPr>
        <w:t>M.</w:t>
      </w:r>
    </w:p>
    <w:sectPr w:rsidR="005065C8" w:rsidRPr="00925FE5" w:rsidSect="002A503F">
      <w:footerReference w:type="default" r:id="rId11"/>
      <w:endnotePr>
        <w:numFmt w:val="decimal"/>
      </w:endnotePr>
      <w:pgSz w:w="15840" w:h="12240" w:orient="landscape"/>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4AB0" w14:textId="77777777" w:rsidR="0084519F" w:rsidRDefault="0084519F" w:rsidP="008B5D54">
      <w:pPr>
        <w:spacing w:after="0" w:line="240" w:lineRule="auto"/>
      </w:pPr>
      <w:r>
        <w:separator/>
      </w:r>
    </w:p>
  </w:endnote>
  <w:endnote w:type="continuationSeparator" w:id="0">
    <w:p w14:paraId="650319F3" w14:textId="77777777" w:rsidR="0084519F" w:rsidRDefault="0084519F" w:rsidP="008B5D54">
      <w:pPr>
        <w:spacing w:after="0" w:line="240" w:lineRule="auto"/>
      </w:pPr>
      <w:r>
        <w:continuationSeparator/>
      </w:r>
    </w:p>
  </w:endnote>
  <w:endnote w:type="continuationNotice" w:id="1">
    <w:p w14:paraId="0DDB4F97" w14:textId="77777777" w:rsidR="0084519F" w:rsidRDefault="00845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604649"/>
      <w:docPartObj>
        <w:docPartGallery w:val="Page Numbers (Bottom of Page)"/>
        <w:docPartUnique/>
      </w:docPartObj>
    </w:sdtPr>
    <w:sdtEndPr>
      <w:rPr>
        <w:rFonts w:ascii="Times New Roman" w:hAnsi="Times New Roman"/>
        <w:sz w:val="20"/>
      </w:rPr>
    </w:sdtEndPr>
    <w:sdtContent>
      <w:sdt>
        <w:sdtPr>
          <w:rPr>
            <w:rFonts w:ascii="Times New Roman" w:hAnsi="Times New Roman"/>
            <w:sz w:val="20"/>
          </w:rPr>
          <w:id w:val="223651370"/>
          <w:docPartObj>
            <w:docPartGallery w:val="Page Numbers (Top of Page)"/>
            <w:docPartUnique/>
          </w:docPartObj>
        </w:sdtPr>
        <w:sdtEndPr/>
        <w:sdtContent>
          <w:p w14:paraId="7F3F4066" w14:textId="09505A9D" w:rsidR="005E3848" w:rsidRPr="008E24E2" w:rsidRDefault="005E3848">
            <w:pPr>
              <w:pStyle w:val="Footer"/>
              <w:jc w:val="center"/>
              <w:rPr>
                <w:rFonts w:ascii="Times New Roman" w:hAnsi="Times New Roman"/>
                <w:sz w:val="20"/>
              </w:rPr>
            </w:pPr>
            <w:r w:rsidRPr="008E24E2">
              <w:rPr>
                <w:rFonts w:ascii="Times New Roman" w:hAnsi="Times New Roman"/>
                <w:sz w:val="20"/>
              </w:rPr>
              <w:t xml:space="preserve">Page </w:t>
            </w:r>
            <w:r w:rsidRPr="008E24E2">
              <w:rPr>
                <w:rFonts w:ascii="Times New Roman" w:hAnsi="Times New Roman"/>
                <w:bCs/>
                <w:sz w:val="20"/>
                <w:szCs w:val="24"/>
              </w:rPr>
              <w:fldChar w:fldCharType="begin"/>
            </w:r>
            <w:r w:rsidRPr="008E24E2">
              <w:rPr>
                <w:rFonts w:ascii="Times New Roman" w:hAnsi="Times New Roman"/>
                <w:bCs/>
                <w:sz w:val="20"/>
              </w:rPr>
              <w:instrText xml:space="preserve"> PAGE </w:instrText>
            </w:r>
            <w:r w:rsidRPr="008E24E2">
              <w:rPr>
                <w:rFonts w:ascii="Times New Roman" w:hAnsi="Times New Roman"/>
                <w:bCs/>
                <w:sz w:val="20"/>
                <w:szCs w:val="24"/>
              </w:rPr>
              <w:fldChar w:fldCharType="separate"/>
            </w:r>
            <w:r w:rsidR="00925FE5">
              <w:rPr>
                <w:rFonts w:ascii="Times New Roman" w:hAnsi="Times New Roman"/>
                <w:bCs/>
                <w:noProof/>
                <w:sz w:val="20"/>
              </w:rPr>
              <w:t>4</w:t>
            </w:r>
            <w:r w:rsidRPr="008E24E2">
              <w:rPr>
                <w:rFonts w:ascii="Times New Roman" w:hAnsi="Times New Roman"/>
                <w:bCs/>
                <w:sz w:val="20"/>
                <w:szCs w:val="24"/>
              </w:rPr>
              <w:fldChar w:fldCharType="end"/>
            </w:r>
            <w:r w:rsidRPr="008E24E2">
              <w:rPr>
                <w:rFonts w:ascii="Times New Roman" w:hAnsi="Times New Roman"/>
                <w:sz w:val="20"/>
              </w:rPr>
              <w:t xml:space="preserve"> of </w:t>
            </w:r>
            <w:r w:rsidRPr="008E24E2">
              <w:rPr>
                <w:rFonts w:ascii="Times New Roman" w:hAnsi="Times New Roman"/>
                <w:bCs/>
                <w:sz w:val="20"/>
                <w:szCs w:val="24"/>
              </w:rPr>
              <w:fldChar w:fldCharType="begin"/>
            </w:r>
            <w:r w:rsidRPr="008E24E2">
              <w:rPr>
                <w:rFonts w:ascii="Times New Roman" w:hAnsi="Times New Roman"/>
                <w:bCs/>
                <w:sz w:val="20"/>
              </w:rPr>
              <w:instrText xml:space="preserve"> NUMPAGES  </w:instrText>
            </w:r>
            <w:r w:rsidRPr="008E24E2">
              <w:rPr>
                <w:rFonts w:ascii="Times New Roman" w:hAnsi="Times New Roman"/>
                <w:bCs/>
                <w:sz w:val="20"/>
                <w:szCs w:val="24"/>
              </w:rPr>
              <w:fldChar w:fldCharType="separate"/>
            </w:r>
            <w:r w:rsidR="00925FE5">
              <w:rPr>
                <w:rFonts w:ascii="Times New Roman" w:hAnsi="Times New Roman"/>
                <w:bCs/>
                <w:noProof/>
                <w:sz w:val="20"/>
              </w:rPr>
              <w:t>6</w:t>
            </w:r>
            <w:r w:rsidRPr="008E24E2">
              <w:rPr>
                <w:rFonts w:ascii="Times New Roman" w:hAnsi="Times New Roman"/>
                <w:bCs/>
                <w:sz w:val="20"/>
                <w:szCs w:val="24"/>
              </w:rPr>
              <w:fldChar w:fldCharType="end"/>
            </w:r>
          </w:p>
        </w:sdtContent>
      </w:sdt>
    </w:sdtContent>
  </w:sdt>
  <w:p w14:paraId="38968B81" w14:textId="77777777" w:rsidR="005E3848" w:rsidRDefault="005E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747310"/>
      <w:docPartObj>
        <w:docPartGallery w:val="Page Numbers (Bottom of Page)"/>
        <w:docPartUnique/>
      </w:docPartObj>
    </w:sdtPr>
    <w:sdtEndPr/>
    <w:sdtContent>
      <w:sdt>
        <w:sdtPr>
          <w:id w:val="1100211322"/>
          <w:docPartObj>
            <w:docPartGallery w:val="Page Numbers (Top of Page)"/>
            <w:docPartUnique/>
          </w:docPartObj>
        </w:sdtPr>
        <w:sdtEndPr/>
        <w:sdtContent>
          <w:p w14:paraId="607049FD" w14:textId="3BB77221" w:rsidR="005E3848" w:rsidRDefault="005E3848">
            <w:pPr>
              <w:pStyle w:val="Footer"/>
              <w:jc w:val="center"/>
            </w:pPr>
            <w:r w:rsidRPr="008D5552">
              <w:rPr>
                <w:rFonts w:ascii="Times New Roman" w:hAnsi="Times New Roman" w:cs="Times New Roman"/>
                <w:sz w:val="20"/>
              </w:rPr>
              <w:t xml:space="preserve">Page </w:t>
            </w:r>
            <w:r w:rsidRPr="008D5552">
              <w:rPr>
                <w:rFonts w:ascii="Times New Roman" w:hAnsi="Times New Roman" w:cs="Times New Roman"/>
                <w:b/>
                <w:bCs/>
                <w:sz w:val="20"/>
                <w:szCs w:val="24"/>
              </w:rPr>
              <w:fldChar w:fldCharType="begin"/>
            </w:r>
            <w:r w:rsidRPr="008D5552">
              <w:rPr>
                <w:rFonts w:ascii="Times New Roman" w:hAnsi="Times New Roman" w:cs="Times New Roman"/>
                <w:b/>
                <w:bCs/>
                <w:sz w:val="20"/>
              </w:rPr>
              <w:instrText xml:space="preserve"> PAGE </w:instrText>
            </w:r>
            <w:r w:rsidRPr="008D5552">
              <w:rPr>
                <w:rFonts w:ascii="Times New Roman" w:hAnsi="Times New Roman" w:cs="Times New Roman"/>
                <w:b/>
                <w:bCs/>
                <w:sz w:val="20"/>
                <w:szCs w:val="24"/>
              </w:rPr>
              <w:fldChar w:fldCharType="separate"/>
            </w:r>
            <w:r w:rsidR="00925FE5">
              <w:rPr>
                <w:rFonts w:ascii="Times New Roman" w:hAnsi="Times New Roman" w:cs="Times New Roman"/>
                <w:b/>
                <w:bCs/>
                <w:noProof/>
                <w:sz w:val="20"/>
              </w:rPr>
              <w:t>6</w:t>
            </w:r>
            <w:r w:rsidRPr="008D5552">
              <w:rPr>
                <w:rFonts w:ascii="Times New Roman" w:hAnsi="Times New Roman" w:cs="Times New Roman"/>
                <w:b/>
                <w:bCs/>
                <w:sz w:val="20"/>
                <w:szCs w:val="24"/>
              </w:rPr>
              <w:fldChar w:fldCharType="end"/>
            </w:r>
            <w:r w:rsidRPr="008D5552">
              <w:rPr>
                <w:rFonts w:ascii="Times New Roman" w:hAnsi="Times New Roman" w:cs="Times New Roman"/>
                <w:sz w:val="20"/>
              </w:rPr>
              <w:t xml:space="preserve"> of </w:t>
            </w:r>
            <w:r w:rsidRPr="008D5552">
              <w:rPr>
                <w:rFonts w:ascii="Times New Roman" w:hAnsi="Times New Roman" w:cs="Times New Roman"/>
                <w:b/>
                <w:bCs/>
                <w:sz w:val="20"/>
                <w:szCs w:val="24"/>
              </w:rPr>
              <w:fldChar w:fldCharType="begin"/>
            </w:r>
            <w:r w:rsidRPr="008D5552">
              <w:rPr>
                <w:rFonts w:ascii="Times New Roman" w:hAnsi="Times New Roman" w:cs="Times New Roman"/>
                <w:b/>
                <w:bCs/>
                <w:sz w:val="20"/>
              </w:rPr>
              <w:instrText xml:space="preserve"> NUMPAGES  </w:instrText>
            </w:r>
            <w:r w:rsidRPr="008D5552">
              <w:rPr>
                <w:rFonts w:ascii="Times New Roman" w:hAnsi="Times New Roman" w:cs="Times New Roman"/>
                <w:b/>
                <w:bCs/>
                <w:sz w:val="20"/>
                <w:szCs w:val="24"/>
              </w:rPr>
              <w:fldChar w:fldCharType="separate"/>
            </w:r>
            <w:r w:rsidR="00925FE5">
              <w:rPr>
                <w:rFonts w:ascii="Times New Roman" w:hAnsi="Times New Roman" w:cs="Times New Roman"/>
                <w:b/>
                <w:bCs/>
                <w:noProof/>
                <w:sz w:val="20"/>
              </w:rPr>
              <w:t>6</w:t>
            </w:r>
            <w:r w:rsidRPr="008D5552">
              <w:rPr>
                <w:rFonts w:ascii="Times New Roman" w:hAnsi="Times New Roman" w:cs="Times New Roman"/>
                <w:b/>
                <w:bCs/>
                <w:sz w:val="20"/>
                <w:szCs w:val="24"/>
              </w:rPr>
              <w:fldChar w:fldCharType="end"/>
            </w:r>
          </w:p>
        </w:sdtContent>
      </w:sdt>
    </w:sdtContent>
  </w:sdt>
  <w:p w14:paraId="4ED36269" w14:textId="77777777" w:rsidR="005E3848" w:rsidRDefault="005E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485F" w14:textId="77777777" w:rsidR="0084519F" w:rsidRDefault="0084519F" w:rsidP="008B5D54">
      <w:pPr>
        <w:spacing w:after="0" w:line="240" w:lineRule="auto"/>
      </w:pPr>
      <w:r>
        <w:separator/>
      </w:r>
    </w:p>
  </w:footnote>
  <w:footnote w:type="continuationSeparator" w:id="0">
    <w:p w14:paraId="745DBB5D" w14:textId="77777777" w:rsidR="0084519F" w:rsidRDefault="0084519F" w:rsidP="008B5D54">
      <w:pPr>
        <w:spacing w:after="0" w:line="240" w:lineRule="auto"/>
      </w:pPr>
      <w:r>
        <w:continuationSeparator/>
      </w:r>
    </w:p>
  </w:footnote>
  <w:footnote w:type="continuationNotice" w:id="1">
    <w:p w14:paraId="08E5C40B" w14:textId="77777777" w:rsidR="0084519F" w:rsidRDefault="008451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C9B"/>
    <w:multiLevelType w:val="hybridMultilevel"/>
    <w:tmpl w:val="76B4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E5B7D"/>
    <w:multiLevelType w:val="hybridMultilevel"/>
    <w:tmpl w:val="E6E8E0AE"/>
    <w:lvl w:ilvl="0" w:tplc="2280D6A0">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1152C97"/>
    <w:multiLevelType w:val="hybridMultilevel"/>
    <w:tmpl w:val="99BE8A7E"/>
    <w:lvl w:ilvl="0" w:tplc="6DEEC858">
      <w:start w:val="4"/>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4954"/>
    <w:multiLevelType w:val="hybridMultilevel"/>
    <w:tmpl w:val="B0C28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560E2"/>
    <w:multiLevelType w:val="hybridMultilevel"/>
    <w:tmpl w:val="C02A8BE2"/>
    <w:lvl w:ilvl="0" w:tplc="A25C52BE">
      <w:start w:val="1"/>
      <w:numFmt w:val="upperLetter"/>
      <w:lvlText w:val="(%1)"/>
      <w:lvlJc w:val="left"/>
      <w:pPr>
        <w:ind w:left="852" w:hanging="492"/>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B7D41"/>
    <w:multiLevelType w:val="hybridMultilevel"/>
    <w:tmpl w:val="EA6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10D13"/>
    <w:multiLevelType w:val="multilevel"/>
    <w:tmpl w:val="9206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7396F"/>
    <w:multiLevelType w:val="hybridMultilevel"/>
    <w:tmpl w:val="20C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C6688"/>
    <w:multiLevelType w:val="hybridMultilevel"/>
    <w:tmpl w:val="75CC9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090816"/>
    <w:multiLevelType w:val="hybridMultilevel"/>
    <w:tmpl w:val="D768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07921"/>
    <w:multiLevelType w:val="hybridMultilevel"/>
    <w:tmpl w:val="8C1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10992"/>
    <w:multiLevelType w:val="hybridMultilevel"/>
    <w:tmpl w:val="B6EC2F5C"/>
    <w:lvl w:ilvl="0" w:tplc="6C624C5C">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8351A"/>
    <w:multiLevelType w:val="hybridMultilevel"/>
    <w:tmpl w:val="EFEA77AE"/>
    <w:lvl w:ilvl="0" w:tplc="D7E4C08A">
      <w:start w:val="2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CC579D4"/>
    <w:multiLevelType w:val="hybridMultilevel"/>
    <w:tmpl w:val="7E3E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0DB3"/>
    <w:multiLevelType w:val="hybridMultilevel"/>
    <w:tmpl w:val="5CDE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4145F7"/>
    <w:multiLevelType w:val="hybridMultilevel"/>
    <w:tmpl w:val="DC3C8F24"/>
    <w:lvl w:ilvl="0" w:tplc="442224F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D2C40"/>
    <w:multiLevelType w:val="hybridMultilevel"/>
    <w:tmpl w:val="3A6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47B85"/>
    <w:multiLevelType w:val="hybridMultilevel"/>
    <w:tmpl w:val="B91B8A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48948C1"/>
    <w:multiLevelType w:val="hybridMultilevel"/>
    <w:tmpl w:val="AB86E7AE"/>
    <w:lvl w:ilvl="0" w:tplc="0409000F">
      <w:start w:val="9"/>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63824"/>
    <w:multiLevelType w:val="hybridMultilevel"/>
    <w:tmpl w:val="98D253FA"/>
    <w:lvl w:ilvl="0" w:tplc="810E8FD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22FB3"/>
    <w:multiLevelType w:val="hybridMultilevel"/>
    <w:tmpl w:val="B58069A2"/>
    <w:lvl w:ilvl="0" w:tplc="263634A2">
      <w:start w:val="1"/>
      <w:numFmt w:val="decimal"/>
      <w:lvlText w:val="%1."/>
      <w:lvlJc w:val="left"/>
      <w:pPr>
        <w:ind w:left="720" w:hanging="360"/>
      </w:pPr>
      <w:rPr>
        <w:rFonts w:eastAsia="Times New Roman" w:cs="Arial"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301EA"/>
    <w:multiLevelType w:val="hybridMultilevel"/>
    <w:tmpl w:val="53E04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2A4AEC"/>
    <w:multiLevelType w:val="hybridMultilevel"/>
    <w:tmpl w:val="A86A5B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A066F"/>
    <w:multiLevelType w:val="hybridMultilevel"/>
    <w:tmpl w:val="E1F06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E96A62"/>
    <w:multiLevelType w:val="hybridMultilevel"/>
    <w:tmpl w:val="184A12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A30AD1"/>
    <w:multiLevelType w:val="hybridMultilevel"/>
    <w:tmpl w:val="3D0A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D30E9F"/>
    <w:multiLevelType w:val="hybridMultilevel"/>
    <w:tmpl w:val="30D8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DF7F2B"/>
    <w:multiLevelType w:val="hybridMultilevel"/>
    <w:tmpl w:val="DC3C8F24"/>
    <w:lvl w:ilvl="0" w:tplc="442224FA">
      <w:start w:val="1"/>
      <w:numFmt w:val="decimal"/>
      <w:lvlText w:val="(%1)"/>
      <w:lvlJc w:val="left"/>
      <w:pPr>
        <w:ind w:left="540" w:hanging="360"/>
      </w:pPr>
      <w:rPr>
        <w:rFonts w:ascii="Times New Roman" w:hAnsi="Times New Roman" w:cs="Times New Roman"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4275B01"/>
    <w:multiLevelType w:val="hybridMultilevel"/>
    <w:tmpl w:val="2368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76D5687"/>
    <w:multiLevelType w:val="hybridMultilevel"/>
    <w:tmpl w:val="7DF6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D6DB8"/>
    <w:multiLevelType w:val="hybridMultilevel"/>
    <w:tmpl w:val="DF6E2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4D0D414C"/>
    <w:multiLevelType w:val="hybridMultilevel"/>
    <w:tmpl w:val="15B41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12492"/>
    <w:multiLevelType w:val="hybridMultilevel"/>
    <w:tmpl w:val="DC3C8F24"/>
    <w:lvl w:ilvl="0" w:tplc="442224F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6177B"/>
    <w:multiLevelType w:val="hybridMultilevel"/>
    <w:tmpl w:val="127E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11AB9"/>
    <w:multiLevelType w:val="hybridMultilevel"/>
    <w:tmpl w:val="A232F1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67A26D5C"/>
    <w:multiLevelType w:val="hybridMultilevel"/>
    <w:tmpl w:val="81340AE8"/>
    <w:lvl w:ilvl="0" w:tplc="3E28E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0127C"/>
    <w:multiLevelType w:val="hybridMultilevel"/>
    <w:tmpl w:val="2698F8D6"/>
    <w:lvl w:ilvl="0" w:tplc="018CBD5A">
      <w:start w:val="16"/>
      <w:numFmt w:val="decimal"/>
      <w:lvlText w:val="%1"/>
      <w:lvlJc w:val="left"/>
      <w:pPr>
        <w:ind w:left="54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7" w15:restartNumberingAfterBreak="0">
    <w:nsid w:val="6C886AAB"/>
    <w:multiLevelType w:val="hybridMultilevel"/>
    <w:tmpl w:val="DDD278CE"/>
    <w:lvl w:ilvl="0" w:tplc="6C624C5C">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82725"/>
    <w:multiLevelType w:val="hybridMultilevel"/>
    <w:tmpl w:val="8F94BED6"/>
    <w:lvl w:ilvl="0" w:tplc="1F649B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133BA"/>
    <w:multiLevelType w:val="hybridMultilevel"/>
    <w:tmpl w:val="3E50DDCE"/>
    <w:lvl w:ilvl="0" w:tplc="9948D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605EF"/>
    <w:multiLevelType w:val="hybridMultilevel"/>
    <w:tmpl w:val="B726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F7715"/>
    <w:multiLevelType w:val="hybridMultilevel"/>
    <w:tmpl w:val="C02A8BE2"/>
    <w:lvl w:ilvl="0" w:tplc="A25C52BE">
      <w:start w:val="1"/>
      <w:numFmt w:val="upperLetter"/>
      <w:lvlText w:val="(%1)"/>
      <w:lvlJc w:val="left"/>
      <w:pPr>
        <w:ind w:left="852" w:hanging="492"/>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4"/>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8"/>
  </w:num>
  <w:num w:numId="7">
    <w:abstractNumId w:val="30"/>
  </w:num>
  <w:num w:numId="8">
    <w:abstractNumId w:val="39"/>
  </w:num>
  <w:num w:numId="9">
    <w:abstractNumId w:val="0"/>
  </w:num>
  <w:num w:numId="10">
    <w:abstractNumId w:val="13"/>
  </w:num>
  <w:num w:numId="11">
    <w:abstractNumId w:val="10"/>
  </w:num>
  <w:num w:numId="12">
    <w:abstractNumId w:val="5"/>
  </w:num>
  <w:num w:numId="13">
    <w:abstractNumId w:val="31"/>
  </w:num>
  <w:num w:numId="14">
    <w:abstractNumId w:val="40"/>
  </w:num>
  <w:num w:numId="15">
    <w:abstractNumId w:val="20"/>
  </w:num>
  <w:num w:numId="16">
    <w:abstractNumId w:val="9"/>
  </w:num>
  <w:num w:numId="17">
    <w:abstractNumId w:val="29"/>
  </w:num>
  <w:num w:numId="18">
    <w:abstractNumId w:val="41"/>
  </w:num>
  <w:num w:numId="19">
    <w:abstractNumId w:val="35"/>
  </w:num>
  <w:num w:numId="20">
    <w:abstractNumId w:val="27"/>
  </w:num>
  <w:num w:numId="21">
    <w:abstractNumId w:val="15"/>
  </w:num>
  <w:num w:numId="22">
    <w:abstractNumId w:val="32"/>
  </w:num>
  <w:num w:numId="23">
    <w:abstractNumId w:val="2"/>
  </w:num>
  <w:num w:numId="24">
    <w:abstractNumId w:val="4"/>
  </w:num>
  <w:num w:numId="25">
    <w:abstractNumId w:val="19"/>
  </w:num>
  <w:num w:numId="26">
    <w:abstractNumId w:val="28"/>
  </w:num>
  <w:num w:numId="27">
    <w:abstractNumId w:val="6"/>
  </w:num>
  <w:num w:numId="28">
    <w:abstractNumId w:val="16"/>
  </w:num>
  <w:num w:numId="29">
    <w:abstractNumId w:val="23"/>
  </w:num>
  <w:num w:numId="30">
    <w:abstractNumId w:val="3"/>
  </w:num>
  <w:num w:numId="31">
    <w:abstractNumId w:val="26"/>
  </w:num>
  <w:num w:numId="32">
    <w:abstractNumId w:val="14"/>
  </w:num>
  <w:num w:numId="33">
    <w:abstractNumId w:val="21"/>
  </w:num>
  <w:num w:numId="34">
    <w:abstractNumId w:val="33"/>
  </w:num>
  <w:num w:numId="35">
    <w:abstractNumId w:val="37"/>
  </w:num>
  <w:num w:numId="36">
    <w:abstractNumId w:val="22"/>
  </w:num>
  <w:num w:numId="37">
    <w:abstractNumId w:val="36"/>
  </w:num>
  <w:num w:numId="38">
    <w:abstractNumId w:val="1"/>
  </w:num>
  <w:num w:numId="39">
    <w:abstractNumId w:val="12"/>
  </w:num>
  <w:num w:numId="40">
    <w:abstractNumId w:val="38"/>
  </w:num>
  <w:num w:numId="41">
    <w:abstractNumId w:val="11"/>
  </w:num>
  <w:num w:numId="42">
    <w:abstractNumId w:val="25"/>
  </w:num>
  <w:num w:numId="43">
    <w:abstractNumId w:val="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61"/>
    <w:rsid w:val="00002E23"/>
    <w:rsid w:val="00013256"/>
    <w:rsid w:val="00013FB1"/>
    <w:rsid w:val="00017E5A"/>
    <w:rsid w:val="00020DBB"/>
    <w:rsid w:val="000215A9"/>
    <w:rsid w:val="00021F90"/>
    <w:rsid w:val="0002762C"/>
    <w:rsid w:val="00031B5F"/>
    <w:rsid w:val="00032199"/>
    <w:rsid w:val="000357B4"/>
    <w:rsid w:val="00037499"/>
    <w:rsid w:val="000379B3"/>
    <w:rsid w:val="00041F4A"/>
    <w:rsid w:val="00042F46"/>
    <w:rsid w:val="00044F09"/>
    <w:rsid w:val="000451D5"/>
    <w:rsid w:val="00046CCC"/>
    <w:rsid w:val="00051EBD"/>
    <w:rsid w:val="00053558"/>
    <w:rsid w:val="000568AB"/>
    <w:rsid w:val="0006118A"/>
    <w:rsid w:val="000619BF"/>
    <w:rsid w:val="00066C0C"/>
    <w:rsid w:val="00070215"/>
    <w:rsid w:val="00071E67"/>
    <w:rsid w:val="00077682"/>
    <w:rsid w:val="00081AFA"/>
    <w:rsid w:val="00082EC3"/>
    <w:rsid w:val="00084075"/>
    <w:rsid w:val="00086473"/>
    <w:rsid w:val="000A0583"/>
    <w:rsid w:val="000A19DE"/>
    <w:rsid w:val="000A431A"/>
    <w:rsid w:val="000B03FD"/>
    <w:rsid w:val="000B2F4A"/>
    <w:rsid w:val="000B539C"/>
    <w:rsid w:val="000B5FEA"/>
    <w:rsid w:val="000B6315"/>
    <w:rsid w:val="000C1DF8"/>
    <w:rsid w:val="000C3B23"/>
    <w:rsid w:val="000C6249"/>
    <w:rsid w:val="000C762F"/>
    <w:rsid w:val="000D2956"/>
    <w:rsid w:val="000D58F4"/>
    <w:rsid w:val="000D6DC5"/>
    <w:rsid w:val="000D72AD"/>
    <w:rsid w:val="000E0019"/>
    <w:rsid w:val="000E2F79"/>
    <w:rsid w:val="000E490D"/>
    <w:rsid w:val="000F05D9"/>
    <w:rsid w:val="000F2DDA"/>
    <w:rsid w:val="000F38A6"/>
    <w:rsid w:val="000F4E98"/>
    <w:rsid w:val="000F5EAD"/>
    <w:rsid w:val="000F5FD8"/>
    <w:rsid w:val="001002E4"/>
    <w:rsid w:val="00105EB2"/>
    <w:rsid w:val="001107AC"/>
    <w:rsid w:val="001107F6"/>
    <w:rsid w:val="0011647C"/>
    <w:rsid w:val="0012015B"/>
    <w:rsid w:val="00121526"/>
    <w:rsid w:val="00126AA6"/>
    <w:rsid w:val="00132C29"/>
    <w:rsid w:val="001360FE"/>
    <w:rsid w:val="001378F1"/>
    <w:rsid w:val="00141E77"/>
    <w:rsid w:val="001456A9"/>
    <w:rsid w:val="00145C75"/>
    <w:rsid w:val="00146227"/>
    <w:rsid w:val="0014641C"/>
    <w:rsid w:val="00152106"/>
    <w:rsid w:val="00152629"/>
    <w:rsid w:val="00152742"/>
    <w:rsid w:val="001540A3"/>
    <w:rsid w:val="00155DBE"/>
    <w:rsid w:val="001612D1"/>
    <w:rsid w:val="00176D54"/>
    <w:rsid w:val="00182D5D"/>
    <w:rsid w:val="001908DB"/>
    <w:rsid w:val="00196D9D"/>
    <w:rsid w:val="0019781E"/>
    <w:rsid w:val="001A087C"/>
    <w:rsid w:val="001A2381"/>
    <w:rsid w:val="001A7A3D"/>
    <w:rsid w:val="001B3DDD"/>
    <w:rsid w:val="001B4085"/>
    <w:rsid w:val="001B6ED8"/>
    <w:rsid w:val="001C00D2"/>
    <w:rsid w:val="001D0A31"/>
    <w:rsid w:val="001D2FA1"/>
    <w:rsid w:val="001D360C"/>
    <w:rsid w:val="001D481C"/>
    <w:rsid w:val="001D7F5F"/>
    <w:rsid w:val="001E12C1"/>
    <w:rsid w:val="001E422A"/>
    <w:rsid w:val="001E4831"/>
    <w:rsid w:val="001F0EAB"/>
    <w:rsid w:val="001F1EB0"/>
    <w:rsid w:val="001F63F0"/>
    <w:rsid w:val="0020025E"/>
    <w:rsid w:val="002018E4"/>
    <w:rsid w:val="002019ED"/>
    <w:rsid w:val="00205FAD"/>
    <w:rsid w:val="00206CC9"/>
    <w:rsid w:val="0021008F"/>
    <w:rsid w:val="002130D6"/>
    <w:rsid w:val="00215A69"/>
    <w:rsid w:val="00217E14"/>
    <w:rsid w:val="00220E16"/>
    <w:rsid w:val="002256CA"/>
    <w:rsid w:val="00231A62"/>
    <w:rsid w:val="00232BB3"/>
    <w:rsid w:val="00232CBF"/>
    <w:rsid w:val="00233B32"/>
    <w:rsid w:val="00234D1E"/>
    <w:rsid w:val="00236624"/>
    <w:rsid w:val="00237293"/>
    <w:rsid w:val="00240043"/>
    <w:rsid w:val="00245492"/>
    <w:rsid w:val="0024740F"/>
    <w:rsid w:val="00247D55"/>
    <w:rsid w:val="0025129A"/>
    <w:rsid w:val="00251816"/>
    <w:rsid w:val="00252387"/>
    <w:rsid w:val="00252AB1"/>
    <w:rsid w:val="0026111E"/>
    <w:rsid w:val="00261C53"/>
    <w:rsid w:val="00262C41"/>
    <w:rsid w:val="0026369B"/>
    <w:rsid w:val="002636F4"/>
    <w:rsid w:val="00267D8D"/>
    <w:rsid w:val="00270D3D"/>
    <w:rsid w:val="0027296A"/>
    <w:rsid w:val="002735D3"/>
    <w:rsid w:val="00274FF6"/>
    <w:rsid w:val="00276B81"/>
    <w:rsid w:val="00276FD0"/>
    <w:rsid w:val="00280B41"/>
    <w:rsid w:val="0028348E"/>
    <w:rsid w:val="0028462E"/>
    <w:rsid w:val="00287FC2"/>
    <w:rsid w:val="00293043"/>
    <w:rsid w:val="00294A66"/>
    <w:rsid w:val="0029644E"/>
    <w:rsid w:val="00297B33"/>
    <w:rsid w:val="002A503F"/>
    <w:rsid w:val="002A6529"/>
    <w:rsid w:val="002B04D2"/>
    <w:rsid w:val="002B4D14"/>
    <w:rsid w:val="002B4F92"/>
    <w:rsid w:val="002B5061"/>
    <w:rsid w:val="002B59BD"/>
    <w:rsid w:val="002B62E3"/>
    <w:rsid w:val="002C0DA2"/>
    <w:rsid w:val="002C7416"/>
    <w:rsid w:val="002D3E0A"/>
    <w:rsid w:val="002D4EFE"/>
    <w:rsid w:val="002E6C2F"/>
    <w:rsid w:val="002E7723"/>
    <w:rsid w:val="002F06F2"/>
    <w:rsid w:val="002F0E14"/>
    <w:rsid w:val="002F2717"/>
    <w:rsid w:val="002F3273"/>
    <w:rsid w:val="002F476A"/>
    <w:rsid w:val="002F5BEB"/>
    <w:rsid w:val="00303DDC"/>
    <w:rsid w:val="00306A69"/>
    <w:rsid w:val="00306E1B"/>
    <w:rsid w:val="003125FA"/>
    <w:rsid w:val="00313E0B"/>
    <w:rsid w:val="00314F2B"/>
    <w:rsid w:val="00315D17"/>
    <w:rsid w:val="00317EAA"/>
    <w:rsid w:val="003207C0"/>
    <w:rsid w:val="00321958"/>
    <w:rsid w:val="0032291C"/>
    <w:rsid w:val="003269A1"/>
    <w:rsid w:val="00331331"/>
    <w:rsid w:val="00333D04"/>
    <w:rsid w:val="003342B6"/>
    <w:rsid w:val="00334AB3"/>
    <w:rsid w:val="00335A70"/>
    <w:rsid w:val="003433F1"/>
    <w:rsid w:val="00345A7B"/>
    <w:rsid w:val="00347027"/>
    <w:rsid w:val="003477C6"/>
    <w:rsid w:val="00347EFB"/>
    <w:rsid w:val="003509B4"/>
    <w:rsid w:val="00352D04"/>
    <w:rsid w:val="003545C3"/>
    <w:rsid w:val="00364FBD"/>
    <w:rsid w:val="0036607A"/>
    <w:rsid w:val="003702FA"/>
    <w:rsid w:val="003711DB"/>
    <w:rsid w:val="00380120"/>
    <w:rsid w:val="00381E85"/>
    <w:rsid w:val="0038240F"/>
    <w:rsid w:val="00387313"/>
    <w:rsid w:val="003904C9"/>
    <w:rsid w:val="00391684"/>
    <w:rsid w:val="00392BD2"/>
    <w:rsid w:val="0039306F"/>
    <w:rsid w:val="003955D0"/>
    <w:rsid w:val="003A1417"/>
    <w:rsid w:val="003A24BD"/>
    <w:rsid w:val="003A691E"/>
    <w:rsid w:val="003B0116"/>
    <w:rsid w:val="003B15C0"/>
    <w:rsid w:val="003B2138"/>
    <w:rsid w:val="003C1D27"/>
    <w:rsid w:val="003C282B"/>
    <w:rsid w:val="003D0635"/>
    <w:rsid w:val="003D412A"/>
    <w:rsid w:val="003D4482"/>
    <w:rsid w:val="003E04C6"/>
    <w:rsid w:val="003E1B28"/>
    <w:rsid w:val="003E36C4"/>
    <w:rsid w:val="003E3C3F"/>
    <w:rsid w:val="003E6D9F"/>
    <w:rsid w:val="003F217B"/>
    <w:rsid w:val="003F409E"/>
    <w:rsid w:val="003F550C"/>
    <w:rsid w:val="004019C8"/>
    <w:rsid w:val="004073E9"/>
    <w:rsid w:val="00411509"/>
    <w:rsid w:val="00414518"/>
    <w:rsid w:val="00417B45"/>
    <w:rsid w:val="00417D4D"/>
    <w:rsid w:val="004203FD"/>
    <w:rsid w:val="00422EBE"/>
    <w:rsid w:val="00424E27"/>
    <w:rsid w:val="004273C8"/>
    <w:rsid w:val="004333ED"/>
    <w:rsid w:val="00437B0F"/>
    <w:rsid w:val="004463DA"/>
    <w:rsid w:val="00451B51"/>
    <w:rsid w:val="00453FA4"/>
    <w:rsid w:val="0045614D"/>
    <w:rsid w:val="00457112"/>
    <w:rsid w:val="00460ED1"/>
    <w:rsid w:val="00461335"/>
    <w:rsid w:val="00461F8F"/>
    <w:rsid w:val="00463B33"/>
    <w:rsid w:val="00464462"/>
    <w:rsid w:val="004717A8"/>
    <w:rsid w:val="00475C9B"/>
    <w:rsid w:val="0047707C"/>
    <w:rsid w:val="00486017"/>
    <w:rsid w:val="004A2AEA"/>
    <w:rsid w:val="004A356D"/>
    <w:rsid w:val="004A38DE"/>
    <w:rsid w:val="004A7CE0"/>
    <w:rsid w:val="004A7EAA"/>
    <w:rsid w:val="004B3E9C"/>
    <w:rsid w:val="004B4556"/>
    <w:rsid w:val="004B571D"/>
    <w:rsid w:val="004B61FF"/>
    <w:rsid w:val="004C000D"/>
    <w:rsid w:val="004C06AC"/>
    <w:rsid w:val="004C0898"/>
    <w:rsid w:val="004C26A0"/>
    <w:rsid w:val="004C3C31"/>
    <w:rsid w:val="004C59E4"/>
    <w:rsid w:val="004C7239"/>
    <w:rsid w:val="004D708B"/>
    <w:rsid w:val="004D7CEC"/>
    <w:rsid w:val="004D7EBE"/>
    <w:rsid w:val="004E328A"/>
    <w:rsid w:val="004E46A9"/>
    <w:rsid w:val="004F03ED"/>
    <w:rsid w:val="004F1C72"/>
    <w:rsid w:val="004F1FD2"/>
    <w:rsid w:val="004F2EF5"/>
    <w:rsid w:val="005008FC"/>
    <w:rsid w:val="00500DDF"/>
    <w:rsid w:val="00502827"/>
    <w:rsid w:val="00502B63"/>
    <w:rsid w:val="00504BD6"/>
    <w:rsid w:val="00505156"/>
    <w:rsid w:val="005065C8"/>
    <w:rsid w:val="00507742"/>
    <w:rsid w:val="00511A21"/>
    <w:rsid w:val="00512A62"/>
    <w:rsid w:val="00512ABC"/>
    <w:rsid w:val="005141FA"/>
    <w:rsid w:val="005144E9"/>
    <w:rsid w:val="00522800"/>
    <w:rsid w:val="005233A2"/>
    <w:rsid w:val="0052569A"/>
    <w:rsid w:val="00527050"/>
    <w:rsid w:val="00530E0A"/>
    <w:rsid w:val="005338E5"/>
    <w:rsid w:val="00536D42"/>
    <w:rsid w:val="00541E63"/>
    <w:rsid w:val="00542BCD"/>
    <w:rsid w:val="005430C9"/>
    <w:rsid w:val="00546417"/>
    <w:rsid w:val="0054768B"/>
    <w:rsid w:val="00547E32"/>
    <w:rsid w:val="0055012C"/>
    <w:rsid w:val="00552C25"/>
    <w:rsid w:val="00552E9F"/>
    <w:rsid w:val="00555705"/>
    <w:rsid w:val="0055573B"/>
    <w:rsid w:val="00555A0E"/>
    <w:rsid w:val="00557F86"/>
    <w:rsid w:val="005620FE"/>
    <w:rsid w:val="0056243E"/>
    <w:rsid w:val="0056289E"/>
    <w:rsid w:val="005644AC"/>
    <w:rsid w:val="00564DBF"/>
    <w:rsid w:val="00576CF1"/>
    <w:rsid w:val="0058244D"/>
    <w:rsid w:val="0058564A"/>
    <w:rsid w:val="0059133E"/>
    <w:rsid w:val="005933E7"/>
    <w:rsid w:val="00596BBF"/>
    <w:rsid w:val="00596CF5"/>
    <w:rsid w:val="00597465"/>
    <w:rsid w:val="005A0B58"/>
    <w:rsid w:val="005A3152"/>
    <w:rsid w:val="005A6250"/>
    <w:rsid w:val="005A77CA"/>
    <w:rsid w:val="005B0EA4"/>
    <w:rsid w:val="005B393D"/>
    <w:rsid w:val="005B79BA"/>
    <w:rsid w:val="005C0E9E"/>
    <w:rsid w:val="005C1F2F"/>
    <w:rsid w:val="005C26BE"/>
    <w:rsid w:val="005C68A8"/>
    <w:rsid w:val="005D08BB"/>
    <w:rsid w:val="005D3DBB"/>
    <w:rsid w:val="005D4F4E"/>
    <w:rsid w:val="005E05B0"/>
    <w:rsid w:val="005E12BA"/>
    <w:rsid w:val="005E1305"/>
    <w:rsid w:val="005E24AC"/>
    <w:rsid w:val="005E352F"/>
    <w:rsid w:val="005E3848"/>
    <w:rsid w:val="005E58A3"/>
    <w:rsid w:val="005F15A5"/>
    <w:rsid w:val="005F2FDD"/>
    <w:rsid w:val="005F3108"/>
    <w:rsid w:val="005F33EF"/>
    <w:rsid w:val="0060349A"/>
    <w:rsid w:val="00607636"/>
    <w:rsid w:val="006152C8"/>
    <w:rsid w:val="00615E21"/>
    <w:rsid w:val="006163A4"/>
    <w:rsid w:val="00616770"/>
    <w:rsid w:val="00621E5F"/>
    <w:rsid w:val="00622A0A"/>
    <w:rsid w:val="00627241"/>
    <w:rsid w:val="00627390"/>
    <w:rsid w:val="00630B76"/>
    <w:rsid w:val="00631BFB"/>
    <w:rsid w:val="00636D3C"/>
    <w:rsid w:val="0064271C"/>
    <w:rsid w:val="0064372A"/>
    <w:rsid w:val="00645DFA"/>
    <w:rsid w:val="006524B4"/>
    <w:rsid w:val="00653D06"/>
    <w:rsid w:val="00656BE6"/>
    <w:rsid w:val="00661751"/>
    <w:rsid w:val="006619AD"/>
    <w:rsid w:val="006644C2"/>
    <w:rsid w:val="006677AD"/>
    <w:rsid w:val="00670CDA"/>
    <w:rsid w:val="00677D8E"/>
    <w:rsid w:val="006816F7"/>
    <w:rsid w:val="006901FD"/>
    <w:rsid w:val="006910A1"/>
    <w:rsid w:val="0069316C"/>
    <w:rsid w:val="00694991"/>
    <w:rsid w:val="006964D6"/>
    <w:rsid w:val="00696FEA"/>
    <w:rsid w:val="00697619"/>
    <w:rsid w:val="006B54AE"/>
    <w:rsid w:val="006B6D58"/>
    <w:rsid w:val="006C6578"/>
    <w:rsid w:val="006C6C67"/>
    <w:rsid w:val="006C739C"/>
    <w:rsid w:val="006D0AFC"/>
    <w:rsid w:val="006D0CA2"/>
    <w:rsid w:val="006D1817"/>
    <w:rsid w:val="006D44FF"/>
    <w:rsid w:val="006D530F"/>
    <w:rsid w:val="006E0ACD"/>
    <w:rsid w:val="006E0BB5"/>
    <w:rsid w:val="006F190B"/>
    <w:rsid w:val="006F1DC7"/>
    <w:rsid w:val="006F1F49"/>
    <w:rsid w:val="006F2582"/>
    <w:rsid w:val="006F76F1"/>
    <w:rsid w:val="00700F2D"/>
    <w:rsid w:val="00702EBC"/>
    <w:rsid w:val="00704BFF"/>
    <w:rsid w:val="00707A23"/>
    <w:rsid w:val="007122C1"/>
    <w:rsid w:val="007127A2"/>
    <w:rsid w:val="00715361"/>
    <w:rsid w:val="00715C8F"/>
    <w:rsid w:val="00722ED4"/>
    <w:rsid w:val="0072335C"/>
    <w:rsid w:val="00723490"/>
    <w:rsid w:val="0072748C"/>
    <w:rsid w:val="00727C00"/>
    <w:rsid w:val="00727E2A"/>
    <w:rsid w:val="00733FBF"/>
    <w:rsid w:val="00737FAC"/>
    <w:rsid w:val="00741ED6"/>
    <w:rsid w:val="00742650"/>
    <w:rsid w:val="0074404F"/>
    <w:rsid w:val="00745304"/>
    <w:rsid w:val="00746B9D"/>
    <w:rsid w:val="00747B17"/>
    <w:rsid w:val="0075136B"/>
    <w:rsid w:val="0075180F"/>
    <w:rsid w:val="00754C50"/>
    <w:rsid w:val="00761F68"/>
    <w:rsid w:val="00765942"/>
    <w:rsid w:val="00767C55"/>
    <w:rsid w:val="0077055C"/>
    <w:rsid w:val="007728AB"/>
    <w:rsid w:val="00772AAE"/>
    <w:rsid w:val="007732C3"/>
    <w:rsid w:val="00773792"/>
    <w:rsid w:val="00774BD9"/>
    <w:rsid w:val="00774FB0"/>
    <w:rsid w:val="007758B6"/>
    <w:rsid w:val="00777523"/>
    <w:rsid w:val="00782FE6"/>
    <w:rsid w:val="00785675"/>
    <w:rsid w:val="00787176"/>
    <w:rsid w:val="007876CA"/>
    <w:rsid w:val="0079114D"/>
    <w:rsid w:val="00792F30"/>
    <w:rsid w:val="007A4032"/>
    <w:rsid w:val="007A4702"/>
    <w:rsid w:val="007A53C1"/>
    <w:rsid w:val="007A6BFC"/>
    <w:rsid w:val="007A77DB"/>
    <w:rsid w:val="007B1593"/>
    <w:rsid w:val="007B19BC"/>
    <w:rsid w:val="007B29F3"/>
    <w:rsid w:val="007B492E"/>
    <w:rsid w:val="007B7464"/>
    <w:rsid w:val="007C11CD"/>
    <w:rsid w:val="007C1A91"/>
    <w:rsid w:val="007C5A96"/>
    <w:rsid w:val="007D1997"/>
    <w:rsid w:val="007D28B1"/>
    <w:rsid w:val="007D2EE2"/>
    <w:rsid w:val="007D555A"/>
    <w:rsid w:val="007D6DFB"/>
    <w:rsid w:val="007E0290"/>
    <w:rsid w:val="007E0AE3"/>
    <w:rsid w:val="007E71F4"/>
    <w:rsid w:val="007F183F"/>
    <w:rsid w:val="007F1FD8"/>
    <w:rsid w:val="007F21F1"/>
    <w:rsid w:val="007F3F1D"/>
    <w:rsid w:val="007F74E3"/>
    <w:rsid w:val="007F7F32"/>
    <w:rsid w:val="00800BE1"/>
    <w:rsid w:val="0080452E"/>
    <w:rsid w:val="00804BCC"/>
    <w:rsid w:val="00814012"/>
    <w:rsid w:val="008162E7"/>
    <w:rsid w:val="00816B75"/>
    <w:rsid w:val="008209A4"/>
    <w:rsid w:val="00820DB5"/>
    <w:rsid w:val="00822D7E"/>
    <w:rsid w:val="008329B3"/>
    <w:rsid w:val="008329EA"/>
    <w:rsid w:val="0084125B"/>
    <w:rsid w:val="0084519F"/>
    <w:rsid w:val="00846189"/>
    <w:rsid w:val="008474F5"/>
    <w:rsid w:val="00856266"/>
    <w:rsid w:val="00862E6B"/>
    <w:rsid w:val="0086324F"/>
    <w:rsid w:val="008633E2"/>
    <w:rsid w:val="00864C80"/>
    <w:rsid w:val="00867FAF"/>
    <w:rsid w:val="00872358"/>
    <w:rsid w:val="00874F90"/>
    <w:rsid w:val="00876F37"/>
    <w:rsid w:val="00881648"/>
    <w:rsid w:val="00882A7D"/>
    <w:rsid w:val="00887D34"/>
    <w:rsid w:val="00887FDC"/>
    <w:rsid w:val="00890A88"/>
    <w:rsid w:val="00890B92"/>
    <w:rsid w:val="00890D68"/>
    <w:rsid w:val="00892846"/>
    <w:rsid w:val="00892AAB"/>
    <w:rsid w:val="00894509"/>
    <w:rsid w:val="008948E9"/>
    <w:rsid w:val="00894934"/>
    <w:rsid w:val="00895BF5"/>
    <w:rsid w:val="00896C2A"/>
    <w:rsid w:val="008A3E33"/>
    <w:rsid w:val="008A601F"/>
    <w:rsid w:val="008A642A"/>
    <w:rsid w:val="008B2B7D"/>
    <w:rsid w:val="008B5D54"/>
    <w:rsid w:val="008B78B2"/>
    <w:rsid w:val="008C210F"/>
    <w:rsid w:val="008C3C57"/>
    <w:rsid w:val="008C5612"/>
    <w:rsid w:val="008C6C10"/>
    <w:rsid w:val="008D076D"/>
    <w:rsid w:val="008D1F74"/>
    <w:rsid w:val="008D5552"/>
    <w:rsid w:val="008D61FD"/>
    <w:rsid w:val="008E24E2"/>
    <w:rsid w:val="008E5987"/>
    <w:rsid w:val="008F4485"/>
    <w:rsid w:val="008F516A"/>
    <w:rsid w:val="008F6576"/>
    <w:rsid w:val="00903CE7"/>
    <w:rsid w:val="00905B60"/>
    <w:rsid w:val="0091150D"/>
    <w:rsid w:val="009132D7"/>
    <w:rsid w:val="009138B9"/>
    <w:rsid w:val="009142D2"/>
    <w:rsid w:val="00914BB5"/>
    <w:rsid w:val="00914FC0"/>
    <w:rsid w:val="00916BAB"/>
    <w:rsid w:val="00917999"/>
    <w:rsid w:val="00920C4F"/>
    <w:rsid w:val="00922C21"/>
    <w:rsid w:val="00924106"/>
    <w:rsid w:val="00925A07"/>
    <w:rsid w:val="00925FE5"/>
    <w:rsid w:val="00926E58"/>
    <w:rsid w:val="00926F31"/>
    <w:rsid w:val="00931AE1"/>
    <w:rsid w:val="009333A2"/>
    <w:rsid w:val="00941749"/>
    <w:rsid w:val="00951227"/>
    <w:rsid w:val="00957330"/>
    <w:rsid w:val="009633DB"/>
    <w:rsid w:val="00963A89"/>
    <w:rsid w:val="0096669F"/>
    <w:rsid w:val="009709EB"/>
    <w:rsid w:val="00980608"/>
    <w:rsid w:val="0098113F"/>
    <w:rsid w:val="00981B49"/>
    <w:rsid w:val="00982B62"/>
    <w:rsid w:val="0098518D"/>
    <w:rsid w:val="0098564B"/>
    <w:rsid w:val="00985951"/>
    <w:rsid w:val="0098693F"/>
    <w:rsid w:val="00986ADD"/>
    <w:rsid w:val="00987452"/>
    <w:rsid w:val="009950DE"/>
    <w:rsid w:val="00996B8D"/>
    <w:rsid w:val="00997272"/>
    <w:rsid w:val="009A47AE"/>
    <w:rsid w:val="009A6BF6"/>
    <w:rsid w:val="009A7402"/>
    <w:rsid w:val="009B5D9C"/>
    <w:rsid w:val="009B63D5"/>
    <w:rsid w:val="009B6D7F"/>
    <w:rsid w:val="009B7983"/>
    <w:rsid w:val="009C3863"/>
    <w:rsid w:val="009C3D6A"/>
    <w:rsid w:val="009C5F51"/>
    <w:rsid w:val="009C7652"/>
    <w:rsid w:val="009D24C3"/>
    <w:rsid w:val="009D48F1"/>
    <w:rsid w:val="009D5276"/>
    <w:rsid w:val="009D7960"/>
    <w:rsid w:val="009E03BA"/>
    <w:rsid w:val="009E1112"/>
    <w:rsid w:val="009E1FBD"/>
    <w:rsid w:val="009E2A2E"/>
    <w:rsid w:val="009F007A"/>
    <w:rsid w:val="009F2E54"/>
    <w:rsid w:val="009F4DB9"/>
    <w:rsid w:val="00A01734"/>
    <w:rsid w:val="00A01DA1"/>
    <w:rsid w:val="00A038B1"/>
    <w:rsid w:val="00A047C8"/>
    <w:rsid w:val="00A100FA"/>
    <w:rsid w:val="00A13513"/>
    <w:rsid w:val="00A148FE"/>
    <w:rsid w:val="00A1539D"/>
    <w:rsid w:val="00A15E1A"/>
    <w:rsid w:val="00A16527"/>
    <w:rsid w:val="00A1653D"/>
    <w:rsid w:val="00A17039"/>
    <w:rsid w:val="00A20045"/>
    <w:rsid w:val="00A2091E"/>
    <w:rsid w:val="00A2370C"/>
    <w:rsid w:val="00A27706"/>
    <w:rsid w:val="00A52CAC"/>
    <w:rsid w:val="00A55CF7"/>
    <w:rsid w:val="00A57697"/>
    <w:rsid w:val="00A6081B"/>
    <w:rsid w:val="00A637BE"/>
    <w:rsid w:val="00A649A8"/>
    <w:rsid w:val="00A649FB"/>
    <w:rsid w:val="00A6617D"/>
    <w:rsid w:val="00A704F5"/>
    <w:rsid w:val="00A705A1"/>
    <w:rsid w:val="00A715B9"/>
    <w:rsid w:val="00A73CE1"/>
    <w:rsid w:val="00A74278"/>
    <w:rsid w:val="00A76672"/>
    <w:rsid w:val="00A76FE8"/>
    <w:rsid w:val="00A8183E"/>
    <w:rsid w:val="00A907C4"/>
    <w:rsid w:val="00A90E18"/>
    <w:rsid w:val="00A91498"/>
    <w:rsid w:val="00A914CC"/>
    <w:rsid w:val="00A95B47"/>
    <w:rsid w:val="00A9612B"/>
    <w:rsid w:val="00A96A38"/>
    <w:rsid w:val="00AA032B"/>
    <w:rsid w:val="00AA0897"/>
    <w:rsid w:val="00AA0948"/>
    <w:rsid w:val="00AA56AB"/>
    <w:rsid w:val="00AA6431"/>
    <w:rsid w:val="00AB0639"/>
    <w:rsid w:val="00AB2EFD"/>
    <w:rsid w:val="00AB4D32"/>
    <w:rsid w:val="00AB5D60"/>
    <w:rsid w:val="00AC000E"/>
    <w:rsid w:val="00AC6352"/>
    <w:rsid w:val="00AD17CE"/>
    <w:rsid w:val="00AD2113"/>
    <w:rsid w:val="00AD3463"/>
    <w:rsid w:val="00AD67F7"/>
    <w:rsid w:val="00AE0BE5"/>
    <w:rsid w:val="00AE13AA"/>
    <w:rsid w:val="00AE27B9"/>
    <w:rsid w:val="00AE3591"/>
    <w:rsid w:val="00AF18B5"/>
    <w:rsid w:val="00AF2CE5"/>
    <w:rsid w:val="00AF392F"/>
    <w:rsid w:val="00AF4471"/>
    <w:rsid w:val="00B002A4"/>
    <w:rsid w:val="00B002B7"/>
    <w:rsid w:val="00B011B1"/>
    <w:rsid w:val="00B020E4"/>
    <w:rsid w:val="00B058A2"/>
    <w:rsid w:val="00B214D6"/>
    <w:rsid w:val="00B2309E"/>
    <w:rsid w:val="00B24818"/>
    <w:rsid w:val="00B3419D"/>
    <w:rsid w:val="00B3649A"/>
    <w:rsid w:val="00B469F9"/>
    <w:rsid w:val="00B46D6F"/>
    <w:rsid w:val="00B4798E"/>
    <w:rsid w:val="00B47B2A"/>
    <w:rsid w:val="00B47D1A"/>
    <w:rsid w:val="00B5351C"/>
    <w:rsid w:val="00B55138"/>
    <w:rsid w:val="00B553DF"/>
    <w:rsid w:val="00B55735"/>
    <w:rsid w:val="00B578DC"/>
    <w:rsid w:val="00B608AC"/>
    <w:rsid w:val="00B61F6C"/>
    <w:rsid w:val="00B65B23"/>
    <w:rsid w:val="00B66961"/>
    <w:rsid w:val="00B72810"/>
    <w:rsid w:val="00B72B56"/>
    <w:rsid w:val="00B72D3E"/>
    <w:rsid w:val="00B84695"/>
    <w:rsid w:val="00B86004"/>
    <w:rsid w:val="00B86210"/>
    <w:rsid w:val="00B87B6C"/>
    <w:rsid w:val="00B94B7D"/>
    <w:rsid w:val="00B9785C"/>
    <w:rsid w:val="00BA044E"/>
    <w:rsid w:val="00BA08A1"/>
    <w:rsid w:val="00BA166E"/>
    <w:rsid w:val="00BA182C"/>
    <w:rsid w:val="00BA1A69"/>
    <w:rsid w:val="00BA1B82"/>
    <w:rsid w:val="00BA7045"/>
    <w:rsid w:val="00BA79D2"/>
    <w:rsid w:val="00BB06E1"/>
    <w:rsid w:val="00BB0D37"/>
    <w:rsid w:val="00BB1873"/>
    <w:rsid w:val="00BB1E18"/>
    <w:rsid w:val="00BB338D"/>
    <w:rsid w:val="00BB584C"/>
    <w:rsid w:val="00BB5B48"/>
    <w:rsid w:val="00BC0692"/>
    <w:rsid w:val="00BD0000"/>
    <w:rsid w:val="00BD19D8"/>
    <w:rsid w:val="00BD52F0"/>
    <w:rsid w:val="00BD54F5"/>
    <w:rsid w:val="00BD7B7D"/>
    <w:rsid w:val="00BE12AB"/>
    <w:rsid w:val="00BE15CC"/>
    <w:rsid w:val="00BE2FD1"/>
    <w:rsid w:val="00BE6173"/>
    <w:rsid w:val="00BF07A8"/>
    <w:rsid w:val="00BF0D3F"/>
    <w:rsid w:val="00BF570B"/>
    <w:rsid w:val="00BF5F5A"/>
    <w:rsid w:val="00BF69F6"/>
    <w:rsid w:val="00BF738A"/>
    <w:rsid w:val="00C00C46"/>
    <w:rsid w:val="00C017D3"/>
    <w:rsid w:val="00C07FA4"/>
    <w:rsid w:val="00C129E1"/>
    <w:rsid w:val="00C1365A"/>
    <w:rsid w:val="00C16256"/>
    <w:rsid w:val="00C2072C"/>
    <w:rsid w:val="00C24614"/>
    <w:rsid w:val="00C2502E"/>
    <w:rsid w:val="00C2525B"/>
    <w:rsid w:val="00C279AD"/>
    <w:rsid w:val="00C27AE7"/>
    <w:rsid w:val="00C31DD4"/>
    <w:rsid w:val="00C32D5F"/>
    <w:rsid w:val="00C34293"/>
    <w:rsid w:val="00C37697"/>
    <w:rsid w:val="00C427B0"/>
    <w:rsid w:val="00C466E8"/>
    <w:rsid w:val="00C50204"/>
    <w:rsid w:val="00C507AA"/>
    <w:rsid w:val="00C50F82"/>
    <w:rsid w:val="00C60B60"/>
    <w:rsid w:val="00C62DC0"/>
    <w:rsid w:val="00C62FDF"/>
    <w:rsid w:val="00C636CA"/>
    <w:rsid w:val="00C65C9A"/>
    <w:rsid w:val="00C671AF"/>
    <w:rsid w:val="00C746EE"/>
    <w:rsid w:val="00C765AB"/>
    <w:rsid w:val="00C76F1F"/>
    <w:rsid w:val="00C770DF"/>
    <w:rsid w:val="00C77B3E"/>
    <w:rsid w:val="00C86911"/>
    <w:rsid w:val="00C938A8"/>
    <w:rsid w:val="00CA092B"/>
    <w:rsid w:val="00CA0F3E"/>
    <w:rsid w:val="00CA257F"/>
    <w:rsid w:val="00CA60E7"/>
    <w:rsid w:val="00CB5E5F"/>
    <w:rsid w:val="00CB68BE"/>
    <w:rsid w:val="00CB6AA3"/>
    <w:rsid w:val="00CB6F04"/>
    <w:rsid w:val="00CB78D0"/>
    <w:rsid w:val="00CB7DC3"/>
    <w:rsid w:val="00CC3ECF"/>
    <w:rsid w:val="00CC435A"/>
    <w:rsid w:val="00CC4F69"/>
    <w:rsid w:val="00CC6955"/>
    <w:rsid w:val="00CD42E4"/>
    <w:rsid w:val="00CD59C9"/>
    <w:rsid w:val="00CD6D45"/>
    <w:rsid w:val="00CE6D01"/>
    <w:rsid w:val="00CF1688"/>
    <w:rsid w:val="00CF1C27"/>
    <w:rsid w:val="00CF3ACA"/>
    <w:rsid w:val="00CF5E6C"/>
    <w:rsid w:val="00D01BA2"/>
    <w:rsid w:val="00D01CCA"/>
    <w:rsid w:val="00D03E2F"/>
    <w:rsid w:val="00D04E33"/>
    <w:rsid w:val="00D060A0"/>
    <w:rsid w:val="00D137DC"/>
    <w:rsid w:val="00D17673"/>
    <w:rsid w:val="00D20AD7"/>
    <w:rsid w:val="00D20C41"/>
    <w:rsid w:val="00D22469"/>
    <w:rsid w:val="00D230AF"/>
    <w:rsid w:val="00D23766"/>
    <w:rsid w:val="00D2381E"/>
    <w:rsid w:val="00D3218C"/>
    <w:rsid w:val="00D32D78"/>
    <w:rsid w:val="00D34534"/>
    <w:rsid w:val="00D34EDC"/>
    <w:rsid w:val="00D36A30"/>
    <w:rsid w:val="00D37511"/>
    <w:rsid w:val="00D37AFD"/>
    <w:rsid w:val="00D406B6"/>
    <w:rsid w:val="00D40F61"/>
    <w:rsid w:val="00D42F40"/>
    <w:rsid w:val="00D446F4"/>
    <w:rsid w:val="00D50023"/>
    <w:rsid w:val="00D53BD6"/>
    <w:rsid w:val="00D55126"/>
    <w:rsid w:val="00D55323"/>
    <w:rsid w:val="00D55BA4"/>
    <w:rsid w:val="00D55EC2"/>
    <w:rsid w:val="00D566F4"/>
    <w:rsid w:val="00D5723E"/>
    <w:rsid w:val="00D6071E"/>
    <w:rsid w:val="00D61236"/>
    <w:rsid w:val="00D621F6"/>
    <w:rsid w:val="00D63DED"/>
    <w:rsid w:val="00D63EC3"/>
    <w:rsid w:val="00D70141"/>
    <w:rsid w:val="00D709B5"/>
    <w:rsid w:val="00D71944"/>
    <w:rsid w:val="00D80754"/>
    <w:rsid w:val="00D8352C"/>
    <w:rsid w:val="00D84DF9"/>
    <w:rsid w:val="00D8604A"/>
    <w:rsid w:val="00D873FE"/>
    <w:rsid w:val="00D90F88"/>
    <w:rsid w:val="00D936B6"/>
    <w:rsid w:val="00D940DC"/>
    <w:rsid w:val="00D96B3F"/>
    <w:rsid w:val="00DA050B"/>
    <w:rsid w:val="00DA1B2E"/>
    <w:rsid w:val="00DA4CA0"/>
    <w:rsid w:val="00DB0095"/>
    <w:rsid w:val="00DB0710"/>
    <w:rsid w:val="00DB2268"/>
    <w:rsid w:val="00DB7664"/>
    <w:rsid w:val="00DC0648"/>
    <w:rsid w:val="00DC1A20"/>
    <w:rsid w:val="00DC4FD5"/>
    <w:rsid w:val="00DC57CC"/>
    <w:rsid w:val="00DD1497"/>
    <w:rsid w:val="00DD387A"/>
    <w:rsid w:val="00DD4BF5"/>
    <w:rsid w:val="00DD5787"/>
    <w:rsid w:val="00DD792A"/>
    <w:rsid w:val="00DE0E4A"/>
    <w:rsid w:val="00DE1021"/>
    <w:rsid w:val="00DE64CF"/>
    <w:rsid w:val="00DE7B57"/>
    <w:rsid w:val="00DF14B1"/>
    <w:rsid w:val="00DF1782"/>
    <w:rsid w:val="00DF3711"/>
    <w:rsid w:val="00DF3D0B"/>
    <w:rsid w:val="00DF50BD"/>
    <w:rsid w:val="00DF7A25"/>
    <w:rsid w:val="00E0033B"/>
    <w:rsid w:val="00E00908"/>
    <w:rsid w:val="00E03AED"/>
    <w:rsid w:val="00E040E8"/>
    <w:rsid w:val="00E0567C"/>
    <w:rsid w:val="00E06CE8"/>
    <w:rsid w:val="00E1027B"/>
    <w:rsid w:val="00E12505"/>
    <w:rsid w:val="00E152E7"/>
    <w:rsid w:val="00E17348"/>
    <w:rsid w:val="00E219EF"/>
    <w:rsid w:val="00E25FE6"/>
    <w:rsid w:val="00E2694D"/>
    <w:rsid w:val="00E2728D"/>
    <w:rsid w:val="00E307E1"/>
    <w:rsid w:val="00E33989"/>
    <w:rsid w:val="00E35A6C"/>
    <w:rsid w:val="00E41C48"/>
    <w:rsid w:val="00E46AA2"/>
    <w:rsid w:val="00E53A7F"/>
    <w:rsid w:val="00E5435C"/>
    <w:rsid w:val="00E54871"/>
    <w:rsid w:val="00E54EE5"/>
    <w:rsid w:val="00E60386"/>
    <w:rsid w:val="00E6150A"/>
    <w:rsid w:val="00E66355"/>
    <w:rsid w:val="00E66EA0"/>
    <w:rsid w:val="00E71EA2"/>
    <w:rsid w:val="00E771DA"/>
    <w:rsid w:val="00E810CA"/>
    <w:rsid w:val="00E82D2A"/>
    <w:rsid w:val="00E837A5"/>
    <w:rsid w:val="00E86FD3"/>
    <w:rsid w:val="00E87AE8"/>
    <w:rsid w:val="00E90243"/>
    <w:rsid w:val="00E92F1E"/>
    <w:rsid w:val="00EA0A7E"/>
    <w:rsid w:val="00EA3AA8"/>
    <w:rsid w:val="00EC1DF2"/>
    <w:rsid w:val="00ED2CED"/>
    <w:rsid w:val="00ED361F"/>
    <w:rsid w:val="00ED3D86"/>
    <w:rsid w:val="00ED4187"/>
    <w:rsid w:val="00ED5B0B"/>
    <w:rsid w:val="00ED6688"/>
    <w:rsid w:val="00EE1590"/>
    <w:rsid w:val="00EE3639"/>
    <w:rsid w:val="00EE3BAE"/>
    <w:rsid w:val="00EE4E43"/>
    <w:rsid w:val="00EE518A"/>
    <w:rsid w:val="00EE59F4"/>
    <w:rsid w:val="00EE6375"/>
    <w:rsid w:val="00EE6C8D"/>
    <w:rsid w:val="00EF00B6"/>
    <w:rsid w:val="00EF01EF"/>
    <w:rsid w:val="00EF44BD"/>
    <w:rsid w:val="00EF4E44"/>
    <w:rsid w:val="00EF6714"/>
    <w:rsid w:val="00F006E5"/>
    <w:rsid w:val="00F010D1"/>
    <w:rsid w:val="00F0516F"/>
    <w:rsid w:val="00F06717"/>
    <w:rsid w:val="00F1193C"/>
    <w:rsid w:val="00F14C62"/>
    <w:rsid w:val="00F16C07"/>
    <w:rsid w:val="00F23B44"/>
    <w:rsid w:val="00F260C1"/>
    <w:rsid w:val="00F27FEF"/>
    <w:rsid w:val="00F304E7"/>
    <w:rsid w:val="00F3076E"/>
    <w:rsid w:val="00F340B9"/>
    <w:rsid w:val="00F34362"/>
    <w:rsid w:val="00F350B9"/>
    <w:rsid w:val="00F36050"/>
    <w:rsid w:val="00F37B87"/>
    <w:rsid w:val="00F4054B"/>
    <w:rsid w:val="00F46C39"/>
    <w:rsid w:val="00F51A52"/>
    <w:rsid w:val="00F52647"/>
    <w:rsid w:val="00F6375D"/>
    <w:rsid w:val="00F665CC"/>
    <w:rsid w:val="00F6782F"/>
    <w:rsid w:val="00F70118"/>
    <w:rsid w:val="00F70F39"/>
    <w:rsid w:val="00F715D1"/>
    <w:rsid w:val="00F764F5"/>
    <w:rsid w:val="00F830B2"/>
    <w:rsid w:val="00F91234"/>
    <w:rsid w:val="00F91DAC"/>
    <w:rsid w:val="00F92D14"/>
    <w:rsid w:val="00F978AF"/>
    <w:rsid w:val="00F97CFC"/>
    <w:rsid w:val="00FA03D1"/>
    <w:rsid w:val="00FA1C1E"/>
    <w:rsid w:val="00FA2C2B"/>
    <w:rsid w:val="00FA3064"/>
    <w:rsid w:val="00FA7EB7"/>
    <w:rsid w:val="00FB04AF"/>
    <w:rsid w:val="00FB1ACE"/>
    <w:rsid w:val="00FB77B6"/>
    <w:rsid w:val="00FB7F11"/>
    <w:rsid w:val="00FC064F"/>
    <w:rsid w:val="00FC363C"/>
    <w:rsid w:val="00FC364E"/>
    <w:rsid w:val="00FC381C"/>
    <w:rsid w:val="00FC5D4A"/>
    <w:rsid w:val="00FC714A"/>
    <w:rsid w:val="00FC7F56"/>
    <w:rsid w:val="00FD0EAE"/>
    <w:rsid w:val="00FD55E2"/>
    <w:rsid w:val="00FD7282"/>
    <w:rsid w:val="00FE0A1F"/>
    <w:rsid w:val="00FE2042"/>
    <w:rsid w:val="00FE28AB"/>
    <w:rsid w:val="00FE3097"/>
    <w:rsid w:val="00FE3EF4"/>
    <w:rsid w:val="00FE4D5E"/>
    <w:rsid w:val="00FE5909"/>
    <w:rsid w:val="00FF0A68"/>
    <w:rsid w:val="00FF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D785B"/>
  <w15:docId w15:val="{68713312-5B8B-4E6D-9F4B-CAC9795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120"/>
  </w:style>
  <w:style w:type="paragraph" w:styleId="Heading1">
    <w:name w:val="heading 1"/>
    <w:basedOn w:val="Normal"/>
    <w:next w:val="Normal"/>
    <w:link w:val="Heading1Char"/>
    <w:uiPriority w:val="9"/>
    <w:qFormat/>
    <w:rsid w:val="00AD67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aliases w:val="Footnotes"/>
    <w:basedOn w:val="FootnoteText"/>
    <w:next w:val="FootnoteText"/>
    <w:link w:val="Heading3Char"/>
    <w:autoRedefine/>
    <w:uiPriority w:val="9"/>
    <w:unhideWhenUsed/>
    <w:qFormat/>
    <w:rsid w:val="00C86911"/>
    <w:pPr>
      <w:tabs>
        <w:tab w:val="left" w:pos="180"/>
      </w:tabs>
      <w:ind w:left="180" w:hanging="180"/>
      <w:jc w:val="both"/>
      <w:outlineLvl w:val="2"/>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FootnoteText">
    <w:name w:val="footnote text"/>
    <w:basedOn w:val="Normal"/>
    <w:link w:val="FootnoteTextChar"/>
    <w:uiPriority w:val="99"/>
    <w:unhideWhenUsed/>
    <w:rsid w:val="00262C41"/>
    <w:pPr>
      <w:spacing w:after="0" w:line="240" w:lineRule="auto"/>
    </w:pPr>
    <w:rPr>
      <w:sz w:val="20"/>
      <w:szCs w:val="20"/>
    </w:rPr>
  </w:style>
  <w:style w:type="character" w:customStyle="1" w:styleId="FootnoteTextChar">
    <w:name w:val="Footnote Text Char"/>
    <w:basedOn w:val="DefaultParagraphFont"/>
    <w:link w:val="FootnoteText"/>
    <w:uiPriority w:val="99"/>
    <w:rsid w:val="00262C41"/>
    <w:rPr>
      <w:sz w:val="20"/>
      <w:szCs w:val="20"/>
    </w:rPr>
  </w:style>
  <w:style w:type="character" w:styleId="FootnoteReference">
    <w:name w:val="footnote reference"/>
    <w:basedOn w:val="DefaultParagraphFont"/>
    <w:uiPriority w:val="99"/>
    <w:unhideWhenUsed/>
    <w:rsid w:val="00E12505"/>
    <w:rPr>
      <w:rFonts w:ascii="Symbol" w:hAnsi="Symbol"/>
      <w:color w:val="auto"/>
      <w:vertAlign w:val="superscript"/>
    </w:rPr>
  </w:style>
  <w:style w:type="character" w:styleId="Hyperlink">
    <w:name w:val="Hyperlink"/>
    <w:basedOn w:val="DefaultParagraphFont"/>
    <w:uiPriority w:val="99"/>
    <w:unhideWhenUsed/>
    <w:rsid w:val="004C59E4"/>
    <w:rPr>
      <w:color w:val="0000FF" w:themeColor="hyperlink"/>
      <w:u w:val="single"/>
    </w:rPr>
  </w:style>
  <w:style w:type="character" w:customStyle="1" w:styleId="Heading1Char">
    <w:name w:val="Heading 1 Char"/>
    <w:basedOn w:val="DefaultParagraphFont"/>
    <w:link w:val="Heading1"/>
    <w:uiPriority w:val="9"/>
    <w:rsid w:val="00AD67F7"/>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unhideWhenUsed/>
    <w:rsid w:val="001E422A"/>
    <w:pPr>
      <w:spacing w:line="240" w:lineRule="auto"/>
    </w:pPr>
    <w:rPr>
      <w:sz w:val="20"/>
      <w:szCs w:val="20"/>
    </w:rPr>
  </w:style>
  <w:style w:type="character" w:customStyle="1" w:styleId="CommentTextChar">
    <w:name w:val="Comment Text Char"/>
    <w:basedOn w:val="DefaultParagraphFont"/>
    <w:link w:val="CommentText"/>
    <w:uiPriority w:val="99"/>
    <w:rsid w:val="001E422A"/>
    <w:rPr>
      <w:sz w:val="20"/>
      <w:szCs w:val="20"/>
    </w:rPr>
  </w:style>
  <w:style w:type="character" w:styleId="CommentReference">
    <w:name w:val="annotation reference"/>
    <w:basedOn w:val="DefaultParagraphFont"/>
    <w:uiPriority w:val="99"/>
    <w:semiHidden/>
    <w:unhideWhenUsed/>
    <w:rsid w:val="001E422A"/>
    <w:rPr>
      <w:sz w:val="16"/>
      <w:szCs w:val="16"/>
    </w:rPr>
  </w:style>
  <w:style w:type="paragraph" w:styleId="CommentSubject">
    <w:name w:val="annotation subject"/>
    <w:basedOn w:val="CommentText"/>
    <w:next w:val="CommentText"/>
    <w:link w:val="CommentSubjectChar"/>
    <w:uiPriority w:val="99"/>
    <w:semiHidden/>
    <w:unhideWhenUsed/>
    <w:rsid w:val="00E837A5"/>
    <w:rPr>
      <w:b/>
      <w:bCs/>
    </w:rPr>
  </w:style>
  <w:style w:type="character" w:customStyle="1" w:styleId="CommentSubjectChar">
    <w:name w:val="Comment Subject Char"/>
    <w:basedOn w:val="CommentTextChar"/>
    <w:link w:val="CommentSubject"/>
    <w:uiPriority w:val="99"/>
    <w:semiHidden/>
    <w:rsid w:val="00E837A5"/>
    <w:rPr>
      <w:b/>
      <w:bCs/>
      <w:sz w:val="20"/>
      <w:szCs w:val="20"/>
    </w:rPr>
  </w:style>
  <w:style w:type="paragraph" w:styleId="BalloonText">
    <w:name w:val="Balloon Text"/>
    <w:basedOn w:val="Normal"/>
    <w:link w:val="BalloonTextChar"/>
    <w:uiPriority w:val="99"/>
    <w:semiHidden/>
    <w:unhideWhenUsed/>
    <w:rsid w:val="00E8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A5"/>
    <w:rPr>
      <w:rFonts w:ascii="Segoe UI" w:hAnsi="Segoe UI" w:cs="Segoe UI"/>
      <w:sz w:val="18"/>
      <w:szCs w:val="18"/>
    </w:rPr>
  </w:style>
  <w:style w:type="paragraph" w:styleId="ListParagraph">
    <w:name w:val="List Paragraph"/>
    <w:basedOn w:val="Normal"/>
    <w:uiPriority w:val="34"/>
    <w:qFormat/>
    <w:rsid w:val="00F715D1"/>
    <w:pPr>
      <w:ind w:left="720"/>
      <w:contextualSpacing/>
    </w:pPr>
  </w:style>
  <w:style w:type="table" w:styleId="TableGrid">
    <w:name w:val="Table Grid"/>
    <w:basedOn w:val="TableNormal"/>
    <w:uiPriority w:val="59"/>
    <w:rsid w:val="00552C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570B"/>
    <w:pPr>
      <w:spacing w:after="0" w:line="240" w:lineRule="auto"/>
    </w:pPr>
  </w:style>
  <w:style w:type="paragraph" w:styleId="EndnoteText">
    <w:name w:val="endnote text"/>
    <w:basedOn w:val="Normal"/>
    <w:link w:val="EndnoteTextChar"/>
    <w:uiPriority w:val="99"/>
    <w:unhideWhenUsed/>
    <w:rsid w:val="005141FA"/>
    <w:pPr>
      <w:spacing w:after="0" w:line="240" w:lineRule="auto"/>
    </w:pPr>
    <w:rPr>
      <w:sz w:val="20"/>
      <w:szCs w:val="20"/>
    </w:rPr>
  </w:style>
  <w:style w:type="character" w:customStyle="1" w:styleId="EndnoteTextChar">
    <w:name w:val="Endnote Text Char"/>
    <w:basedOn w:val="DefaultParagraphFont"/>
    <w:link w:val="EndnoteText"/>
    <w:uiPriority w:val="99"/>
    <w:rsid w:val="005141FA"/>
    <w:rPr>
      <w:sz w:val="20"/>
      <w:szCs w:val="20"/>
    </w:rPr>
  </w:style>
  <w:style w:type="character" w:styleId="EndnoteReference">
    <w:name w:val="endnote reference"/>
    <w:basedOn w:val="DefaultParagraphFont"/>
    <w:uiPriority w:val="99"/>
    <w:semiHidden/>
    <w:unhideWhenUsed/>
    <w:rsid w:val="005141FA"/>
    <w:rPr>
      <w:vertAlign w:val="superscript"/>
    </w:rPr>
  </w:style>
  <w:style w:type="character" w:styleId="FollowedHyperlink">
    <w:name w:val="FollowedHyperlink"/>
    <w:basedOn w:val="DefaultParagraphFont"/>
    <w:uiPriority w:val="99"/>
    <w:semiHidden/>
    <w:unhideWhenUsed/>
    <w:rsid w:val="00176D54"/>
    <w:rPr>
      <w:color w:val="800080" w:themeColor="followedHyperlink"/>
      <w:u w:val="single"/>
    </w:rPr>
  </w:style>
  <w:style w:type="paragraph" w:styleId="Bibliography">
    <w:name w:val="Bibliography"/>
    <w:basedOn w:val="Normal"/>
    <w:next w:val="Normal"/>
    <w:uiPriority w:val="37"/>
    <w:unhideWhenUsed/>
    <w:rsid w:val="002130D6"/>
  </w:style>
  <w:style w:type="character" w:customStyle="1" w:styleId="Heading3Char">
    <w:name w:val="Heading 3 Char"/>
    <w:aliases w:val="Footnotes Char"/>
    <w:basedOn w:val="DefaultParagraphFont"/>
    <w:link w:val="Heading3"/>
    <w:uiPriority w:val="9"/>
    <w:rsid w:val="00C86911"/>
    <w:rPr>
      <w:rFonts w:asciiTheme="majorHAnsi" w:hAnsiTheme="majorHAnsi"/>
      <w:sz w:val="20"/>
      <w:szCs w:val="20"/>
    </w:rPr>
  </w:style>
  <w:style w:type="character" w:customStyle="1" w:styleId="highlight2">
    <w:name w:val="highlight2"/>
    <w:basedOn w:val="DefaultParagraphFont"/>
    <w:rsid w:val="00C86911"/>
  </w:style>
  <w:style w:type="character" w:customStyle="1" w:styleId="apple-converted-space">
    <w:name w:val="apple-converted-space"/>
    <w:basedOn w:val="DefaultParagraphFont"/>
    <w:rsid w:val="00C86911"/>
  </w:style>
  <w:style w:type="numbering" w:customStyle="1" w:styleId="NoList1">
    <w:name w:val="No List1"/>
    <w:next w:val="NoList"/>
    <w:uiPriority w:val="99"/>
    <w:semiHidden/>
    <w:unhideWhenUsed/>
    <w:rsid w:val="00C86911"/>
  </w:style>
  <w:style w:type="paragraph" w:styleId="NormalWeb">
    <w:name w:val="Normal (Web)"/>
    <w:basedOn w:val="Normal"/>
    <w:uiPriority w:val="99"/>
    <w:semiHidden/>
    <w:unhideWhenUsed/>
    <w:rsid w:val="00C86911"/>
    <w:pPr>
      <w:spacing w:after="160" w:line="259" w:lineRule="auto"/>
    </w:pPr>
    <w:rPr>
      <w:rFonts w:ascii="Times New Roman" w:hAnsi="Times New Roman" w:cs="Times New Roman"/>
      <w:sz w:val="24"/>
      <w:szCs w:val="24"/>
    </w:rPr>
  </w:style>
  <w:style w:type="table" w:customStyle="1" w:styleId="PlainTable11">
    <w:name w:val="Plain Table 11"/>
    <w:basedOn w:val="TableNormal"/>
    <w:uiPriority w:val="41"/>
    <w:rsid w:val="00C869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869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basedOn w:val="Normal"/>
    <w:rsid w:val="00E87AE8"/>
    <w:pPr>
      <w:autoSpaceDE w:val="0"/>
      <w:autoSpaceDN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248">
      <w:bodyDiv w:val="1"/>
      <w:marLeft w:val="0"/>
      <w:marRight w:val="0"/>
      <w:marTop w:val="0"/>
      <w:marBottom w:val="0"/>
      <w:divBdr>
        <w:top w:val="none" w:sz="0" w:space="0" w:color="auto"/>
        <w:left w:val="none" w:sz="0" w:space="0" w:color="auto"/>
        <w:bottom w:val="none" w:sz="0" w:space="0" w:color="auto"/>
        <w:right w:val="none" w:sz="0" w:space="0" w:color="auto"/>
      </w:divBdr>
    </w:div>
    <w:div w:id="39329977">
      <w:bodyDiv w:val="1"/>
      <w:marLeft w:val="0"/>
      <w:marRight w:val="0"/>
      <w:marTop w:val="0"/>
      <w:marBottom w:val="0"/>
      <w:divBdr>
        <w:top w:val="none" w:sz="0" w:space="0" w:color="auto"/>
        <w:left w:val="none" w:sz="0" w:space="0" w:color="auto"/>
        <w:bottom w:val="none" w:sz="0" w:space="0" w:color="auto"/>
        <w:right w:val="none" w:sz="0" w:space="0" w:color="auto"/>
      </w:divBdr>
    </w:div>
    <w:div w:id="59060388">
      <w:bodyDiv w:val="1"/>
      <w:marLeft w:val="0"/>
      <w:marRight w:val="0"/>
      <w:marTop w:val="0"/>
      <w:marBottom w:val="0"/>
      <w:divBdr>
        <w:top w:val="none" w:sz="0" w:space="0" w:color="auto"/>
        <w:left w:val="none" w:sz="0" w:space="0" w:color="auto"/>
        <w:bottom w:val="none" w:sz="0" w:space="0" w:color="auto"/>
        <w:right w:val="none" w:sz="0" w:space="0" w:color="auto"/>
      </w:divBdr>
    </w:div>
    <w:div w:id="59207230">
      <w:bodyDiv w:val="1"/>
      <w:marLeft w:val="0"/>
      <w:marRight w:val="0"/>
      <w:marTop w:val="0"/>
      <w:marBottom w:val="0"/>
      <w:divBdr>
        <w:top w:val="none" w:sz="0" w:space="0" w:color="auto"/>
        <w:left w:val="none" w:sz="0" w:space="0" w:color="auto"/>
        <w:bottom w:val="none" w:sz="0" w:space="0" w:color="auto"/>
        <w:right w:val="none" w:sz="0" w:space="0" w:color="auto"/>
      </w:divBdr>
    </w:div>
    <w:div w:id="119110583">
      <w:bodyDiv w:val="1"/>
      <w:marLeft w:val="0"/>
      <w:marRight w:val="0"/>
      <w:marTop w:val="0"/>
      <w:marBottom w:val="0"/>
      <w:divBdr>
        <w:top w:val="none" w:sz="0" w:space="0" w:color="auto"/>
        <w:left w:val="none" w:sz="0" w:space="0" w:color="auto"/>
        <w:bottom w:val="none" w:sz="0" w:space="0" w:color="auto"/>
        <w:right w:val="none" w:sz="0" w:space="0" w:color="auto"/>
      </w:divBdr>
    </w:div>
    <w:div w:id="122307446">
      <w:bodyDiv w:val="1"/>
      <w:marLeft w:val="0"/>
      <w:marRight w:val="0"/>
      <w:marTop w:val="0"/>
      <w:marBottom w:val="0"/>
      <w:divBdr>
        <w:top w:val="none" w:sz="0" w:space="0" w:color="auto"/>
        <w:left w:val="none" w:sz="0" w:space="0" w:color="auto"/>
        <w:bottom w:val="none" w:sz="0" w:space="0" w:color="auto"/>
        <w:right w:val="none" w:sz="0" w:space="0" w:color="auto"/>
      </w:divBdr>
    </w:div>
    <w:div w:id="124860032">
      <w:bodyDiv w:val="1"/>
      <w:marLeft w:val="0"/>
      <w:marRight w:val="0"/>
      <w:marTop w:val="0"/>
      <w:marBottom w:val="0"/>
      <w:divBdr>
        <w:top w:val="none" w:sz="0" w:space="0" w:color="auto"/>
        <w:left w:val="none" w:sz="0" w:space="0" w:color="auto"/>
        <w:bottom w:val="none" w:sz="0" w:space="0" w:color="auto"/>
        <w:right w:val="none" w:sz="0" w:space="0" w:color="auto"/>
      </w:divBdr>
    </w:div>
    <w:div w:id="216359918">
      <w:bodyDiv w:val="1"/>
      <w:marLeft w:val="0"/>
      <w:marRight w:val="0"/>
      <w:marTop w:val="0"/>
      <w:marBottom w:val="0"/>
      <w:divBdr>
        <w:top w:val="none" w:sz="0" w:space="0" w:color="auto"/>
        <w:left w:val="none" w:sz="0" w:space="0" w:color="auto"/>
        <w:bottom w:val="none" w:sz="0" w:space="0" w:color="auto"/>
        <w:right w:val="none" w:sz="0" w:space="0" w:color="auto"/>
      </w:divBdr>
    </w:div>
    <w:div w:id="233781211">
      <w:bodyDiv w:val="1"/>
      <w:marLeft w:val="0"/>
      <w:marRight w:val="0"/>
      <w:marTop w:val="0"/>
      <w:marBottom w:val="0"/>
      <w:divBdr>
        <w:top w:val="none" w:sz="0" w:space="0" w:color="auto"/>
        <w:left w:val="none" w:sz="0" w:space="0" w:color="auto"/>
        <w:bottom w:val="none" w:sz="0" w:space="0" w:color="auto"/>
        <w:right w:val="none" w:sz="0" w:space="0" w:color="auto"/>
      </w:divBdr>
    </w:div>
    <w:div w:id="238255396">
      <w:bodyDiv w:val="1"/>
      <w:marLeft w:val="0"/>
      <w:marRight w:val="0"/>
      <w:marTop w:val="0"/>
      <w:marBottom w:val="0"/>
      <w:divBdr>
        <w:top w:val="none" w:sz="0" w:space="0" w:color="auto"/>
        <w:left w:val="none" w:sz="0" w:space="0" w:color="auto"/>
        <w:bottom w:val="none" w:sz="0" w:space="0" w:color="auto"/>
        <w:right w:val="none" w:sz="0" w:space="0" w:color="auto"/>
      </w:divBdr>
    </w:div>
    <w:div w:id="240795608">
      <w:bodyDiv w:val="1"/>
      <w:marLeft w:val="0"/>
      <w:marRight w:val="0"/>
      <w:marTop w:val="0"/>
      <w:marBottom w:val="0"/>
      <w:divBdr>
        <w:top w:val="none" w:sz="0" w:space="0" w:color="auto"/>
        <w:left w:val="none" w:sz="0" w:space="0" w:color="auto"/>
        <w:bottom w:val="none" w:sz="0" w:space="0" w:color="auto"/>
        <w:right w:val="none" w:sz="0" w:space="0" w:color="auto"/>
      </w:divBdr>
    </w:div>
    <w:div w:id="244188199">
      <w:bodyDiv w:val="1"/>
      <w:marLeft w:val="0"/>
      <w:marRight w:val="0"/>
      <w:marTop w:val="0"/>
      <w:marBottom w:val="0"/>
      <w:divBdr>
        <w:top w:val="none" w:sz="0" w:space="0" w:color="auto"/>
        <w:left w:val="none" w:sz="0" w:space="0" w:color="auto"/>
        <w:bottom w:val="none" w:sz="0" w:space="0" w:color="auto"/>
        <w:right w:val="none" w:sz="0" w:space="0" w:color="auto"/>
      </w:divBdr>
    </w:div>
    <w:div w:id="259073370">
      <w:bodyDiv w:val="1"/>
      <w:marLeft w:val="0"/>
      <w:marRight w:val="0"/>
      <w:marTop w:val="0"/>
      <w:marBottom w:val="0"/>
      <w:divBdr>
        <w:top w:val="none" w:sz="0" w:space="0" w:color="auto"/>
        <w:left w:val="none" w:sz="0" w:space="0" w:color="auto"/>
        <w:bottom w:val="none" w:sz="0" w:space="0" w:color="auto"/>
        <w:right w:val="none" w:sz="0" w:space="0" w:color="auto"/>
      </w:divBdr>
    </w:div>
    <w:div w:id="267393471">
      <w:bodyDiv w:val="1"/>
      <w:marLeft w:val="0"/>
      <w:marRight w:val="0"/>
      <w:marTop w:val="0"/>
      <w:marBottom w:val="0"/>
      <w:divBdr>
        <w:top w:val="none" w:sz="0" w:space="0" w:color="auto"/>
        <w:left w:val="none" w:sz="0" w:space="0" w:color="auto"/>
        <w:bottom w:val="none" w:sz="0" w:space="0" w:color="auto"/>
        <w:right w:val="none" w:sz="0" w:space="0" w:color="auto"/>
      </w:divBdr>
    </w:div>
    <w:div w:id="271010416">
      <w:bodyDiv w:val="1"/>
      <w:marLeft w:val="0"/>
      <w:marRight w:val="0"/>
      <w:marTop w:val="0"/>
      <w:marBottom w:val="0"/>
      <w:divBdr>
        <w:top w:val="none" w:sz="0" w:space="0" w:color="auto"/>
        <w:left w:val="none" w:sz="0" w:space="0" w:color="auto"/>
        <w:bottom w:val="none" w:sz="0" w:space="0" w:color="auto"/>
        <w:right w:val="none" w:sz="0" w:space="0" w:color="auto"/>
      </w:divBdr>
    </w:div>
    <w:div w:id="273053302">
      <w:bodyDiv w:val="1"/>
      <w:marLeft w:val="0"/>
      <w:marRight w:val="0"/>
      <w:marTop w:val="0"/>
      <w:marBottom w:val="0"/>
      <w:divBdr>
        <w:top w:val="none" w:sz="0" w:space="0" w:color="auto"/>
        <w:left w:val="none" w:sz="0" w:space="0" w:color="auto"/>
        <w:bottom w:val="none" w:sz="0" w:space="0" w:color="auto"/>
        <w:right w:val="none" w:sz="0" w:space="0" w:color="auto"/>
      </w:divBdr>
    </w:div>
    <w:div w:id="284384898">
      <w:bodyDiv w:val="1"/>
      <w:marLeft w:val="0"/>
      <w:marRight w:val="0"/>
      <w:marTop w:val="0"/>
      <w:marBottom w:val="0"/>
      <w:divBdr>
        <w:top w:val="none" w:sz="0" w:space="0" w:color="auto"/>
        <w:left w:val="none" w:sz="0" w:space="0" w:color="auto"/>
        <w:bottom w:val="none" w:sz="0" w:space="0" w:color="auto"/>
        <w:right w:val="none" w:sz="0" w:space="0" w:color="auto"/>
      </w:divBdr>
    </w:div>
    <w:div w:id="312611222">
      <w:bodyDiv w:val="1"/>
      <w:marLeft w:val="0"/>
      <w:marRight w:val="0"/>
      <w:marTop w:val="0"/>
      <w:marBottom w:val="0"/>
      <w:divBdr>
        <w:top w:val="none" w:sz="0" w:space="0" w:color="auto"/>
        <w:left w:val="none" w:sz="0" w:space="0" w:color="auto"/>
        <w:bottom w:val="none" w:sz="0" w:space="0" w:color="auto"/>
        <w:right w:val="none" w:sz="0" w:space="0" w:color="auto"/>
      </w:divBdr>
    </w:div>
    <w:div w:id="360278274">
      <w:bodyDiv w:val="1"/>
      <w:marLeft w:val="0"/>
      <w:marRight w:val="0"/>
      <w:marTop w:val="0"/>
      <w:marBottom w:val="0"/>
      <w:divBdr>
        <w:top w:val="none" w:sz="0" w:space="0" w:color="auto"/>
        <w:left w:val="none" w:sz="0" w:space="0" w:color="auto"/>
        <w:bottom w:val="none" w:sz="0" w:space="0" w:color="auto"/>
        <w:right w:val="none" w:sz="0" w:space="0" w:color="auto"/>
      </w:divBdr>
    </w:div>
    <w:div w:id="362555731">
      <w:bodyDiv w:val="1"/>
      <w:marLeft w:val="0"/>
      <w:marRight w:val="0"/>
      <w:marTop w:val="0"/>
      <w:marBottom w:val="0"/>
      <w:divBdr>
        <w:top w:val="none" w:sz="0" w:space="0" w:color="auto"/>
        <w:left w:val="none" w:sz="0" w:space="0" w:color="auto"/>
        <w:bottom w:val="none" w:sz="0" w:space="0" w:color="auto"/>
        <w:right w:val="none" w:sz="0" w:space="0" w:color="auto"/>
      </w:divBdr>
    </w:div>
    <w:div w:id="370300598">
      <w:bodyDiv w:val="1"/>
      <w:marLeft w:val="0"/>
      <w:marRight w:val="0"/>
      <w:marTop w:val="0"/>
      <w:marBottom w:val="0"/>
      <w:divBdr>
        <w:top w:val="none" w:sz="0" w:space="0" w:color="auto"/>
        <w:left w:val="none" w:sz="0" w:space="0" w:color="auto"/>
        <w:bottom w:val="none" w:sz="0" w:space="0" w:color="auto"/>
        <w:right w:val="none" w:sz="0" w:space="0" w:color="auto"/>
      </w:divBdr>
    </w:div>
    <w:div w:id="402141726">
      <w:bodyDiv w:val="1"/>
      <w:marLeft w:val="0"/>
      <w:marRight w:val="0"/>
      <w:marTop w:val="0"/>
      <w:marBottom w:val="0"/>
      <w:divBdr>
        <w:top w:val="none" w:sz="0" w:space="0" w:color="auto"/>
        <w:left w:val="none" w:sz="0" w:space="0" w:color="auto"/>
        <w:bottom w:val="none" w:sz="0" w:space="0" w:color="auto"/>
        <w:right w:val="none" w:sz="0" w:space="0" w:color="auto"/>
      </w:divBdr>
    </w:div>
    <w:div w:id="473450093">
      <w:bodyDiv w:val="1"/>
      <w:marLeft w:val="0"/>
      <w:marRight w:val="0"/>
      <w:marTop w:val="0"/>
      <w:marBottom w:val="0"/>
      <w:divBdr>
        <w:top w:val="none" w:sz="0" w:space="0" w:color="auto"/>
        <w:left w:val="none" w:sz="0" w:space="0" w:color="auto"/>
        <w:bottom w:val="none" w:sz="0" w:space="0" w:color="auto"/>
        <w:right w:val="none" w:sz="0" w:space="0" w:color="auto"/>
      </w:divBdr>
    </w:div>
    <w:div w:id="474447816">
      <w:bodyDiv w:val="1"/>
      <w:marLeft w:val="0"/>
      <w:marRight w:val="0"/>
      <w:marTop w:val="0"/>
      <w:marBottom w:val="0"/>
      <w:divBdr>
        <w:top w:val="none" w:sz="0" w:space="0" w:color="auto"/>
        <w:left w:val="none" w:sz="0" w:space="0" w:color="auto"/>
        <w:bottom w:val="none" w:sz="0" w:space="0" w:color="auto"/>
        <w:right w:val="none" w:sz="0" w:space="0" w:color="auto"/>
      </w:divBdr>
    </w:div>
    <w:div w:id="478688720">
      <w:bodyDiv w:val="1"/>
      <w:marLeft w:val="0"/>
      <w:marRight w:val="0"/>
      <w:marTop w:val="0"/>
      <w:marBottom w:val="0"/>
      <w:divBdr>
        <w:top w:val="none" w:sz="0" w:space="0" w:color="auto"/>
        <w:left w:val="none" w:sz="0" w:space="0" w:color="auto"/>
        <w:bottom w:val="none" w:sz="0" w:space="0" w:color="auto"/>
        <w:right w:val="none" w:sz="0" w:space="0" w:color="auto"/>
      </w:divBdr>
    </w:div>
    <w:div w:id="552543936">
      <w:bodyDiv w:val="1"/>
      <w:marLeft w:val="0"/>
      <w:marRight w:val="0"/>
      <w:marTop w:val="0"/>
      <w:marBottom w:val="0"/>
      <w:divBdr>
        <w:top w:val="none" w:sz="0" w:space="0" w:color="auto"/>
        <w:left w:val="none" w:sz="0" w:space="0" w:color="auto"/>
        <w:bottom w:val="none" w:sz="0" w:space="0" w:color="auto"/>
        <w:right w:val="none" w:sz="0" w:space="0" w:color="auto"/>
      </w:divBdr>
    </w:div>
    <w:div w:id="552695491">
      <w:bodyDiv w:val="1"/>
      <w:marLeft w:val="0"/>
      <w:marRight w:val="0"/>
      <w:marTop w:val="0"/>
      <w:marBottom w:val="0"/>
      <w:divBdr>
        <w:top w:val="none" w:sz="0" w:space="0" w:color="auto"/>
        <w:left w:val="none" w:sz="0" w:space="0" w:color="auto"/>
        <w:bottom w:val="none" w:sz="0" w:space="0" w:color="auto"/>
        <w:right w:val="none" w:sz="0" w:space="0" w:color="auto"/>
      </w:divBdr>
    </w:div>
    <w:div w:id="561870199">
      <w:bodyDiv w:val="1"/>
      <w:marLeft w:val="0"/>
      <w:marRight w:val="0"/>
      <w:marTop w:val="0"/>
      <w:marBottom w:val="0"/>
      <w:divBdr>
        <w:top w:val="none" w:sz="0" w:space="0" w:color="auto"/>
        <w:left w:val="none" w:sz="0" w:space="0" w:color="auto"/>
        <w:bottom w:val="none" w:sz="0" w:space="0" w:color="auto"/>
        <w:right w:val="none" w:sz="0" w:space="0" w:color="auto"/>
      </w:divBdr>
    </w:div>
    <w:div w:id="596905556">
      <w:bodyDiv w:val="1"/>
      <w:marLeft w:val="0"/>
      <w:marRight w:val="0"/>
      <w:marTop w:val="0"/>
      <w:marBottom w:val="0"/>
      <w:divBdr>
        <w:top w:val="none" w:sz="0" w:space="0" w:color="auto"/>
        <w:left w:val="none" w:sz="0" w:space="0" w:color="auto"/>
        <w:bottom w:val="none" w:sz="0" w:space="0" w:color="auto"/>
        <w:right w:val="none" w:sz="0" w:space="0" w:color="auto"/>
      </w:divBdr>
    </w:div>
    <w:div w:id="604112718">
      <w:bodyDiv w:val="1"/>
      <w:marLeft w:val="0"/>
      <w:marRight w:val="0"/>
      <w:marTop w:val="0"/>
      <w:marBottom w:val="0"/>
      <w:divBdr>
        <w:top w:val="none" w:sz="0" w:space="0" w:color="auto"/>
        <w:left w:val="none" w:sz="0" w:space="0" w:color="auto"/>
        <w:bottom w:val="none" w:sz="0" w:space="0" w:color="auto"/>
        <w:right w:val="none" w:sz="0" w:space="0" w:color="auto"/>
      </w:divBdr>
    </w:div>
    <w:div w:id="608006467">
      <w:bodyDiv w:val="1"/>
      <w:marLeft w:val="0"/>
      <w:marRight w:val="0"/>
      <w:marTop w:val="0"/>
      <w:marBottom w:val="0"/>
      <w:divBdr>
        <w:top w:val="none" w:sz="0" w:space="0" w:color="auto"/>
        <w:left w:val="none" w:sz="0" w:space="0" w:color="auto"/>
        <w:bottom w:val="none" w:sz="0" w:space="0" w:color="auto"/>
        <w:right w:val="none" w:sz="0" w:space="0" w:color="auto"/>
      </w:divBdr>
    </w:div>
    <w:div w:id="615525361">
      <w:bodyDiv w:val="1"/>
      <w:marLeft w:val="0"/>
      <w:marRight w:val="0"/>
      <w:marTop w:val="0"/>
      <w:marBottom w:val="0"/>
      <w:divBdr>
        <w:top w:val="none" w:sz="0" w:space="0" w:color="auto"/>
        <w:left w:val="none" w:sz="0" w:space="0" w:color="auto"/>
        <w:bottom w:val="none" w:sz="0" w:space="0" w:color="auto"/>
        <w:right w:val="none" w:sz="0" w:space="0" w:color="auto"/>
      </w:divBdr>
    </w:div>
    <w:div w:id="658113772">
      <w:bodyDiv w:val="1"/>
      <w:marLeft w:val="0"/>
      <w:marRight w:val="0"/>
      <w:marTop w:val="0"/>
      <w:marBottom w:val="0"/>
      <w:divBdr>
        <w:top w:val="none" w:sz="0" w:space="0" w:color="auto"/>
        <w:left w:val="none" w:sz="0" w:space="0" w:color="auto"/>
        <w:bottom w:val="none" w:sz="0" w:space="0" w:color="auto"/>
        <w:right w:val="none" w:sz="0" w:space="0" w:color="auto"/>
      </w:divBdr>
    </w:div>
    <w:div w:id="664479929">
      <w:bodyDiv w:val="1"/>
      <w:marLeft w:val="0"/>
      <w:marRight w:val="0"/>
      <w:marTop w:val="0"/>
      <w:marBottom w:val="0"/>
      <w:divBdr>
        <w:top w:val="none" w:sz="0" w:space="0" w:color="auto"/>
        <w:left w:val="none" w:sz="0" w:space="0" w:color="auto"/>
        <w:bottom w:val="none" w:sz="0" w:space="0" w:color="auto"/>
        <w:right w:val="none" w:sz="0" w:space="0" w:color="auto"/>
      </w:divBdr>
    </w:div>
    <w:div w:id="681394380">
      <w:bodyDiv w:val="1"/>
      <w:marLeft w:val="0"/>
      <w:marRight w:val="0"/>
      <w:marTop w:val="0"/>
      <w:marBottom w:val="0"/>
      <w:divBdr>
        <w:top w:val="none" w:sz="0" w:space="0" w:color="auto"/>
        <w:left w:val="none" w:sz="0" w:space="0" w:color="auto"/>
        <w:bottom w:val="none" w:sz="0" w:space="0" w:color="auto"/>
        <w:right w:val="none" w:sz="0" w:space="0" w:color="auto"/>
      </w:divBdr>
    </w:div>
    <w:div w:id="735400969">
      <w:bodyDiv w:val="1"/>
      <w:marLeft w:val="0"/>
      <w:marRight w:val="0"/>
      <w:marTop w:val="0"/>
      <w:marBottom w:val="0"/>
      <w:divBdr>
        <w:top w:val="none" w:sz="0" w:space="0" w:color="auto"/>
        <w:left w:val="none" w:sz="0" w:space="0" w:color="auto"/>
        <w:bottom w:val="none" w:sz="0" w:space="0" w:color="auto"/>
        <w:right w:val="none" w:sz="0" w:space="0" w:color="auto"/>
      </w:divBdr>
    </w:div>
    <w:div w:id="760183260">
      <w:bodyDiv w:val="1"/>
      <w:marLeft w:val="0"/>
      <w:marRight w:val="0"/>
      <w:marTop w:val="0"/>
      <w:marBottom w:val="0"/>
      <w:divBdr>
        <w:top w:val="none" w:sz="0" w:space="0" w:color="auto"/>
        <w:left w:val="none" w:sz="0" w:space="0" w:color="auto"/>
        <w:bottom w:val="none" w:sz="0" w:space="0" w:color="auto"/>
        <w:right w:val="none" w:sz="0" w:space="0" w:color="auto"/>
      </w:divBdr>
    </w:div>
    <w:div w:id="802314010">
      <w:bodyDiv w:val="1"/>
      <w:marLeft w:val="0"/>
      <w:marRight w:val="0"/>
      <w:marTop w:val="0"/>
      <w:marBottom w:val="0"/>
      <w:divBdr>
        <w:top w:val="none" w:sz="0" w:space="0" w:color="auto"/>
        <w:left w:val="none" w:sz="0" w:space="0" w:color="auto"/>
        <w:bottom w:val="none" w:sz="0" w:space="0" w:color="auto"/>
        <w:right w:val="none" w:sz="0" w:space="0" w:color="auto"/>
      </w:divBdr>
    </w:div>
    <w:div w:id="849299290">
      <w:bodyDiv w:val="1"/>
      <w:marLeft w:val="0"/>
      <w:marRight w:val="0"/>
      <w:marTop w:val="0"/>
      <w:marBottom w:val="0"/>
      <w:divBdr>
        <w:top w:val="none" w:sz="0" w:space="0" w:color="auto"/>
        <w:left w:val="none" w:sz="0" w:space="0" w:color="auto"/>
        <w:bottom w:val="none" w:sz="0" w:space="0" w:color="auto"/>
        <w:right w:val="none" w:sz="0" w:space="0" w:color="auto"/>
      </w:divBdr>
    </w:div>
    <w:div w:id="878317930">
      <w:bodyDiv w:val="1"/>
      <w:marLeft w:val="0"/>
      <w:marRight w:val="0"/>
      <w:marTop w:val="0"/>
      <w:marBottom w:val="0"/>
      <w:divBdr>
        <w:top w:val="none" w:sz="0" w:space="0" w:color="auto"/>
        <w:left w:val="none" w:sz="0" w:space="0" w:color="auto"/>
        <w:bottom w:val="none" w:sz="0" w:space="0" w:color="auto"/>
        <w:right w:val="none" w:sz="0" w:space="0" w:color="auto"/>
      </w:divBdr>
    </w:div>
    <w:div w:id="1082097393">
      <w:bodyDiv w:val="1"/>
      <w:marLeft w:val="0"/>
      <w:marRight w:val="0"/>
      <w:marTop w:val="0"/>
      <w:marBottom w:val="0"/>
      <w:divBdr>
        <w:top w:val="none" w:sz="0" w:space="0" w:color="auto"/>
        <w:left w:val="none" w:sz="0" w:space="0" w:color="auto"/>
        <w:bottom w:val="none" w:sz="0" w:space="0" w:color="auto"/>
        <w:right w:val="none" w:sz="0" w:space="0" w:color="auto"/>
      </w:divBdr>
    </w:div>
    <w:div w:id="1123503478">
      <w:bodyDiv w:val="1"/>
      <w:marLeft w:val="0"/>
      <w:marRight w:val="0"/>
      <w:marTop w:val="0"/>
      <w:marBottom w:val="0"/>
      <w:divBdr>
        <w:top w:val="none" w:sz="0" w:space="0" w:color="auto"/>
        <w:left w:val="none" w:sz="0" w:space="0" w:color="auto"/>
        <w:bottom w:val="none" w:sz="0" w:space="0" w:color="auto"/>
        <w:right w:val="none" w:sz="0" w:space="0" w:color="auto"/>
      </w:divBdr>
    </w:div>
    <w:div w:id="1142304733">
      <w:bodyDiv w:val="1"/>
      <w:marLeft w:val="0"/>
      <w:marRight w:val="0"/>
      <w:marTop w:val="0"/>
      <w:marBottom w:val="0"/>
      <w:divBdr>
        <w:top w:val="none" w:sz="0" w:space="0" w:color="auto"/>
        <w:left w:val="none" w:sz="0" w:space="0" w:color="auto"/>
        <w:bottom w:val="none" w:sz="0" w:space="0" w:color="auto"/>
        <w:right w:val="none" w:sz="0" w:space="0" w:color="auto"/>
      </w:divBdr>
    </w:div>
    <w:div w:id="1165826293">
      <w:bodyDiv w:val="1"/>
      <w:marLeft w:val="0"/>
      <w:marRight w:val="0"/>
      <w:marTop w:val="0"/>
      <w:marBottom w:val="0"/>
      <w:divBdr>
        <w:top w:val="none" w:sz="0" w:space="0" w:color="auto"/>
        <w:left w:val="none" w:sz="0" w:space="0" w:color="auto"/>
        <w:bottom w:val="none" w:sz="0" w:space="0" w:color="auto"/>
        <w:right w:val="none" w:sz="0" w:space="0" w:color="auto"/>
      </w:divBdr>
    </w:div>
    <w:div w:id="1182162143">
      <w:bodyDiv w:val="1"/>
      <w:marLeft w:val="0"/>
      <w:marRight w:val="0"/>
      <w:marTop w:val="0"/>
      <w:marBottom w:val="0"/>
      <w:divBdr>
        <w:top w:val="none" w:sz="0" w:space="0" w:color="auto"/>
        <w:left w:val="none" w:sz="0" w:space="0" w:color="auto"/>
        <w:bottom w:val="none" w:sz="0" w:space="0" w:color="auto"/>
        <w:right w:val="none" w:sz="0" w:space="0" w:color="auto"/>
      </w:divBdr>
    </w:div>
    <w:div w:id="1221205843">
      <w:bodyDiv w:val="1"/>
      <w:marLeft w:val="0"/>
      <w:marRight w:val="0"/>
      <w:marTop w:val="0"/>
      <w:marBottom w:val="0"/>
      <w:divBdr>
        <w:top w:val="none" w:sz="0" w:space="0" w:color="auto"/>
        <w:left w:val="none" w:sz="0" w:space="0" w:color="auto"/>
        <w:bottom w:val="none" w:sz="0" w:space="0" w:color="auto"/>
        <w:right w:val="none" w:sz="0" w:space="0" w:color="auto"/>
      </w:divBdr>
    </w:div>
    <w:div w:id="1229463506">
      <w:bodyDiv w:val="1"/>
      <w:marLeft w:val="0"/>
      <w:marRight w:val="0"/>
      <w:marTop w:val="0"/>
      <w:marBottom w:val="0"/>
      <w:divBdr>
        <w:top w:val="none" w:sz="0" w:space="0" w:color="auto"/>
        <w:left w:val="none" w:sz="0" w:space="0" w:color="auto"/>
        <w:bottom w:val="none" w:sz="0" w:space="0" w:color="auto"/>
        <w:right w:val="none" w:sz="0" w:space="0" w:color="auto"/>
      </w:divBdr>
    </w:div>
    <w:div w:id="1238399176">
      <w:bodyDiv w:val="1"/>
      <w:marLeft w:val="0"/>
      <w:marRight w:val="0"/>
      <w:marTop w:val="0"/>
      <w:marBottom w:val="0"/>
      <w:divBdr>
        <w:top w:val="none" w:sz="0" w:space="0" w:color="auto"/>
        <w:left w:val="none" w:sz="0" w:space="0" w:color="auto"/>
        <w:bottom w:val="none" w:sz="0" w:space="0" w:color="auto"/>
        <w:right w:val="none" w:sz="0" w:space="0" w:color="auto"/>
      </w:divBdr>
    </w:div>
    <w:div w:id="1303118870">
      <w:bodyDiv w:val="1"/>
      <w:marLeft w:val="0"/>
      <w:marRight w:val="0"/>
      <w:marTop w:val="0"/>
      <w:marBottom w:val="0"/>
      <w:divBdr>
        <w:top w:val="none" w:sz="0" w:space="0" w:color="auto"/>
        <w:left w:val="none" w:sz="0" w:space="0" w:color="auto"/>
        <w:bottom w:val="none" w:sz="0" w:space="0" w:color="auto"/>
        <w:right w:val="none" w:sz="0" w:space="0" w:color="auto"/>
      </w:divBdr>
    </w:div>
    <w:div w:id="1364094304">
      <w:bodyDiv w:val="1"/>
      <w:marLeft w:val="0"/>
      <w:marRight w:val="0"/>
      <w:marTop w:val="0"/>
      <w:marBottom w:val="0"/>
      <w:divBdr>
        <w:top w:val="none" w:sz="0" w:space="0" w:color="auto"/>
        <w:left w:val="none" w:sz="0" w:space="0" w:color="auto"/>
        <w:bottom w:val="none" w:sz="0" w:space="0" w:color="auto"/>
        <w:right w:val="none" w:sz="0" w:space="0" w:color="auto"/>
      </w:divBdr>
    </w:div>
    <w:div w:id="1386876533">
      <w:bodyDiv w:val="1"/>
      <w:marLeft w:val="0"/>
      <w:marRight w:val="0"/>
      <w:marTop w:val="0"/>
      <w:marBottom w:val="0"/>
      <w:divBdr>
        <w:top w:val="none" w:sz="0" w:space="0" w:color="auto"/>
        <w:left w:val="none" w:sz="0" w:space="0" w:color="auto"/>
        <w:bottom w:val="none" w:sz="0" w:space="0" w:color="auto"/>
        <w:right w:val="none" w:sz="0" w:space="0" w:color="auto"/>
      </w:divBdr>
    </w:div>
    <w:div w:id="1420908998">
      <w:bodyDiv w:val="1"/>
      <w:marLeft w:val="0"/>
      <w:marRight w:val="0"/>
      <w:marTop w:val="0"/>
      <w:marBottom w:val="0"/>
      <w:divBdr>
        <w:top w:val="none" w:sz="0" w:space="0" w:color="auto"/>
        <w:left w:val="none" w:sz="0" w:space="0" w:color="auto"/>
        <w:bottom w:val="none" w:sz="0" w:space="0" w:color="auto"/>
        <w:right w:val="none" w:sz="0" w:space="0" w:color="auto"/>
      </w:divBdr>
    </w:div>
    <w:div w:id="1420980742">
      <w:bodyDiv w:val="1"/>
      <w:marLeft w:val="0"/>
      <w:marRight w:val="0"/>
      <w:marTop w:val="0"/>
      <w:marBottom w:val="0"/>
      <w:divBdr>
        <w:top w:val="none" w:sz="0" w:space="0" w:color="auto"/>
        <w:left w:val="none" w:sz="0" w:space="0" w:color="auto"/>
        <w:bottom w:val="none" w:sz="0" w:space="0" w:color="auto"/>
        <w:right w:val="none" w:sz="0" w:space="0" w:color="auto"/>
      </w:divBdr>
    </w:div>
    <w:div w:id="1434130410">
      <w:bodyDiv w:val="1"/>
      <w:marLeft w:val="0"/>
      <w:marRight w:val="0"/>
      <w:marTop w:val="0"/>
      <w:marBottom w:val="0"/>
      <w:divBdr>
        <w:top w:val="none" w:sz="0" w:space="0" w:color="auto"/>
        <w:left w:val="none" w:sz="0" w:space="0" w:color="auto"/>
        <w:bottom w:val="none" w:sz="0" w:space="0" w:color="auto"/>
        <w:right w:val="none" w:sz="0" w:space="0" w:color="auto"/>
      </w:divBdr>
    </w:div>
    <w:div w:id="1525558440">
      <w:bodyDiv w:val="1"/>
      <w:marLeft w:val="0"/>
      <w:marRight w:val="0"/>
      <w:marTop w:val="0"/>
      <w:marBottom w:val="0"/>
      <w:divBdr>
        <w:top w:val="none" w:sz="0" w:space="0" w:color="auto"/>
        <w:left w:val="none" w:sz="0" w:space="0" w:color="auto"/>
        <w:bottom w:val="none" w:sz="0" w:space="0" w:color="auto"/>
        <w:right w:val="none" w:sz="0" w:space="0" w:color="auto"/>
      </w:divBdr>
    </w:div>
    <w:div w:id="1555190549">
      <w:bodyDiv w:val="1"/>
      <w:marLeft w:val="0"/>
      <w:marRight w:val="0"/>
      <w:marTop w:val="0"/>
      <w:marBottom w:val="0"/>
      <w:divBdr>
        <w:top w:val="none" w:sz="0" w:space="0" w:color="auto"/>
        <w:left w:val="none" w:sz="0" w:space="0" w:color="auto"/>
        <w:bottom w:val="none" w:sz="0" w:space="0" w:color="auto"/>
        <w:right w:val="none" w:sz="0" w:space="0" w:color="auto"/>
      </w:divBdr>
    </w:div>
    <w:div w:id="1564412557">
      <w:bodyDiv w:val="1"/>
      <w:marLeft w:val="0"/>
      <w:marRight w:val="0"/>
      <w:marTop w:val="0"/>
      <w:marBottom w:val="0"/>
      <w:divBdr>
        <w:top w:val="none" w:sz="0" w:space="0" w:color="auto"/>
        <w:left w:val="none" w:sz="0" w:space="0" w:color="auto"/>
        <w:bottom w:val="none" w:sz="0" w:space="0" w:color="auto"/>
        <w:right w:val="none" w:sz="0" w:space="0" w:color="auto"/>
      </w:divBdr>
    </w:div>
    <w:div w:id="1618490310">
      <w:bodyDiv w:val="1"/>
      <w:marLeft w:val="0"/>
      <w:marRight w:val="0"/>
      <w:marTop w:val="0"/>
      <w:marBottom w:val="0"/>
      <w:divBdr>
        <w:top w:val="none" w:sz="0" w:space="0" w:color="auto"/>
        <w:left w:val="none" w:sz="0" w:space="0" w:color="auto"/>
        <w:bottom w:val="none" w:sz="0" w:space="0" w:color="auto"/>
        <w:right w:val="none" w:sz="0" w:space="0" w:color="auto"/>
      </w:divBdr>
    </w:div>
    <w:div w:id="1693536476">
      <w:bodyDiv w:val="1"/>
      <w:marLeft w:val="0"/>
      <w:marRight w:val="0"/>
      <w:marTop w:val="0"/>
      <w:marBottom w:val="0"/>
      <w:divBdr>
        <w:top w:val="none" w:sz="0" w:space="0" w:color="auto"/>
        <w:left w:val="none" w:sz="0" w:space="0" w:color="auto"/>
        <w:bottom w:val="none" w:sz="0" w:space="0" w:color="auto"/>
        <w:right w:val="none" w:sz="0" w:space="0" w:color="auto"/>
      </w:divBdr>
    </w:div>
    <w:div w:id="1717662893">
      <w:bodyDiv w:val="1"/>
      <w:marLeft w:val="0"/>
      <w:marRight w:val="0"/>
      <w:marTop w:val="0"/>
      <w:marBottom w:val="0"/>
      <w:divBdr>
        <w:top w:val="none" w:sz="0" w:space="0" w:color="auto"/>
        <w:left w:val="none" w:sz="0" w:space="0" w:color="auto"/>
        <w:bottom w:val="none" w:sz="0" w:space="0" w:color="auto"/>
        <w:right w:val="none" w:sz="0" w:space="0" w:color="auto"/>
      </w:divBdr>
    </w:div>
    <w:div w:id="1720859250">
      <w:bodyDiv w:val="1"/>
      <w:marLeft w:val="0"/>
      <w:marRight w:val="0"/>
      <w:marTop w:val="0"/>
      <w:marBottom w:val="0"/>
      <w:divBdr>
        <w:top w:val="none" w:sz="0" w:space="0" w:color="auto"/>
        <w:left w:val="none" w:sz="0" w:space="0" w:color="auto"/>
        <w:bottom w:val="none" w:sz="0" w:space="0" w:color="auto"/>
        <w:right w:val="none" w:sz="0" w:space="0" w:color="auto"/>
      </w:divBdr>
    </w:div>
    <w:div w:id="1736774510">
      <w:bodyDiv w:val="1"/>
      <w:marLeft w:val="0"/>
      <w:marRight w:val="0"/>
      <w:marTop w:val="0"/>
      <w:marBottom w:val="0"/>
      <w:divBdr>
        <w:top w:val="none" w:sz="0" w:space="0" w:color="auto"/>
        <w:left w:val="none" w:sz="0" w:space="0" w:color="auto"/>
        <w:bottom w:val="none" w:sz="0" w:space="0" w:color="auto"/>
        <w:right w:val="none" w:sz="0" w:space="0" w:color="auto"/>
      </w:divBdr>
    </w:div>
    <w:div w:id="1746564766">
      <w:bodyDiv w:val="1"/>
      <w:marLeft w:val="0"/>
      <w:marRight w:val="0"/>
      <w:marTop w:val="0"/>
      <w:marBottom w:val="0"/>
      <w:divBdr>
        <w:top w:val="none" w:sz="0" w:space="0" w:color="auto"/>
        <w:left w:val="none" w:sz="0" w:space="0" w:color="auto"/>
        <w:bottom w:val="none" w:sz="0" w:space="0" w:color="auto"/>
        <w:right w:val="none" w:sz="0" w:space="0" w:color="auto"/>
      </w:divBdr>
    </w:div>
    <w:div w:id="1757441669">
      <w:bodyDiv w:val="1"/>
      <w:marLeft w:val="0"/>
      <w:marRight w:val="0"/>
      <w:marTop w:val="0"/>
      <w:marBottom w:val="0"/>
      <w:divBdr>
        <w:top w:val="none" w:sz="0" w:space="0" w:color="auto"/>
        <w:left w:val="none" w:sz="0" w:space="0" w:color="auto"/>
        <w:bottom w:val="none" w:sz="0" w:space="0" w:color="auto"/>
        <w:right w:val="none" w:sz="0" w:space="0" w:color="auto"/>
      </w:divBdr>
    </w:div>
    <w:div w:id="1763332227">
      <w:bodyDiv w:val="1"/>
      <w:marLeft w:val="0"/>
      <w:marRight w:val="0"/>
      <w:marTop w:val="0"/>
      <w:marBottom w:val="0"/>
      <w:divBdr>
        <w:top w:val="none" w:sz="0" w:space="0" w:color="auto"/>
        <w:left w:val="none" w:sz="0" w:space="0" w:color="auto"/>
        <w:bottom w:val="none" w:sz="0" w:space="0" w:color="auto"/>
        <w:right w:val="none" w:sz="0" w:space="0" w:color="auto"/>
      </w:divBdr>
    </w:div>
    <w:div w:id="1809471879">
      <w:bodyDiv w:val="1"/>
      <w:marLeft w:val="0"/>
      <w:marRight w:val="0"/>
      <w:marTop w:val="0"/>
      <w:marBottom w:val="0"/>
      <w:divBdr>
        <w:top w:val="none" w:sz="0" w:space="0" w:color="auto"/>
        <w:left w:val="none" w:sz="0" w:space="0" w:color="auto"/>
        <w:bottom w:val="none" w:sz="0" w:space="0" w:color="auto"/>
        <w:right w:val="none" w:sz="0" w:space="0" w:color="auto"/>
      </w:divBdr>
    </w:div>
    <w:div w:id="1815637686">
      <w:bodyDiv w:val="1"/>
      <w:marLeft w:val="0"/>
      <w:marRight w:val="0"/>
      <w:marTop w:val="0"/>
      <w:marBottom w:val="0"/>
      <w:divBdr>
        <w:top w:val="none" w:sz="0" w:space="0" w:color="auto"/>
        <w:left w:val="none" w:sz="0" w:space="0" w:color="auto"/>
        <w:bottom w:val="none" w:sz="0" w:space="0" w:color="auto"/>
        <w:right w:val="none" w:sz="0" w:space="0" w:color="auto"/>
      </w:divBdr>
    </w:div>
    <w:div w:id="1859850410">
      <w:bodyDiv w:val="1"/>
      <w:marLeft w:val="0"/>
      <w:marRight w:val="0"/>
      <w:marTop w:val="0"/>
      <w:marBottom w:val="0"/>
      <w:divBdr>
        <w:top w:val="none" w:sz="0" w:space="0" w:color="auto"/>
        <w:left w:val="none" w:sz="0" w:space="0" w:color="auto"/>
        <w:bottom w:val="none" w:sz="0" w:space="0" w:color="auto"/>
        <w:right w:val="none" w:sz="0" w:space="0" w:color="auto"/>
      </w:divBdr>
    </w:div>
    <w:div w:id="1863325145">
      <w:bodyDiv w:val="1"/>
      <w:marLeft w:val="0"/>
      <w:marRight w:val="0"/>
      <w:marTop w:val="0"/>
      <w:marBottom w:val="0"/>
      <w:divBdr>
        <w:top w:val="none" w:sz="0" w:space="0" w:color="auto"/>
        <w:left w:val="none" w:sz="0" w:space="0" w:color="auto"/>
        <w:bottom w:val="none" w:sz="0" w:space="0" w:color="auto"/>
        <w:right w:val="none" w:sz="0" w:space="0" w:color="auto"/>
      </w:divBdr>
    </w:div>
    <w:div w:id="1907645893">
      <w:bodyDiv w:val="1"/>
      <w:marLeft w:val="0"/>
      <w:marRight w:val="0"/>
      <w:marTop w:val="0"/>
      <w:marBottom w:val="0"/>
      <w:divBdr>
        <w:top w:val="none" w:sz="0" w:space="0" w:color="auto"/>
        <w:left w:val="none" w:sz="0" w:space="0" w:color="auto"/>
        <w:bottom w:val="none" w:sz="0" w:space="0" w:color="auto"/>
        <w:right w:val="none" w:sz="0" w:space="0" w:color="auto"/>
      </w:divBdr>
    </w:div>
    <w:div w:id="1915892438">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1970935026">
      <w:bodyDiv w:val="1"/>
      <w:marLeft w:val="0"/>
      <w:marRight w:val="0"/>
      <w:marTop w:val="0"/>
      <w:marBottom w:val="0"/>
      <w:divBdr>
        <w:top w:val="none" w:sz="0" w:space="0" w:color="auto"/>
        <w:left w:val="none" w:sz="0" w:space="0" w:color="auto"/>
        <w:bottom w:val="none" w:sz="0" w:space="0" w:color="auto"/>
        <w:right w:val="none" w:sz="0" w:space="0" w:color="auto"/>
      </w:divBdr>
    </w:div>
    <w:div w:id="1972786572">
      <w:bodyDiv w:val="1"/>
      <w:marLeft w:val="0"/>
      <w:marRight w:val="0"/>
      <w:marTop w:val="0"/>
      <w:marBottom w:val="0"/>
      <w:divBdr>
        <w:top w:val="none" w:sz="0" w:space="0" w:color="auto"/>
        <w:left w:val="none" w:sz="0" w:space="0" w:color="auto"/>
        <w:bottom w:val="none" w:sz="0" w:space="0" w:color="auto"/>
        <w:right w:val="none" w:sz="0" w:space="0" w:color="auto"/>
      </w:divBdr>
    </w:div>
    <w:div w:id="1975284023">
      <w:bodyDiv w:val="1"/>
      <w:marLeft w:val="0"/>
      <w:marRight w:val="0"/>
      <w:marTop w:val="0"/>
      <w:marBottom w:val="0"/>
      <w:divBdr>
        <w:top w:val="none" w:sz="0" w:space="0" w:color="auto"/>
        <w:left w:val="none" w:sz="0" w:space="0" w:color="auto"/>
        <w:bottom w:val="none" w:sz="0" w:space="0" w:color="auto"/>
        <w:right w:val="none" w:sz="0" w:space="0" w:color="auto"/>
      </w:divBdr>
    </w:div>
    <w:div w:id="2007707080">
      <w:bodyDiv w:val="1"/>
      <w:marLeft w:val="0"/>
      <w:marRight w:val="0"/>
      <w:marTop w:val="0"/>
      <w:marBottom w:val="0"/>
      <w:divBdr>
        <w:top w:val="none" w:sz="0" w:space="0" w:color="auto"/>
        <w:left w:val="none" w:sz="0" w:space="0" w:color="auto"/>
        <w:bottom w:val="none" w:sz="0" w:space="0" w:color="auto"/>
        <w:right w:val="none" w:sz="0" w:space="0" w:color="auto"/>
      </w:divBdr>
    </w:div>
    <w:div w:id="2030328442">
      <w:bodyDiv w:val="1"/>
      <w:marLeft w:val="0"/>
      <w:marRight w:val="0"/>
      <w:marTop w:val="0"/>
      <w:marBottom w:val="0"/>
      <w:divBdr>
        <w:top w:val="none" w:sz="0" w:space="0" w:color="auto"/>
        <w:left w:val="none" w:sz="0" w:space="0" w:color="auto"/>
        <w:bottom w:val="none" w:sz="0" w:space="0" w:color="auto"/>
        <w:right w:val="none" w:sz="0" w:space="0" w:color="auto"/>
      </w:divBdr>
    </w:div>
    <w:div w:id="2031486986">
      <w:bodyDiv w:val="1"/>
      <w:marLeft w:val="0"/>
      <w:marRight w:val="0"/>
      <w:marTop w:val="0"/>
      <w:marBottom w:val="0"/>
      <w:divBdr>
        <w:top w:val="none" w:sz="0" w:space="0" w:color="auto"/>
        <w:left w:val="none" w:sz="0" w:space="0" w:color="auto"/>
        <w:bottom w:val="none" w:sz="0" w:space="0" w:color="auto"/>
        <w:right w:val="none" w:sz="0" w:space="0" w:color="auto"/>
      </w:divBdr>
    </w:div>
    <w:div w:id="2044398941">
      <w:bodyDiv w:val="1"/>
      <w:marLeft w:val="0"/>
      <w:marRight w:val="0"/>
      <w:marTop w:val="0"/>
      <w:marBottom w:val="0"/>
      <w:divBdr>
        <w:top w:val="none" w:sz="0" w:space="0" w:color="auto"/>
        <w:left w:val="none" w:sz="0" w:space="0" w:color="auto"/>
        <w:bottom w:val="none" w:sz="0" w:space="0" w:color="auto"/>
        <w:right w:val="none" w:sz="0" w:space="0" w:color="auto"/>
      </w:divBdr>
    </w:div>
    <w:div w:id="2050453434">
      <w:bodyDiv w:val="1"/>
      <w:marLeft w:val="0"/>
      <w:marRight w:val="0"/>
      <w:marTop w:val="0"/>
      <w:marBottom w:val="0"/>
      <w:divBdr>
        <w:top w:val="none" w:sz="0" w:space="0" w:color="auto"/>
        <w:left w:val="none" w:sz="0" w:space="0" w:color="auto"/>
        <w:bottom w:val="none" w:sz="0" w:space="0" w:color="auto"/>
        <w:right w:val="none" w:sz="0" w:space="0" w:color="auto"/>
      </w:divBdr>
      <w:divsChild>
        <w:div w:id="1952979539">
          <w:marLeft w:val="0"/>
          <w:marRight w:val="0"/>
          <w:marTop w:val="0"/>
          <w:marBottom w:val="0"/>
          <w:divBdr>
            <w:top w:val="none" w:sz="0" w:space="0" w:color="auto"/>
            <w:left w:val="none" w:sz="0" w:space="0" w:color="auto"/>
            <w:bottom w:val="none" w:sz="0" w:space="0" w:color="auto"/>
            <w:right w:val="none" w:sz="0" w:space="0" w:color="auto"/>
          </w:divBdr>
          <w:divsChild>
            <w:div w:id="8227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2782">
      <w:bodyDiv w:val="1"/>
      <w:marLeft w:val="0"/>
      <w:marRight w:val="0"/>
      <w:marTop w:val="0"/>
      <w:marBottom w:val="0"/>
      <w:divBdr>
        <w:top w:val="none" w:sz="0" w:space="0" w:color="auto"/>
        <w:left w:val="none" w:sz="0" w:space="0" w:color="auto"/>
        <w:bottom w:val="none" w:sz="0" w:space="0" w:color="auto"/>
        <w:right w:val="none" w:sz="0" w:space="0" w:color="auto"/>
      </w:divBdr>
    </w:div>
    <w:div w:id="2058966006">
      <w:bodyDiv w:val="1"/>
      <w:marLeft w:val="0"/>
      <w:marRight w:val="0"/>
      <w:marTop w:val="0"/>
      <w:marBottom w:val="0"/>
      <w:divBdr>
        <w:top w:val="none" w:sz="0" w:space="0" w:color="auto"/>
        <w:left w:val="none" w:sz="0" w:space="0" w:color="auto"/>
        <w:bottom w:val="none" w:sz="0" w:space="0" w:color="auto"/>
        <w:right w:val="none" w:sz="0" w:space="0" w:color="auto"/>
      </w:divBdr>
    </w:div>
    <w:div w:id="2089644311">
      <w:bodyDiv w:val="1"/>
      <w:marLeft w:val="0"/>
      <w:marRight w:val="0"/>
      <w:marTop w:val="0"/>
      <w:marBottom w:val="0"/>
      <w:divBdr>
        <w:top w:val="none" w:sz="0" w:space="0" w:color="auto"/>
        <w:left w:val="none" w:sz="0" w:space="0" w:color="auto"/>
        <w:bottom w:val="none" w:sz="0" w:space="0" w:color="auto"/>
        <w:right w:val="none" w:sz="0" w:space="0" w:color="auto"/>
      </w:divBdr>
    </w:div>
    <w:div w:id="2109039936">
      <w:bodyDiv w:val="1"/>
      <w:marLeft w:val="0"/>
      <w:marRight w:val="0"/>
      <w:marTop w:val="0"/>
      <w:marBottom w:val="0"/>
      <w:divBdr>
        <w:top w:val="none" w:sz="0" w:space="0" w:color="auto"/>
        <w:left w:val="none" w:sz="0" w:space="0" w:color="auto"/>
        <w:bottom w:val="none" w:sz="0" w:space="0" w:color="auto"/>
        <w:right w:val="none" w:sz="0" w:space="0" w:color="auto"/>
      </w:divBdr>
    </w:div>
    <w:div w:id="21244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pis1.trad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tpis1.trade.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BEAmethodology</b:Tag>
    <b:SourceType>Report</b:SourceType>
    <b:Guid>{B7EB8D89-5C5A-40A3-B3C3-6BC8CDB68A07}</b:Guid>
    <b:Author>
      <b:Author>
        <b:Corporate> U.S. Department of Commerce; Economics and Statistics Administration; Bureau of Economic Analysis</b:Corporate>
      </b:Author>
    </b:Author>
    <b:Title>U.S. International Economic Accounts: Concepts and Methods: International Transactions Accounts, International Investment Position Accounts, and the Activities of Multinational Enterprises</b:Title>
    <b:Year>2014</b:Year>
    <b:City>bea.gov</b:City>
    <b:Publisher>U.S. Government</b:Publisher>
    <b:ShortTitle>U.S. International Economic Accounts: Concepts and Methods</b:ShortTitle>
    <b:Comments>As with the prior methodology volume, this volume is intended to be a living reference that will be updated to reflect changes in concepts, sources, and mehtods, as they are introduced into the U.S. international economic accounts</b:Comments>
    <b:Medium>pdf, published through BEA.gov</b:Medium>
    <b:YearAccessed>2017</b:YearAccessed>
    <b:MonthAccessed>March</b:MonthAccessed>
    <b:DayAccessed>9</b:DayAccessed>
    <b:URL>https://www.bea.gov/international/pdf/concepts-methods/ONE%20PDF%20-%20IEA%20Concepts%20Methods.pdf</b:URL>
    <b:DOI>https://www.bea.gov/international/concepts_methods.htm</b:DOI>
    <b:Department>Bureau of Economic Analysis</b:Department>
    <b:Institution>U.S. Department of Commerce</b:Institution>
    <b:ThesisType>Methodology Volume</b:ThesisType>
    <b:RefOrder>2</b:RefOrder>
  </b:Source>
  <b:Source>
    <b:Tag>BEA_data_factsheet</b:Tag>
    <b:SourceType>DocumentFromInternetSite</b:SourceType>
    <b:Guid>{5BE9A178-6309-4444-A52B-77B49719D36D}</b:Guid>
    <b:Title>BEA International Trade and Investment Country Facts</b:Title>
    <b:Year>2016</b:Year>
    <b:Month>December</b:Month>
    <b:Day>02</b:Day>
    <b:Author>
      <b:Author>
        <b:Corporate>U.S. Department of Commerce, Bureau of Economic Analysis</b:Corporate>
      </b:Author>
    </b:Author>
    <b:InternetSiteTitle>About BEA’s International Trade and Investment Country Facts</b:InternetSiteTitle>
    <b:URL>https://www.bea.gov/international/factsheet/docs/About%20the%20Country%20Facts.pdf</b:URL>
    <b:ProductionCompany>United States' Government</b:ProductionCompany>
    <b:YearAccessed>2017</b:YearAccessed>
    <b:MonthAccessed>March</b:MonthAccessed>
    <b:DayAccessed>9</b:DayAccessed>
    <b:ShortTitle>BEA Country Factsheet</b:ShortTitle>
    <b:Comments>The International Trade and Investment Country Facts application provides information on U.S. trade in goods and serviced, direct investment, and the activities of multinational enterprises for individual countries and country groupings.</b:Comments>
    <b:Medium>pdf</b:Medium>
    <b:DOI>https://www.bea.gov/international/factsheet/</b:DOI>
    <b:RefOrder>3</b:RefOrder>
  </b:Source>
  <b:Source>
    <b:Tag>Jonas_Olga</b:Tag>
    <b:SourceType>Report</b:SourceType>
    <b:Guid>{2533781F-C489-42E4-B119-0AE2C773911B}</b:Guid>
    <b:Author>
      <b:Author>
        <b:NameList>
          <b:Person>
            <b:Last>Jonas</b:Last>
            <b:First>Olga</b:First>
            <b:Middle>B.</b:Middle>
          </b:Person>
        </b:NameList>
      </b:Author>
    </b:Author>
    <b:Title>Pandemic Risk</b:Title>
    <b:InternetSiteTitle>World Development Report Background Papers</b:InternetSiteTitle>
    <b:Year>2013</b:Year>
    <b:URL>http://hdl.handle.net/10986/16343</b:URL>
    <b:YearAccessed>2017</b:YearAccessed>
    <b:MonthAccessed>March</b:MonthAccessed>
    <b:DayAccessed>9</b:DayAccessed>
    <b:ShortTitle>Risk and Opportunity: Managing Risks for Development</b:ShortTitle>
    <b:Comments>Study examines pandemic risk, what it means for development, and how management could be improved, both in countries and internationally</b:Comments>
    <b:Medium>Background Paper</b:Medium>
    <b:DOI>https://openknowledge.worldbank.org/handle/10986/16343</b:DOI>
    <b:City>Washington D.C.</b:City>
    <b:Publisher>World Bank</b:Publisher>
    <b:Department>Open Knowledge Repository</b:Department>
    <b:Institution>World Bank Group</b:Institution>
    <b:ThesisType>World Development Report 2014</b:ThesisType>
    <b:RefOrder>1</b:RefOrder>
  </b:Source>
  <b:Source>
    <b:Tag>GHRF_Report</b:Tag>
    <b:SourceType>Report</b:SourceType>
    <b:Guid>{02F5123C-855E-4102-9DF3-681B2F115C85}</b:Guid>
    <b:Author>
      <b:Author>
        <b:Corporate>Commission on a Global Health Risk Framework for the Future</b:Corporate>
      </b:Author>
    </b:Author>
    <b:Title>The Neglected Dimension of Global Security: A Framework to Counter Infectious Disease Crises</b:Title>
    <b:Year>2016</b:Year>
    <b:Publisher>Commission on a Global Health Risk Framework for the Future</b:Publisher>
    <b:Department>National Academy of Sciences (Secretariat) </b:Department>
    <b:ThesisType>Commissioned Report</b:ThesisType>
    <b:ShortTitle>GHRF Commissioned Report</b:ShortTitle>
    <b:Comments>Commission is comprised of an independent, international group of experts in finance, governance, R&amp;D, health systems, and the social sciences; U.S. National Academy of Medicine served as Commission Secretariat </b:Comments>
    <b:Medium>pdf</b:Medium>
    <b:YearAccessed>2017</b:YearAccessed>
    <b:MonthAccessed>March</b:MonthAccessed>
    <b:DayAccessed>8</b:DayAccessed>
    <b:URL>https://nam.edu/initiatives/global-health-risk-framework/</b:URL>
    <b:DOI> 10.17226/21891</b:DOI>
    <b:RefOrder>4</b:RefOrder>
  </b:Source>
  <b:Source>
    <b:Tag>NEJM_GHRF_report</b:Tag>
    <b:SourceType>JournalArticle</b:SourceType>
    <b:Guid>{6C0AB2AB-19BA-43B0-BBF9-BC54E074ADD3}</b:Guid>
    <b:Title>The Neglected Dimension of Global Security -- A Framework for Countering Infectious-Disease Crises</b:Title>
    <b:Year>2016</b:Year>
    <b:Publisher>NEJM.org</b:Publisher>
    <b:Author>
      <b:Author>
        <b:NameList>
          <b:Person>
            <b:Last>Peter Sands</b:Last>
            <b:First>M.P.A.</b:First>
          </b:Person>
          <b:Person>
            <b:Last>Carmen Mundaca-Shah</b:Last>
            <b:First>M.D.,</b:First>
            <b:Middle>Dr.P.H</b:Middle>
          </b:Person>
          <b:Person>
            <b:Last>Victor J. Dzau</b:Last>
            <b:First>M.D.</b:First>
          </b:Person>
        </b:NameList>
      </b:Author>
    </b:Author>
    <b:JournalName>The New England Journal of Medicine</b:JournalName>
    <b:Month>January</b:Month>
    <b:Day>13</b:Day>
    <b:Volume>374:1281-1287</b:Volume>
    <b:ShortTitle>Special Report: The Neglected Dimension of Global Security</b:ShortTitle>
    <b:StandardNumber>374:1281-1287</b:StandardNumber>
    <b:Comments>From the Commission on a Global Health Risk Framework for the Future (P.S., C.M.-S., V.J.D.); the Mossavar–Rahmani Center for Business and Government, Harvard Kennedy School, Cambridge, MA (P.S.); and the National Academy of Medicine, Washington, DC</b:Comments>
    <b:Medium>online publication</b:Medium>
    <b:YearAccessed>2017</b:YearAccessed>
    <b:MonthAccessed>March</b:MonthAccessed>
    <b:DayAccessed>9</b:DayAccessed>
    <b:URL>http://www.nejm.org/doi/full/10.1056/NEJMsr1600236#t=article</b:URL>
    <b:DOI>10.1056/NEJMsr160023</b:DOI>
    <b:RefOrder>5</b:RefOrder>
  </b:Source>
  <b:Source>
    <b:Tag>Press_release_GHRF_Report</b:Tag>
    <b:SourceType>Misc</b:SourceType>
    <b:Guid>{EAA52F8E-67DB-46E2-9E1D-9FF29AEB31E8}</b:Guid>
    <b:Author>
      <b:Author>
        <b:Corporate>Commission on a Global Health Risk Framework for the Future</b:Corporate>
      </b:Author>
      <b:Editor>
        <b:NameList>
          <b:Person>
            <b:Last>Information</b:Last>
            <b:First>Office</b:First>
            <b:Middle>of News and Public</b:Middle>
          </b:Person>
        </b:NameList>
      </b:Editor>
    </b:Author>
    <b:Title>Future Pandemics Pose Massive Risks to Human Lives, Global Economic Security, Says New Report; Need For Action Against This ‘Neglected Dimension of Global Security’ to Prepare and Respond to Infectious Disease Crises More Effectively</b:Title>
    <b:Year>2016</b:Year>
    <b:Pages>Nationalacademies.org</b:Pages>
    <b:PublicationTitle>Press Release</b:PublicationTitle>
    <b:Month>January</b:Month>
    <b:Day>13</b:Day>
    <b:City>Washington, DC</b:City>
    <b:Publisher>The National Academies of Sciences, Engineering, and Medicine</b:Publisher>
    <b:Medium>Online</b:Medium>
    <b:Comments>National Academies NEWS</b:Comments>
    <b:YearAccessed>2017</b:YearAccessed>
    <b:MonthAccessed>March</b:MonthAccessed>
    <b:DayAccessed>9</b:DayAccessed>
    <b:URL>http://www8.nationalacademies.org/onpinews/newsitem.aspx?RecordID=21891</b:URL>
    <b:RefOrder>6</b:RefOrder>
  </b:Source>
  <b:Source>
    <b:Tag>KeyMessages_GHRF_Report</b:Tag>
    <b:SourceType>Misc</b:SourceType>
    <b:Guid>{18803E97-E7AA-4595-AB12-1A45A0D950AB}</b:Guid>
    <b:Author>
      <b:Author>
        <b:Corporate>The Commission on a Global Health Risk Framework for the Future</b:Corporate>
      </b:Author>
    </b:Author>
    <b:Title>Key Messages</b:Title>
    <b:PublicationTitle>The Neglected Dimension of GLobal Security: A Framework to Counter Infectious Disease Crises</b:PublicationTitle>
    <b:Year>2016</b:Year>
    <b:Publisher>U.S. National Academy of Sciences</b:Publisher>
    <b:ShortTitle>Key Messages GHRF Commission Report</b:ShortTitle>
    <b:URL>https://nam.edu/wp-content/uploads/2016/01/Key-Messages-The-Neglected-Dimension-of-Global-Security1.pdf</b:URL>
    <b:RefOrder>7</b:RefOrder>
  </b:Source>
  <b:Source>
    <b:Tag>McK06</b:Tag>
    <b:SourceType>Report</b:SourceType>
    <b:Guid>{4B93FDA1-999F-4A4A-8967-64922752D2EB}</b:Guid>
    <b:Author>
      <b:Author>
        <b:NameList>
          <b:Person>
            <b:Last>McKibbin</b:Last>
            <b:First>Warwick</b:First>
            <b:Middle>J.</b:Middle>
          </b:Person>
          <b:Person>
            <b:Last>Sidorenko</b:Last>
            <b:First>ALexandra</b:First>
            <b:Middle>A.</b:Middle>
          </b:Person>
        </b:NameList>
      </b:Author>
    </b:Author>
    <b:Title>Global Macroeconomic Consequences of Pandemic Influenza</b:Title>
    <b:Year>2006</b:Year>
    <b:Publisher>Lowy Institute for International Policy</b:Publisher>
    <b:City>Sydney, Australia</b:City>
    <b:Department>Lowy Institute for International Policy</b:Department>
    <b:Institution>The Australian National University</b:Institution>
    <b:ThesisType>Analysis</b:ThesisType>
    <b:YearAccessed>207</b:YearAccessed>
    <b:URL>https://www.lowyinstitute.org/sites/default/files/pubfiles/McKibbin_Sidorenko%2C_Global_macroeconomic_1.pdf</b:URL>
    <b:RefOrder>8</b:RefOrder>
  </b:Source>
  <b:Source>
    <b:Tag>National_Export_Strategy_ITA</b:Tag>
    <b:SourceType>Report</b:SourceType>
    <b:Guid>{1BCF15DF-EFB5-47A9-AC5A-3F7299FFBB3A}</b:Guid>
    <b:Title>Helping U.S. Businesses Increase Global Sales to Support Local Jobs: National Export Strategy 2016</b:Title>
    <b:Year>2016</b:Year>
    <b:Publisher>International Trade Administration</b:Publisher>
    <b:City>Trade.gov</b:City>
    <b:Author>
      <b:Author>
        <b:NameList>
          <b:Person>
            <b:Last>The United States of America</b:Last>
            <b:First>Trade</b:First>
            <b:Middle>Promotion Coordinating Committee, Comprised of: U.S. Department of Commerce</b:Middle>
          </b:Person>
          <b:Person>
            <b:Last>State</b:Last>
            <b:First>U.S.</b:First>
            <b:Middle>Department of</b:Middle>
          </b:Person>
          <b:Person>
            <b:Last>Treasury</b:Last>
            <b:First>U.S.</b:First>
            <b:Middle>Department of</b:Middle>
          </b:Person>
          <b:Person>
            <b:Last>Agriculture</b:Last>
            <b:First>U.S.</b:First>
            <b:Middle>Department of</b:Middle>
          </b:Person>
          <b:Person>
            <b:Last>Energy</b:Last>
            <b:First>U.S.</b:First>
            <b:Middle>Department of</b:Middle>
          </b:Person>
          <b:Person>
            <b:Last>Transportation</b:Last>
            <b:First>U.S.</b:First>
            <b:Middle>Department of</b:Middle>
          </b:Person>
          <b:Person>
            <b:Last>Defense</b:Last>
            <b:First>U.S.</b:First>
            <b:Middle>Department of</b:Middle>
          </b:Person>
          <b:Person>
            <b:Last>Labor</b:Last>
            <b:First>U.S.</b:First>
            <b:Middle>Department of</b:Middle>
          </b:Person>
          <b:Person>
            <b:Last>Interior</b:Last>
            <b:First>U.S.</b:First>
            <b:Middle>Department of</b:Middle>
          </b:Person>
          <b:Person>
            <b:Last>Development</b:Last>
            <b:First>U.S.</b:First>
            <b:Middle>Agency for International</b:Middle>
          </b:Person>
          <b:Person>
            <b:Last>Agency</b:Last>
            <b:First>U.S.</b:First>
            <b:Middle>Trade adn Development</b:Middle>
          </b:Person>
          <b:Person>
            <b:Last>Agency</b:Last>
            <b:First>U.S.</b:First>
            <b:Middle>Environmental Protection</b:Middle>
          </b:Person>
          <b:Person>
            <b:Last>Administration</b:Last>
            <b:First>U.S.</b:First>
            <b:Middle>Small Business</b:Middle>
          </b:Person>
          <b:Person>
            <b:Last>Corporation</b:Last>
            <b:First>Overseas</b:First>
            <b:Middle>Private Investment</b:Middle>
          </b:Person>
          <b:Person>
            <b:Last>States</b:Last>
            <b:First>Export-Import</b:First>
            <b:Middle>Bank of the United</b:Middle>
          </b:Person>
          <b:Person>
            <b:Last>Representative</b:Last>
            <b:First>Offie</b:First>
            <b:Middle>of teh Untied States Trade</b:Middle>
          </b:Person>
          <b:Person>
            <b:Last>Advisors</b:Last>
            <b:First>Council</b:First>
            <b:Middle>of Economic</b:Middle>
          </b:Person>
          <b:Person>
            <b:Last>Budget</b:Last>
            <b:First>Office</b:First>
            <b:Middle>of Management and</b:Middle>
          </b:Person>
          <b:Person>
            <b:Last>Council</b:Last>
            <b:First>National</b:First>
            <b:Middle>Economic</b:Middle>
          </b:Person>
          <b:Person>
            <b:Last>Council</b:Last>
            <b:First>National</b:First>
            <b:Middle>Security</b:Middle>
          </b:Person>
        </b:NameList>
      </b:Author>
    </b:Author>
    <b:Department>U.S. Department of Commerce</b:Department>
    <b:ThesisType>Strategy</b:ThesisType>
    <b:ShortTitle>206 National Export Strategy</b:ShortTitle>
    <b:Medium>pdf</b:Medium>
    <b:URL>http://www.trade.gov/publications/pdfs/nes2016.pdf</b:URL>
    <b:RefOrder>9</b:RefOrder>
  </b:Source>
  <b:Source>
    <b:Tag>CRSReport_AvianFlue</b:Tag>
    <b:SourceType>Report</b:SourceType>
    <b:Guid>{912104E8-2B6B-4B0C-9BDC-ACDCDC62B6CB}</b:Guid>
    <b:Title>Avian Flu Pandemic: Potential Impact of Trade Disruptions</b:Title>
    <b:Year>2008</b:Year>
    <b:Publisher>Library of Congress</b:Publisher>
    <b:City>Washington D.C.</b:City>
    <b:Author>
      <b:Author>
        <b:NameList>
          <b:Person>
            <b:Last>Langton</b:Last>
            <b:First>Danielle</b:First>
          </b:Person>
        </b:NameList>
      </b:Author>
    </b:Author>
    <b:Department>Internatioanl Trade and Finance</b:Department>
    <b:Institution>Foreign Affairs, Defense and Trade Division</b:Institution>
    <b:ThesisType>CRS Report for Congress</b:ThesisType>
    <b:StandardNumber>Order Code RS22453</b:StandardNumber>
    <b:Medium>pdf</b:Medium>
    <b:YearAccessed>2017</b:YearAccessed>
    <b:MonthAccessed>March</b:MonthAccessed>
    <b:URL>http://www.dtic.mil/get-tr-doc/pdf?AD=ADA476111</b:URL>
    <b:RefOrder>10</b:RefOrder>
  </b:Source>
  <b:Source>
    <b:Tag>CGH_Lancet_Commentary</b:Tag>
    <b:SourceType>JournalArticle</b:SourceType>
    <b:Guid>{B14C2899-1BA6-498E-B556-3833B0A9D620}</b:Guid>
    <b:Title>The CDC's Center for Global Health</b:Title>
    <b:Year>2012</b:Year>
    <b:Publisher>Elsevier Ltd</b:Publisher>
    <b:Author>
      <b:Author>
        <b:NameList>
          <b:Person>
            <b:Last>Frieden</b:Last>
            <b:First>Thomas</b:First>
            <b:Middle>R.</b:Middle>
          </b:Person>
          <b:Person>
            <b:Last>De Cock</b:Last>
            <b:First>Kevin</b:First>
            <b:Middle>M.</b:Middle>
          </b:Person>
        </b:NameList>
      </b:Author>
    </b:Author>
    <b:JournalName>The Lancet</b:JournalName>
    <b:Pages>986-988</b:Pages>
    <b:Month>March</b:Month>
    <b:Day>17</b:Day>
    <b:Volume>379</b:Volume>
    <b:Issue>No. 9820</b:Issue>
    <b:Medium>pdf</b:Medium>
    <b:YearAccessed>2017</b:YearAccessed>
    <b:MonthAccessed>March</b:MonthAccessed>
    <b:URL>http://www.thelancet.com/journals/lancet/article/PIIS0140-6736(12)60370-5/fulltext</b:URL>
    <b:DOI>http://dx.doi.org/10.1016/S0140-6736(12)60370-5</b:DOI>
    <b:RefOrder>11</b:RefOrder>
  </b:Source>
  <b:Source>
    <b:Tag>ProjectedJobs_OCEAbrief</b:Tag>
    <b:SourceType>Misc</b:SourceType>
    <b:Guid>{A77B5892-0FE8-4F83-9F3B-59B3132202CE}</b:Guid>
    <b:Title>Projected Jobs Supported by Exports, 2009 and 2010</b:Title>
    <b:Year>2011</b:Year>
    <b:Author>
      <b:Author>
        <b:NameList>
          <b:Person>
            <b:Last>Johnson</b:Last>
            <b:First>Martin</b:First>
          </b:Person>
        </b:NameList>
      </b:Author>
    </b:Author>
    <b:PublicationTitle>Manufacturing and Services Economics Brief</b:PublicationTitle>
    <b:Month>July</b:Month>
    <b:City>Washington D.C.</b:City>
    <b:Publisher>Office of Competition and Economic Analysis of the Intenational Trade Administration's Manufacturing and Services Unit of the U.S. Department of Commerce</b:Publisher>
    <b:Medium>pdf</b:Medium>
    <b:Issue>No. 5</b:Issue>
    <b:URL>http://www.trade.gov/mas/ian/build/groups/public/@tg_ian/documents/webcontent/tg_ian_003363.pdf</b:URL>
    <b:RefOrder>12</b:RefOrder>
  </b:Source>
  <b:Source>
    <b:Tag>You15</b:Tag>
    <b:SourceType>Report</b:SourceType>
    <b:Guid>{2B9F7894-509A-43FB-843D-48426723333A}</b:Guid>
    <b:Title>Supply-Use Tables for the United States</b:Title>
    <b:Year>2015</b:Year>
    <b:City>Washington D.C.</b:City>
    <b:Publisher>BEA.gov</b:Publisher>
    <b:Author>
      <b:Author>
        <b:NameList>
          <b:Person>
            <b:Last>Young</b:Last>
            <b:First>Jeffrey</b:First>
            <b:Middle>A.</b:Middle>
          </b:Person>
          <b:Person>
            <b:Last>Howells III</b:Last>
            <b:First>Thomas</b:First>
            <b:Middle>F.</b:Middle>
          </b:Person>
          <b:Person>
            <b:Last>Strassner</b:Last>
            <b:First>Erich</b:First>
            <b:Middle>H.</b:Middle>
          </b:Person>
          <b:Person>
            <b:Last>Wasshausen</b:Last>
            <b:First>David</b:First>
            <b:Middle>B.</b:Middle>
          </b:Person>
        </b:NameList>
      </b:Author>
    </b:Author>
    <b:Department>Bureau of Economic ANalysis </b:Department>
    <b:Institution>U.S. Department of Commerce</b:Institution>
    <b:ThesisType>BEA Briefing</b:ThesisType>
    <b:Comments>Supply use tables (input-output) briefing document on industry economic accounts</b:Comments>
    <b:Medium>pdf</b:Medium>
    <b:YearAccessed>2017</b:YearAccessed>
    <b:URL>https://www.bea.gov/scb/pdf/2015/09%20September/0915_supply_use_tables_for_the_united_states.pdf</b:URL>
    <b:RefOrder>13</b:RefOrder>
  </b:Source>
  <b:Source>
    <b:Tag>Tradegov_ianemployment</b:Tag>
    <b:SourceType>InternetSite</b:SourceType>
    <b:Guid>{E92AE10A-0375-4922-AA42-7095A8383376}</b:Guid>
    <b:Title>International Trade Administration Publications</b:Title>
    <b:Year>2016</b:Year>
    <b:Author>
      <b:Author>
        <b:Corporate>U.S. Department of Commerve International Trade Administration</b:Corporate>
      </b:Author>
    </b:Author>
    <b:InternetSiteTitle>Employment and Trade: Export Related Jobs</b:InternetSiteTitle>
    <b:URL>http://www.trade.gov/mas/ian/employment/</b:URL>
    <b:RefOrder>14</b:RefOrder>
  </b:Source>
  <b:Source>
    <b:Tag>excel_jobssupported_data</b:Tag>
    <b:SourceType>DocumentFromInternetSite</b:SourceType>
    <b:Guid>{B9D0C2F5-8494-4A1A-BF0A-4B00B515F830}</b:Guid>
    <b:Title>Employment and Trade</b:Title>
    <b:InternetSiteTitle>Jobs Supported by Export Destination Excel Data</b:InternetSiteTitle>
    <b:Year>2016</b:Year>
    <b:URL>http://www.trade.gov/mas/ian/build/groups/public/@tg_ian/documents/webcontent/tg_ian_005513.xlsx</b:URL>
    <b:Author>
      <b:Author>
        <b:Corporate>U.S. Department of Commerce, International Trade Administration</b:Corporate>
      </b:Author>
    </b:Author>
    <b:Comments>All individual export destination jobs estimates can be summed to produce any unique combination of jobs supported by export destination grouping as required. However, it is important to note that because of the limited availability of services data the n</b:Comments>
    <b:Medium>Excel document</b:Medium>
    <b:RefOrder>15</b:RefOrder>
  </b:Source>
  <b:Source>
    <b:Tag>TPIS_Database</b:Tag>
    <b:SourceType>InternetSite</b:SourceType>
    <b:Guid>{6DACCA9B-976E-4412-A95C-7280E03483C4}</b:Guid>
    <b:Author>
      <b:Author>
        <b:Corporate>U.S. Department of Commerce International Trade Administration</b:Corporate>
      </b:Author>
      <b:Editor>
        <b:NameList>
          <b:Person>
            <b:Last>Analysis</b:Last>
            <b:First>Office</b:First>
            <b:Middle>of Trade and Economic</b:Middle>
          </b:Person>
        </b:NameList>
      </b:Editor>
    </b:Author>
    <b:Title>Trade and Industry Analysis</b:Title>
    <b:InternetSiteTitle>Trade Policy Information System (TPIS)</b:InternetSiteTitle>
    <b:URL>http://tpis1.trade.gov/cgi-bin/wtpis/prod/tpis.cgi</b:URL>
    <b:YearAccessed>2017</b:YearAccessed>
    <b:RefOrder>16</b:RefOrder>
  </b:Source>
  <b:Source>
    <b:Tag>Update_Jobssupported_Chris</b:Tag>
    <b:SourceType>Report</b:SourceType>
    <b:Guid>{61251BCB-B47B-4336-A02F-A97B3E44AF6E}</b:Guid>
    <b:Title>Jobs Supported by Exports 2015: An Update</b:Title>
    <b:Year>2016</b:Year>
    <b:URL>http://www.trade.gov/mas/ian/build/groups/public/@tg_ian/documents/webcontent/tg_ian_005500.pdf</b:URL>
    <b:Author>
      <b:Author>
        <b:NameList>
          <b:Person>
            <b:Last>Rasmussen</b:Last>
            <b:First>Chris</b:First>
          </b:Person>
        </b:NameList>
      </b:Author>
    </b:Author>
    <b:Publisher>U.S. Government</b:Publisher>
    <b:City>Washington D.C.</b:City>
    <b:Department>Office of Trade and Economic Analysis </b:Department>
    <b:Institution>International Trade Administration, U.S. Department of Commerce</b:Institution>
    <b:RefOrder>17</b:RefOrder>
  </b:Source>
  <b:Source>
    <b:Tag>Destination_jobs_supported</b:Tag>
    <b:SourceType>Report</b:SourceType>
    <b:Guid>{0D9F5CFE-DFD0-40C3-B6C3-16A0D47B33A3}</b:Guid>
    <b:Title>Jobs Supported by Export Destination 2015</b:Title>
    <b:Year>2016</b:Year>
    <b:Publisher>U.S. Government</b:Publisher>
    <b:City>Washington D.C.</b:City>
    <b:Author>
      <b:Author>
        <b:NameList>
          <b:Person>
            <b:Last>Rasmussen</b:Last>
            <b:First>Chris</b:First>
          </b:Person>
          <b:Person>
            <b:Last>Xu</b:Last>
            <b:First>Susan</b:First>
          </b:Person>
        </b:NameList>
      </b:Author>
    </b:Author>
    <b:Department>Office of Trade and Economic Analysis</b:Department>
    <b:Institution>International Trade Administration, Department of Commerce</b:Institution>
    <b:Medium>pdf</b:Medium>
    <b:URL>http://trade.gov/mas/ian/build/groups/public/@tg_ian/documents/webcontent/tg_ian_005508.pdf</b:URL>
    <b:RefOrder>18</b:RefOrder>
  </b:Source>
  <b:Source>
    <b:Tag>USD</b:Tag>
    <b:SourceType>InternetSite</b:SourceType>
    <b:Guid>{BACB4314-E4DE-42D2-BF1C-4F0F1CEDE25E}</b:Guid>
    <b:Title>International Data</b:Title>
    <b:Author>
      <b:Author>
        <b:Corporate>U.S. Department of Commerce, Bureau of Economic Analysis</b:Corporate>
      </b:Author>
    </b:Author>
    <b:InternetSiteTitle>International Services</b:InternetSiteTitle>
    <b:URL>https://www.bea.gov/iTable/iTable.cfm?ReqID=62&amp;step=1#reqid=62&amp;step=9&amp;isuri=1&amp;6210=4</b:URL>
    <b:RefOrder>19</b:RefOrder>
  </b:Source>
</b:Sources>
</file>

<file path=customXml/itemProps1.xml><?xml version="1.0" encoding="utf-8"?>
<ds:datastoreItem xmlns:ds="http://schemas.openxmlformats.org/officeDocument/2006/customXml" ds:itemID="{415DE0E2-E9AC-4DA9-8C36-9C3503F6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Bambery, Zoe (CDC/CGH/DGHP)</dc:creator>
  <cp:keywords/>
  <dc:description/>
  <cp:lastModifiedBy>Jackie Fox</cp:lastModifiedBy>
  <cp:revision>2</cp:revision>
  <cp:lastPrinted>2017-09-27T21:35:00Z</cp:lastPrinted>
  <dcterms:created xsi:type="dcterms:W3CDTF">2017-11-28T16:48:00Z</dcterms:created>
  <dcterms:modified xsi:type="dcterms:W3CDTF">2017-11-28T16:48:00Z</dcterms:modified>
</cp:coreProperties>
</file>