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3E" w:rsidRPr="00A31538" w:rsidRDefault="00A20A2F" w:rsidP="00A20A2F">
      <w:pPr>
        <w:pStyle w:val="Caption"/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S2 Table</w:t>
      </w:r>
      <w:r w:rsidR="007B3F3E" w:rsidRPr="00A31538">
        <w:rPr>
          <w:rFonts w:asciiTheme="minorHAnsi" w:hAnsiTheme="minorHAnsi"/>
          <w:sz w:val="24"/>
          <w:szCs w:val="24"/>
        </w:rPr>
        <w:t xml:space="preserve">: </w:t>
      </w:r>
      <w:r w:rsidR="007B3F3E" w:rsidRPr="00A31538">
        <w:rPr>
          <w:rFonts w:asciiTheme="minorHAnsi" w:hAnsiTheme="minorHAnsi"/>
          <w:b w:val="0"/>
          <w:sz w:val="24"/>
          <w:szCs w:val="24"/>
        </w:rPr>
        <w:t>Adjusted hazard ratios for the association between HIV/ART status and death, stratified by age group and disease type</w:t>
      </w:r>
    </w:p>
    <w:p w:rsidR="007B3F3E" w:rsidRDefault="007B3F3E" w:rsidP="007B3F3E">
      <w:pPr>
        <w:pStyle w:val="Caption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1054"/>
        <w:gridCol w:w="1861"/>
        <w:gridCol w:w="1709"/>
        <w:gridCol w:w="1668"/>
        <w:gridCol w:w="1645"/>
      </w:tblGrid>
      <w:tr w:rsidR="007B3F3E" w:rsidRPr="00076F19" w:rsidTr="007B3F3E">
        <w:trPr>
          <w:trHeight w:val="404"/>
        </w:trPr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HIV Status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3F3E" w:rsidRPr="00076F19" w:rsidRDefault="007B3F3E" w:rsidP="00A3153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Type of TB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Pulmonary,</w:t>
            </w:r>
            <w:r w:rsidRPr="00076F19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smear-positive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Pulmonary,</w:t>
            </w:r>
            <w:r w:rsidRPr="00076F19">
              <w:rPr>
                <w:rFonts w:ascii="Calibri" w:hAnsi="Calibri" w:cs="Calibri"/>
                <w:b/>
                <w:sz w:val="20"/>
                <w:szCs w:val="20"/>
              </w:rPr>
              <w:br/>
              <w:t>smear-negative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Pulmonary,</w:t>
            </w:r>
            <w:r w:rsidRPr="00076F19">
              <w:rPr>
                <w:rFonts w:ascii="Calibri" w:hAnsi="Calibri" w:cs="Calibri"/>
                <w:b/>
                <w:sz w:val="20"/>
                <w:szCs w:val="20"/>
              </w:rPr>
              <w:br/>
              <w:t>smear unknown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Extra-pulmonary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HIV-positive on ART, compared to HIV-negative</w:t>
            </w:r>
          </w:p>
        </w:tc>
        <w:tc>
          <w:tcPr>
            <w:tcW w:w="563" w:type="pct"/>
            <w:tcBorders>
              <w:top w:val="single" w:sz="4" w:space="0" w:color="auto"/>
            </w:tcBorders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15-24</w:t>
            </w:r>
          </w:p>
        </w:tc>
        <w:tc>
          <w:tcPr>
            <w:tcW w:w="994" w:type="pct"/>
            <w:tcBorders>
              <w:top w:val="single" w:sz="4" w:space="0" w:color="auto"/>
            </w:tcBorders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7.85 (6.65–9.27)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5.14 (4.36–6.06)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5.53 (4.33–7.05)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4.51 (3.80–5.35)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25-34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5.12 (4.56–5.76)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3.35 (2.99–3.76)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3.61 (2.93–4.45)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2.94 (2.61–3.32)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35-44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3.39 (3.00–3.82)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2.22 (1.98–2.49)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2.39 (1.94–2.93)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1.95 (1.71–2.22)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45-54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2.74 (2.41–3.12)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1.79 (1.59–2.03)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1.93 (1.56–2.40)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1.57 (1.38–1.8)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55-64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2.24 (1.89–2.65)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1.47 (1.26–1.71)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1.58 (1.25–1.99)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1.29 (1.09–1.52)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65-74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2.30 (1.86–2.86)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1.51 (1.23–1.84)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1.62 (1.24–2.13)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1.32 (1.07–1.64)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 xml:space="preserve">≥75 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1.47 (0.97–2.23)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0.96 (0.64–1.45)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1.04 (0.67–1.61)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0.85 (0.56–1.28)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 w:val="restart"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HIV-positive not on ART, compared to HIV-negative</w:t>
            </w: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15-24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10.25 (7.54–13.92)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6.49 (4.78–8.79)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6.52 (4.47–9.52)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4.98 (3.58–6.94)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25-34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8.22 (6.90–9.81)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5.20 (4.34–6.24)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5.24 (3.88–7.06)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4.00 (3.23–4.95)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35-44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6.2 0(5.13–7.49)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3.92 (3.27–4.70)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3.95 (2.95–5.28)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3.01 (2.44–3.72)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45-54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4.79 (3.86–5.95)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3.03 (2.46–3.73)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3.05 (2.24–4.15)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2.33 (1.84–2.95)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55-64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3.83 (2.80–5.23)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2.42 (1.78–3.30)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2.44 (1.66–3.58)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1.86 (1.35–2.56)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65-74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4.52 (2.87–7.13)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2.86 (1.85–4.43)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2.88 (1.79–4.62)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2.20 (1.37–3.51)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 xml:space="preserve">≥75 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3.08 (1.32–7.19)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1.95 (0.82–4.60)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1.96 (0.81–4.75)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1.50 (0.65–3.45)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 w:val="restart"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HIV status unknown, compared to HIV-negative</w:t>
            </w: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15-24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1.97 (1.35–2.89)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1.65 (1.13–2.43)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1.46 (0.91–2.32)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1.46 (0.99–2.17)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25-34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2.34 (1.80–3.05)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1.97 (1.49–2.60)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1.73 (1.18–2.54)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1.74 (1.30–2.33)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35-44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1.97 (1.50–2.59)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1.65 (1.25–2.20)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1.46 (0.97–2.17)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1.46 (1.09–1.96)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45-54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1.55 (1.12–2.14)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1.30 (0.95–1.77)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1.14 (0.75–1.74)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1.15 (0.84–1.58)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55-64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2.04 (1.49–2.80)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1.71 (1.28–2.29)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1.51 (1.01–2.26)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1.52 (1.12–2.05)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>65-74</w:t>
            </w:r>
          </w:p>
        </w:tc>
        <w:tc>
          <w:tcPr>
            <w:tcW w:w="994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1.89 (1.35–2.65)</w:t>
            </w:r>
          </w:p>
        </w:tc>
        <w:tc>
          <w:tcPr>
            <w:tcW w:w="913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1.59 (1.19–2.12)</w:t>
            </w:r>
          </w:p>
        </w:tc>
        <w:tc>
          <w:tcPr>
            <w:tcW w:w="891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1.40 (0.92–2.11)</w:t>
            </w:r>
          </w:p>
        </w:tc>
        <w:tc>
          <w:tcPr>
            <w:tcW w:w="879" w:type="pct"/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1.40 (1.02–1.93)</w:t>
            </w:r>
          </w:p>
        </w:tc>
      </w:tr>
      <w:tr w:rsidR="007B3F3E" w:rsidRPr="00076F19" w:rsidTr="007B3F3E">
        <w:trPr>
          <w:trHeight w:val="307"/>
        </w:trPr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76F19">
              <w:rPr>
                <w:rFonts w:ascii="Calibri" w:hAnsi="Calibri" w:cs="Calibri"/>
                <w:b/>
                <w:sz w:val="20"/>
                <w:szCs w:val="20"/>
              </w:rPr>
              <w:t xml:space="preserve">≥75 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1.64 (1.11–2.40)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1.37 (0.98–1.92)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1.21 (0.77–1.89)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bottom"/>
            <w:hideMark/>
          </w:tcPr>
          <w:p w:rsidR="007B3F3E" w:rsidRPr="00076F19" w:rsidRDefault="007B3F3E" w:rsidP="00A3153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F19">
              <w:rPr>
                <w:rFonts w:ascii="Calibri" w:hAnsi="Calibri" w:cs="Calibri"/>
                <w:color w:val="000000"/>
                <w:sz w:val="20"/>
                <w:szCs w:val="20"/>
              </w:rPr>
              <w:t>1.21 (0.84–1.75)</w:t>
            </w:r>
          </w:p>
        </w:tc>
      </w:tr>
    </w:tbl>
    <w:p w:rsidR="000B37CA" w:rsidRPr="00852A50" w:rsidRDefault="007B3F3E">
      <w:pPr>
        <w:rPr>
          <w:rFonts w:ascii="Calibri" w:hAnsi="Calibri" w:cs="Calibri"/>
          <w:sz w:val="20"/>
          <w:szCs w:val="20"/>
        </w:rPr>
      </w:pPr>
      <w:bookmarkStart w:id="0" w:name="_GoBack"/>
      <w:r w:rsidRPr="00852A50">
        <w:rPr>
          <w:rFonts w:ascii="Calibri" w:hAnsi="Calibri" w:cs="Calibri"/>
          <w:sz w:val="20"/>
          <w:szCs w:val="20"/>
        </w:rPr>
        <w:t>Hazard ratios adjusted for TB treatment history and region, and analysis stratified by sex</w:t>
      </w:r>
      <w:bookmarkEnd w:id="0"/>
    </w:p>
    <w:sectPr w:rsidR="000B37CA" w:rsidRPr="0085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3E"/>
    <w:rsid w:val="000B37CA"/>
    <w:rsid w:val="0013110F"/>
    <w:rsid w:val="007B3F3E"/>
    <w:rsid w:val="00852A50"/>
    <w:rsid w:val="00A03925"/>
    <w:rsid w:val="00A20A2F"/>
    <w:rsid w:val="00A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8E7F9-0C8E-44DD-9AD0-913E519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3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B3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Yuen, Courtney Mingmen</dc:creator>
  <cp:keywords/>
  <dc:description/>
  <cp:lastModifiedBy>Yuen, Courtney Mingmen</cp:lastModifiedBy>
  <cp:revision>5</cp:revision>
  <dcterms:created xsi:type="dcterms:W3CDTF">2017-11-07T22:30:00Z</dcterms:created>
  <dcterms:modified xsi:type="dcterms:W3CDTF">2017-11-07T22:33:00Z</dcterms:modified>
</cp:coreProperties>
</file>