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F3E" w:rsidRPr="00A1706E" w:rsidRDefault="00A1706E" w:rsidP="00A1706E">
      <w:pPr>
        <w:pStyle w:val="Caption"/>
        <w:spacing w:line="240" w:lineRule="auto"/>
        <w:rPr>
          <w:rFonts w:asciiTheme="minorHAnsi" w:hAnsiTheme="minorHAnsi"/>
          <w:sz w:val="24"/>
          <w:szCs w:val="24"/>
        </w:rPr>
      </w:pPr>
      <w:bookmarkStart w:id="0" w:name="_Ref465775726"/>
      <w:r w:rsidRPr="00A1706E">
        <w:rPr>
          <w:rFonts w:asciiTheme="minorHAnsi" w:hAnsiTheme="minorHAnsi"/>
          <w:sz w:val="24"/>
          <w:szCs w:val="24"/>
        </w:rPr>
        <w:t>S1 Table</w:t>
      </w:r>
      <w:r w:rsidR="007B3F3E" w:rsidRPr="00A1706E">
        <w:rPr>
          <w:rFonts w:asciiTheme="minorHAnsi" w:hAnsiTheme="minorHAnsi"/>
          <w:sz w:val="24"/>
          <w:szCs w:val="24"/>
        </w:rPr>
        <w:t xml:space="preserve">: </w:t>
      </w:r>
      <w:r w:rsidR="007B3F3E" w:rsidRPr="00A1706E">
        <w:rPr>
          <w:rFonts w:asciiTheme="minorHAnsi" w:hAnsiTheme="minorHAnsi"/>
          <w:b w:val="0"/>
          <w:sz w:val="24"/>
          <w:szCs w:val="24"/>
        </w:rPr>
        <w:t>Adjusted hazard ratios for the association between age group and death, stratified by HIV/ART status</w:t>
      </w:r>
      <w:bookmarkEnd w:id="0"/>
    </w:p>
    <w:p w:rsidR="007B3F3E" w:rsidRPr="00A1706E" w:rsidRDefault="007B3F3E" w:rsidP="007B3F3E">
      <w:pPr>
        <w:rPr>
          <w:rFonts w:asciiTheme="minorHAnsi" w:hAnsi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61"/>
        <w:gridCol w:w="1857"/>
        <w:gridCol w:w="1859"/>
        <w:gridCol w:w="1924"/>
        <w:gridCol w:w="1859"/>
      </w:tblGrid>
      <w:tr w:rsidR="007B3F3E" w:rsidRPr="00A1706E" w:rsidTr="007B3F3E">
        <w:trPr>
          <w:trHeight w:val="70"/>
        </w:trPr>
        <w:tc>
          <w:tcPr>
            <w:tcW w:w="994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Age group</w:t>
            </w:r>
          </w:p>
        </w:tc>
        <w:tc>
          <w:tcPr>
            <w:tcW w:w="400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HIV status</w:t>
            </w:r>
          </w:p>
        </w:tc>
      </w:tr>
      <w:tr w:rsidR="007B3F3E" w:rsidRPr="00A1706E" w:rsidTr="007B3F3E">
        <w:tc>
          <w:tcPr>
            <w:tcW w:w="99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992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A1706E" w:rsidRDefault="007B3F3E" w:rsidP="007B3F3E">
            <w:pPr>
              <w:spacing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HIV-negative</w:t>
            </w:r>
          </w:p>
        </w:tc>
        <w:tc>
          <w:tcPr>
            <w:tcW w:w="993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A1706E" w:rsidRDefault="007B3F3E" w:rsidP="007B3F3E">
            <w:pPr>
              <w:spacing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 xml:space="preserve">HIV-positive, </w:t>
            </w: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br/>
              <w:t>on ART</w:t>
            </w:r>
          </w:p>
        </w:tc>
        <w:tc>
          <w:tcPr>
            <w:tcW w:w="102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A1706E" w:rsidRDefault="007B3F3E" w:rsidP="007B3F3E">
            <w:pPr>
              <w:spacing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HIV-positive,</w:t>
            </w: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br/>
              <w:t>not on ART</w:t>
            </w:r>
          </w:p>
        </w:tc>
        <w:tc>
          <w:tcPr>
            <w:tcW w:w="993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B3F3E" w:rsidRPr="00A1706E" w:rsidRDefault="007B3F3E" w:rsidP="007B3F3E">
            <w:pPr>
              <w:spacing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HIV status unknown</w:t>
            </w:r>
          </w:p>
        </w:tc>
      </w:tr>
      <w:tr w:rsidR="007B3F3E" w:rsidRPr="00A1706E" w:rsidTr="007B3F3E">
        <w:tc>
          <w:tcPr>
            <w:tcW w:w="994" w:type="pc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15-24</w:t>
            </w:r>
          </w:p>
        </w:tc>
        <w:tc>
          <w:tcPr>
            <w:tcW w:w="992" w:type="pc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sz w:val="20"/>
                <w:szCs w:val="20"/>
              </w:rPr>
              <w:t>Reference</w:t>
            </w:r>
          </w:p>
        </w:tc>
        <w:tc>
          <w:tcPr>
            <w:tcW w:w="993" w:type="pc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sz w:val="20"/>
                <w:szCs w:val="20"/>
              </w:rPr>
              <w:t>Reference</w:t>
            </w:r>
          </w:p>
        </w:tc>
        <w:tc>
          <w:tcPr>
            <w:tcW w:w="1028" w:type="pc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sz w:val="20"/>
                <w:szCs w:val="20"/>
              </w:rPr>
              <w:t>Reference</w:t>
            </w:r>
          </w:p>
        </w:tc>
        <w:tc>
          <w:tcPr>
            <w:tcW w:w="993" w:type="pct"/>
            <w:tcBorders>
              <w:top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sz w:val="20"/>
                <w:szCs w:val="20"/>
              </w:rPr>
              <w:t>Reference</w:t>
            </w:r>
          </w:p>
        </w:tc>
      </w:tr>
      <w:tr w:rsidR="007B3F3E" w:rsidRPr="00A1706E" w:rsidTr="007B3F3E">
        <w:tc>
          <w:tcPr>
            <w:tcW w:w="994" w:type="pct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25-34</w:t>
            </w:r>
          </w:p>
        </w:tc>
        <w:tc>
          <w:tcPr>
            <w:tcW w:w="992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1.60 (1.40–1.82)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1.04 (0.94–1.16)</w:t>
            </w:r>
          </w:p>
        </w:tc>
        <w:tc>
          <w:tcPr>
            <w:tcW w:w="1028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1.28 (0.97–1.69)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1.90 (1.30–2.77)</w:t>
            </w:r>
          </w:p>
        </w:tc>
      </w:tr>
      <w:tr w:rsidR="007B3F3E" w:rsidRPr="00A1706E" w:rsidTr="007B3F3E">
        <w:tc>
          <w:tcPr>
            <w:tcW w:w="994" w:type="pct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35-44</w:t>
            </w:r>
          </w:p>
        </w:tc>
        <w:tc>
          <w:tcPr>
            <w:tcW w:w="992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2.46 (2.14–2.82)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1.06 (0.95–1.18)</w:t>
            </w:r>
          </w:p>
        </w:tc>
        <w:tc>
          <w:tcPr>
            <w:tcW w:w="1028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1.49 (1.12–1.98)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2.46 (1.66–3.63)</w:t>
            </w:r>
          </w:p>
        </w:tc>
      </w:tr>
      <w:tr w:rsidR="007B3F3E" w:rsidRPr="00A1706E" w:rsidTr="007B3F3E">
        <w:tc>
          <w:tcPr>
            <w:tcW w:w="994" w:type="pct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45-54</w:t>
            </w:r>
          </w:p>
        </w:tc>
        <w:tc>
          <w:tcPr>
            <w:tcW w:w="992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3.60 (3.13–4.14)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1.26 (1.12–1.41)</w:t>
            </w:r>
          </w:p>
        </w:tc>
        <w:tc>
          <w:tcPr>
            <w:tcW w:w="1028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1.68 (1.23–2.29)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2.83 (1.84–4.36)</w:t>
            </w:r>
          </w:p>
        </w:tc>
      </w:tr>
      <w:tr w:rsidR="007B3F3E" w:rsidRPr="00A1706E" w:rsidTr="007B3F3E">
        <w:tc>
          <w:tcPr>
            <w:tcW w:w="994" w:type="pct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55-64</w:t>
            </w:r>
          </w:p>
        </w:tc>
        <w:tc>
          <w:tcPr>
            <w:tcW w:w="992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5.02 (4.36–5.79)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1.43 (1.24–1.66)</w:t>
            </w:r>
          </w:p>
        </w:tc>
        <w:tc>
          <w:tcPr>
            <w:tcW w:w="1028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1.88 (1.30–2.72)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5.20 (3.48–7.78)</w:t>
            </w:r>
          </w:p>
        </w:tc>
      </w:tr>
      <w:tr w:rsidR="007B3F3E" w:rsidRPr="00A1706E" w:rsidTr="007B3F3E">
        <w:tc>
          <w:tcPr>
            <w:tcW w:w="994" w:type="pct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65-74</w:t>
            </w:r>
          </w:p>
        </w:tc>
        <w:tc>
          <w:tcPr>
            <w:tcW w:w="992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6.90 (5.97–7.99)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2.03 (1.65–2.48)</w:t>
            </w:r>
          </w:p>
        </w:tc>
        <w:tc>
          <w:tcPr>
            <w:tcW w:w="1028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3.05 (1.84–5.05)</w:t>
            </w:r>
          </w:p>
        </w:tc>
        <w:tc>
          <w:tcPr>
            <w:tcW w:w="993" w:type="pct"/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6.62 (4.35–10.07)</w:t>
            </w:r>
          </w:p>
        </w:tc>
      </w:tr>
      <w:tr w:rsidR="007B3F3E" w:rsidRPr="00A1706E" w:rsidTr="007B3F3E">
        <w:trPr>
          <w:trHeight w:val="278"/>
        </w:trPr>
        <w:tc>
          <w:tcPr>
            <w:tcW w:w="994" w:type="pct"/>
            <w:tcBorders>
              <w:bottom w:val="single" w:sz="4" w:space="0" w:color="auto"/>
            </w:tcBorders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b/>
                <w:sz w:val="20"/>
                <w:szCs w:val="20"/>
              </w:rPr>
              <w:t>≥75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9.85 (8.48–11.45)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1.85 (1.24–2.77)</w:t>
            </w:r>
          </w:p>
        </w:tc>
        <w:tc>
          <w:tcPr>
            <w:tcW w:w="102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2.96 (1.23–7.12)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B3F3E" w:rsidRPr="00A1706E" w:rsidRDefault="007B3F3E" w:rsidP="007B3F3E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1706E">
              <w:rPr>
                <w:rFonts w:asciiTheme="minorHAnsi" w:hAnsiTheme="minorHAnsi" w:cs="Calibri"/>
                <w:color w:val="000000"/>
                <w:sz w:val="20"/>
                <w:szCs w:val="20"/>
              </w:rPr>
              <w:t>8.18 (5.24–12.76)</w:t>
            </w:r>
          </w:p>
        </w:tc>
      </w:tr>
    </w:tbl>
    <w:p w:rsidR="007B3F3E" w:rsidRPr="00A1706E" w:rsidRDefault="007B3F3E" w:rsidP="007B3F3E">
      <w:pPr>
        <w:spacing w:line="240" w:lineRule="auto"/>
        <w:rPr>
          <w:rFonts w:asciiTheme="minorHAnsi" w:hAnsiTheme="minorHAnsi" w:cs="Calibri"/>
          <w:sz w:val="20"/>
          <w:szCs w:val="20"/>
        </w:rPr>
      </w:pPr>
      <w:r w:rsidRPr="00A1706E">
        <w:rPr>
          <w:rFonts w:asciiTheme="minorHAnsi" w:hAnsiTheme="minorHAnsi" w:cs="Calibri"/>
          <w:sz w:val="20"/>
          <w:szCs w:val="20"/>
        </w:rPr>
        <w:t>Hazard ratios adjusted for TB treatment history and region, and analysis stratified by sex.</w:t>
      </w:r>
    </w:p>
    <w:p w:rsidR="007B3F3E" w:rsidRPr="00A1706E" w:rsidRDefault="007B3F3E" w:rsidP="007B3F3E">
      <w:pPr>
        <w:spacing w:line="240" w:lineRule="auto"/>
        <w:rPr>
          <w:rFonts w:asciiTheme="minorHAnsi" w:hAnsiTheme="minorHAnsi" w:cs="Calibri"/>
        </w:rPr>
      </w:pPr>
    </w:p>
    <w:p w:rsidR="007B3F3E" w:rsidRPr="00A1706E" w:rsidRDefault="007B3F3E" w:rsidP="00BB3082">
      <w:pPr>
        <w:spacing w:line="276" w:lineRule="auto"/>
        <w:rPr>
          <w:rFonts w:asciiTheme="minorHAnsi" w:hAnsiTheme="minorHAnsi"/>
          <w:b/>
        </w:rPr>
      </w:pPr>
      <w:bookmarkStart w:id="1" w:name="_GoBack"/>
      <w:bookmarkEnd w:id="1"/>
    </w:p>
    <w:sectPr w:rsidR="007B3F3E" w:rsidRPr="00A17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3E"/>
    <w:rsid w:val="000B37CA"/>
    <w:rsid w:val="007B3F3E"/>
    <w:rsid w:val="00A03925"/>
    <w:rsid w:val="00A1706E"/>
    <w:rsid w:val="00BB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8E7F9-0C8E-44DD-9AD0-913E519E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F3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7B3F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Courtney Mingmen</dc:creator>
  <cp:keywords/>
  <dc:description/>
  <cp:lastModifiedBy>Yuen, Courtney Mingmen</cp:lastModifiedBy>
  <cp:revision>4</cp:revision>
  <dcterms:created xsi:type="dcterms:W3CDTF">2017-11-07T22:26:00Z</dcterms:created>
  <dcterms:modified xsi:type="dcterms:W3CDTF">2017-11-07T22:30:00Z</dcterms:modified>
</cp:coreProperties>
</file>