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9C" w:rsidRPr="006E579C" w:rsidRDefault="006E579C" w:rsidP="006E579C">
      <w:pPr>
        <w:rPr>
          <w:b/>
          <w:lang w:val="en-GB"/>
        </w:rPr>
      </w:pPr>
    </w:p>
    <w:p w:rsidR="006E579C" w:rsidRDefault="0074411B" w:rsidP="006E579C">
      <w:pPr>
        <w:rPr>
          <w:b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69A68F52" wp14:editId="35D51D86">
            <wp:extent cx="5886450" cy="33623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E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9C"/>
    <w:rsid w:val="006E579C"/>
    <w:rsid w:val="0074411B"/>
    <w:rsid w:val="00AE50C0"/>
    <w:rsid w:val="00E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en-US" sz="1000" b="1" i="0" baseline="0"/>
              <a:t>Nigeria (N=6,975, ILI=5,528, SARI=1,447)</a:t>
            </a:r>
          </a:p>
        </c:rich>
      </c:tx>
      <c:layout>
        <c:manualLayout>
          <c:xMode val="edge"/>
          <c:yMode val="edge"/>
          <c:x val="0.29113830283409697"/>
          <c:y val="1.867844889294794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440448322338086"/>
          <c:y val="7.8177704275993701E-2"/>
          <c:w val="0.80434744437433126"/>
          <c:h val="0.68346851627872529"/>
        </c:manualLayout>
      </c:layout>
      <c:barChart>
        <c:barDir val="col"/>
        <c:grouping val="stacked"/>
        <c:varyColors val="0"/>
        <c:ser>
          <c:idx val="0"/>
          <c:order val="0"/>
          <c:tx>
            <c:v>pH1N1</c:v>
          </c:tx>
          <c:invertIfNegative val="0"/>
          <c:cat>
            <c:strRef>
              <c:f>Graphs!$A$303:$A$338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Graphs!$L$303:$L$338</c:f>
              <c:numCache>
                <c:formatCode>General</c:formatCode>
                <c:ptCount val="36"/>
                <c:pt idx="0">
                  <c:v>21</c:v>
                </c:pt>
                <c:pt idx="1">
                  <c:v>41</c:v>
                </c:pt>
                <c:pt idx="2">
                  <c:v>30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3</c:v>
                </c:pt>
                <c:pt idx="13">
                  <c:v>7</c:v>
                </c:pt>
                <c:pt idx="14">
                  <c:v>2</c:v>
                </c:pt>
                <c:pt idx="15">
                  <c:v>7</c:v>
                </c:pt>
                <c:pt idx="16">
                  <c:v>0</c:v>
                </c:pt>
                <c:pt idx="17">
                  <c:v>1</c:v>
                </c:pt>
                <c:pt idx="18">
                  <c:v>9</c:v>
                </c:pt>
                <c:pt idx="19">
                  <c:v>10</c:v>
                </c:pt>
                <c:pt idx="20">
                  <c:v>10</c:v>
                </c:pt>
                <c:pt idx="21">
                  <c:v>7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6</c:v>
                </c:pt>
                <c:pt idx="32">
                  <c:v>7</c:v>
                </c:pt>
                <c:pt idx="33">
                  <c:v>15</c:v>
                </c:pt>
                <c:pt idx="34">
                  <c:v>1</c:v>
                </c:pt>
                <c:pt idx="35">
                  <c:v>4</c:v>
                </c:pt>
              </c:numCache>
            </c:numRef>
          </c:val>
        </c:ser>
        <c:ser>
          <c:idx val="1"/>
          <c:order val="1"/>
          <c:tx>
            <c:v>A(H3N2)</c:v>
          </c:tx>
          <c:invertIfNegative val="0"/>
          <c:cat>
            <c:strRef>
              <c:f>Graphs!$A$303:$A$338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Graphs!$R$303:$R$338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7</c:v>
                </c:pt>
                <c:pt idx="8">
                  <c:v>1</c:v>
                </c:pt>
                <c:pt idx="9">
                  <c:v>8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5</c:v>
                </c:pt>
                <c:pt idx="19">
                  <c:v>5</c:v>
                </c:pt>
                <c:pt idx="20">
                  <c:v>34</c:v>
                </c:pt>
                <c:pt idx="21">
                  <c:v>14</c:v>
                </c:pt>
                <c:pt idx="22">
                  <c:v>9</c:v>
                </c:pt>
                <c:pt idx="23">
                  <c:v>17</c:v>
                </c:pt>
                <c:pt idx="24">
                  <c:v>2</c:v>
                </c:pt>
                <c:pt idx="25">
                  <c:v>1</c:v>
                </c:pt>
                <c:pt idx="26">
                  <c:v>3</c:v>
                </c:pt>
                <c:pt idx="27">
                  <c:v>3</c:v>
                </c:pt>
                <c:pt idx="28">
                  <c:v>0</c:v>
                </c:pt>
                <c:pt idx="29">
                  <c:v>1</c:v>
                </c:pt>
                <c:pt idx="30">
                  <c:v>2</c:v>
                </c:pt>
                <c:pt idx="31">
                  <c:v>1</c:v>
                </c:pt>
                <c:pt idx="32">
                  <c:v>33</c:v>
                </c:pt>
                <c:pt idx="33">
                  <c:v>16</c:v>
                </c:pt>
                <c:pt idx="34">
                  <c:v>7</c:v>
                </c:pt>
                <c:pt idx="35">
                  <c:v>1</c:v>
                </c:pt>
              </c:numCache>
            </c:numRef>
          </c:val>
        </c:ser>
        <c:ser>
          <c:idx val="2"/>
          <c:order val="2"/>
          <c:tx>
            <c:v>FluB</c:v>
          </c:tx>
          <c:invertIfNegative val="0"/>
          <c:cat>
            <c:strRef>
              <c:f>Graphs!$A$303:$A$338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Graphs!$U$303:$U$338</c:f>
              <c:numCache>
                <c:formatCode>General</c:formatCode>
                <c:ptCount val="36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13</c:v>
                </c:pt>
                <c:pt idx="10">
                  <c:v>11</c:v>
                </c:pt>
                <c:pt idx="11">
                  <c:v>14</c:v>
                </c:pt>
                <c:pt idx="12">
                  <c:v>7</c:v>
                </c:pt>
                <c:pt idx="13">
                  <c:v>5</c:v>
                </c:pt>
                <c:pt idx="14">
                  <c:v>9</c:v>
                </c:pt>
                <c:pt idx="15">
                  <c:v>8</c:v>
                </c:pt>
                <c:pt idx="16">
                  <c:v>8</c:v>
                </c:pt>
                <c:pt idx="17">
                  <c:v>3</c:v>
                </c:pt>
                <c:pt idx="18">
                  <c:v>5</c:v>
                </c:pt>
                <c:pt idx="19">
                  <c:v>9</c:v>
                </c:pt>
                <c:pt idx="20">
                  <c:v>24</c:v>
                </c:pt>
                <c:pt idx="21">
                  <c:v>20</c:v>
                </c:pt>
                <c:pt idx="22">
                  <c:v>8</c:v>
                </c:pt>
                <c:pt idx="23">
                  <c:v>7</c:v>
                </c:pt>
                <c:pt idx="24">
                  <c:v>10</c:v>
                </c:pt>
                <c:pt idx="25">
                  <c:v>6</c:v>
                </c:pt>
                <c:pt idx="26">
                  <c:v>5</c:v>
                </c:pt>
                <c:pt idx="27">
                  <c:v>2</c:v>
                </c:pt>
                <c:pt idx="28">
                  <c:v>0</c:v>
                </c:pt>
                <c:pt idx="29">
                  <c:v>2</c:v>
                </c:pt>
                <c:pt idx="30">
                  <c:v>1</c:v>
                </c:pt>
                <c:pt idx="31">
                  <c:v>2</c:v>
                </c:pt>
                <c:pt idx="32">
                  <c:v>4</c:v>
                </c:pt>
                <c:pt idx="33">
                  <c:v>4</c:v>
                </c:pt>
                <c:pt idx="34">
                  <c:v>15</c:v>
                </c:pt>
                <c:pt idx="3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35784448"/>
        <c:axId val="235848064"/>
      </c:barChart>
      <c:lineChart>
        <c:grouping val="standard"/>
        <c:varyColors val="0"/>
        <c:ser>
          <c:idx val="3"/>
          <c:order val="3"/>
          <c:tx>
            <c:v>Percent influenza positive</c:v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val>
            <c:numRef>
              <c:f>Graphs!$AD$303:$AD$338</c:f>
              <c:numCache>
                <c:formatCode>General</c:formatCode>
                <c:ptCount val="36"/>
                <c:pt idx="0">
                  <c:v>11.6</c:v>
                </c:pt>
                <c:pt idx="1">
                  <c:v>19</c:v>
                </c:pt>
                <c:pt idx="2">
                  <c:v>10.3</c:v>
                </c:pt>
                <c:pt idx="3">
                  <c:v>1.8</c:v>
                </c:pt>
                <c:pt idx="4">
                  <c:v>0.4</c:v>
                </c:pt>
                <c:pt idx="5">
                  <c:v>0.6</c:v>
                </c:pt>
                <c:pt idx="6">
                  <c:v>1.1000000000000001</c:v>
                </c:pt>
                <c:pt idx="7">
                  <c:v>5.7</c:v>
                </c:pt>
                <c:pt idx="8">
                  <c:v>2.9</c:v>
                </c:pt>
                <c:pt idx="9">
                  <c:v>17</c:v>
                </c:pt>
                <c:pt idx="10">
                  <c:v>6.8</c:v>
                </c:pt>
                <c:pt idx="11">
                  <c:v>6.1</c:v>
                </c:pt>
                <c:pt idx="12">
                  <c:v>3.8</c:v>
                </c:pt>
                <c:pt idx="13">
                  <c:v>12.5</c:v>
                </c:pt>
                <c:pt idx="14">
                  <c:v>10.1</c:v>
                </c:pt>
                <c:pt idx="15">
                  <c:v>8.1999999999999993</c:v>
                </c:pt>
                <c:pt idx="16">
                  <c:v>3.4</c:v>
                </c:pt>
                <c:pt idx="17">
                  <c:v>1.6</c:v>
                </c:pt>
                <c:pt idx="18">
                  <c:v>6.6</c:v>
                </c:pt>
                <c:pt idx="19">
                  <c:v>9.6</c:v>
                </c:pt>
                <c:pt idx="20">
                  <c:v>31.9</c:v>
                </c:pt>
                <c:pt idx="21">
                  <c:v>15.5</c:v>
                </c:pt>
                <c:pt idx="22">
                  <c:v>9.3000000000000007</c:v>
                </c:pt>
                <c:pt idx="23">
                  <c:v>12.1</c:v>
                </c:pt>
                <c:pt idx="24">
                  <c:v>11.4</c:v>
                </c:pt>
                <c:pt idx="25">
                  <c:v>4.3</c:v>
                </c:pt>
                <c:pt idx="26">
                  <c:v>4.9000000000000004</c:v>
                </c:pt>
                <c:pt idx="27">
                  <c:v>2.9</c:v>
                </c:pt>
                <c:pt idx="28">
                  <c:v>0</c:v>
                </c:pt>
                <c:pt idx="29">
                  <c:v>2.1</c:v>
                </c:pt>
                <c:pt idx="30">
                  <c:v>2.9</c:v>
                </c:pt>
                <c:pt idx="31">
                  <c:v>6</c:v>
                </c:pt>
                <c:pt idx="32">
                  <c:v>27</c:v>
                </c:pt>
                <c:pt idx="33">
                  <c:v>17.899999999999999</c:v>
                </c:pt>
                <c:pt idx="34">
                  <c:v>12.2</c:v>
                </c:pt>
                <c:pt idx="35">
                  <c:v>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52160"/>
        <c:axId val="235849984"/>
      </c:lineChart>
      <c:catAx>
        <c:axId val="235784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2010                                       2011                                     2012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5848064"/>
        <c:crosses val="autoZero"/>
        <c:auto val="1"/>
        <c:lblAlgn val="ctr"/>
        <c:lblOffset val="100"/>
        <c:noMultiLvlLbl val="0"/>
      </c:catAx>
      <c:valAx>
        <c:axId val="235848064"/>
        <c:scaling>
          <c:orientation val="minMax"/>
          <c:max val="18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samples tested</a:t>
                </a:r>
              </a:p>
            </c:rich>
          </c:tx>
          <c:layout>
            <c:manualLayout>
              <c:xMode val="edge"/>
              <c:yMode val="edge"/>
              <c:x val="2.0131690855716207E-2"/>
              <c:y val="0.180167353688939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5784448"/>
        <c:crosses val="autoZero"/>
        <c:crossBetween val="between"/>
      </c:valAx>
      <c:valAx>
        <c:axId val="23584998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>
                    <a:effectLst/>
                  </a:rPr>
                  <a:t>Percent influenza positive</a:t>
                </a:r>
                <a:endParaRPr lang="en-US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5852160"/>
        <c:crosses val="max"/>
        <c:crossBetween val="between"/>
      </c:valAx>
      <c:catAx>
        <c:axId val="235852160"/>
        <c:scaling>
          <c:orientation val="minMax"/>
        </c:scaling>
        <c:delete val="1"/>
        <c:axPos val="b"/>
        <c:majorTickMark val="out"/>
        <c:minorTickMark val="none"/>
        <c:tickLblPos val="nextTo"/>
        <c:crossAx val="235849984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12423093454781567"/>
          <c:y val="0.9180328947909725"/>
          <c:w val="0.7840582732036544"/>
          <c:h val="7.905098747902414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Ndahwouh Talla Nzussouo</dc:creator>
  <cp:lastModifiedBy>Ndahwouh Talla Nzussouo</cp:lastModifiedBy>
  <cp:revision>2</cp:revision>
  <dcterms:created xsi:type="dcterms:W3CDTF">2017-08-16T21:57:00Z</dcterms:created>
  <dcterms:modified xsi:type="dcterms:W3CDTF">2017-08-16T21:57:00Z</dcterms:modified>
</cp:coreProperties>
</file>