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F" w:rsidRPr="00CE6ECF" w:rsidRDefault="00CE6ECF" w:rsidP="00CE6ECF">
      <w:pPr>
        <w:rPr>
          <w:b/>
          <w:lang w:val="en-GB"/>
        </w:rPr>
      </w:pPr>
    </w:p>
    <w:p w:rsidR="00CE6ECF" w:rsidRPr="00CE6ECF" w:rsidRDefault="00C15988" w:rsidP="00CE6ECF">
      <w:pPr>
        <w:rPr>
          <w:b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52D3A2" wp14:editId="2D8DBB7B">
            <wp:extent cx="5934075" cy="30289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6ECF" w:rsidRPr="00CE6ECF" w:rsidRDefault="00CE6ECF" w:rsidP="00CE6ECF"/>
    <w:p w:rsidR="00CE6ECF" w:rsidRPr="00CE6ECF" w:rsidRDefault="00CE6ECF" w:rsidP="00CE6ECF"/>
    <w:p w:rsidR="00AE50C0" w:rsidRDefault="00AE50C0"/>
    <w:sectPr w:rsidR="00AE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F"/>
    <w:rsid w:val="00AE50C0"/>
    <w:rsid w:val="00C15988"/>
    <w:rsid w:val="00C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000" b="1" i="0" baseline="0"/>
              <a:t>Niger (N=1867, ILI=977, SARI=890)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51491671110832"/>
          <c:y val="0.14055020900165258"/>
          <c:w val="0.80132345335286126"/>
          <c:h val="0.53699620880723242"/>
        </c:manualLayout>
      </c:layout>
      <c:barChart>
        <c:barDir val="col"/>
        <c:grouping val="stacked"/>
        <c:varyColors val="0"/>
        <c:ser>
          <c:idx val="0"/>
          <c:order val="0"/>
          <c:tx>
            <c:v>pH1N1</c:v>
          </c:tx>
          <c:invertIfNegative val="0"/>
          <c:cat>
            <c:strRef>
              <c:f>Graphs!$A$129:$A$164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Graphs!$L$129:$L$164</c:f>
              <c:numCache>
                <c:formatCode>General</c:formatCode>
                <c:ptCount val="36"/>
                <c:pt idx="0">
                  <c:v>0</c:v>
                </c:pt>
                <c:pt idx="1">
                  <c:v>23</c:v>
                </c:pt>
                <c:pt idx="2">
                  <c:v>26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16</c:v>
                </c:pt>
                <c:pt idx="13">
                  <c:v>20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1"/>
          <c:order val="1"/>
          <c:tx>
            <c:v>A(H3N2)</c:v>
          </c:tx>
          <c:invertIfNegative val="0"/>
          <c:cat>
            <c:strRef>
              <c:f>Graphs!$A$129:$A$164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Graphs!$R$129:$R$164</c:f>
              <c:numCache>
                <c:formatCode>General</c:formatCode>
                <c:ptCount val="3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3</c:v>
                </c:pt>
                <c:pt idx="23">
                  <c:v>2</c:v>
                </c:pt>
                <c:pt idx="24">
                  <c:v>1</c:v>
                </c:pt>
                <c:pt idx="25">
                  <c:v>6</c:v>
                </c:pt>
                <c:pt idx="26">
                  <c:v>4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5</c:v>
                </c:pt>
                <c:pt idx="33">
                  <c:v>4</c:v>
                </c:pt>
                <c:pt idx="34">
                  <c:v>1</c:v>
                </c:pt>
                <c:pt idx="35">
                  <c:v>0</c:v>
                </c:pt>
              </c:numCache>
            </c:numRef>
          </c:val>
        </c:ser>
        <c:ser>
          <c:idx val="2"/>
          <c:order val="2"/>
          <c:tx>
            <c:v>FluB</c:v>
          </c:tx>
          <c:invertIfNegative val="0"/>
          <c:cat>
            <c:strRef>
              <c:f>Graphs!$A$129:$A$164</c:f>
              <c:strCache>
                <c:ptCount val="36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May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Oct</c:v>
                </c:pt>
                <c:pt idx="22">
                  <c:v>Nov</c:v>
                </c:pt>
                <c:pt idx="23">
                  <c:v>Dec</c:v>
                </c:pt>
                <c:pt idx="24">
                  <c:v>Jan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May</c:v>
                </c:pt>
                <c:pt idx="29">
                  <c:v>Jun</c:v>
                </c:pt>
                <c:pt idx="30">
                  <c:v>Jul</c:v>
                </c:pt>
                <c:pt idx="31">
                  <c:v>Aug</c:v>
                </c:pt>
                <c:pt idx="32">
                  <c:v>Sep</c:v>
                </c:pt>
                <c:pt idx="33">
                  <c:v>Oct</c:v>
                </c:pt>
                <c:pt idx="34">
                  <c:v>Nov</c:v>
                </c:pt>
                <c:pt idx="35">
                  <c:v>Dec</c:v>
                </c:pt>
              </c:strCache>
            </c:strRef>
          </c:cat>
          <c:val>
            <c:numRef>
              <c:f>Graphs!$U$129:$U$164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5</c:v>
                </c:pt>
                <c:pt idx="25">
                  <c:v>9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36275968"/>
        <c:axId val="236282240"/>
      </c:barChart>
      <c:lineChart>
        <c:grouping val="standard"/>
        <c:varyColors val="0"/>
        <c:ser>
          <c:idx val="3"/>
          <c:order val="3"/>
          <c:tx>
            <c:v>Percent influena positive</c:v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val>
            <c:numRef>
              <c:f>Graphs!$AD$129:$AD$164</c:f>
              <c:numCache>
                <c:formatCode>General</c:formatCode>
                <c:ptCount val="36"/>
                <c:pt idx="0">
                  <c:v>42.9</c:v>
                </c:pt>
                <c:pt idx="1">
                  <c:v>29.1</c:v>
                </c:pt>
                <c:pt idx="2">
                  <c:v>19.600000000000001</c:v>
                </c:pt>
                <c:pt idx="3">
                  <c:v>7.5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30.5</c:v>
                </c:pt>
                <c:pt idx="13">
                  <c:v>22</c:v>
                </c:pt>
                <c:pt idx="14">
                  <c:v>1.9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1.3</c:v>
                </c:pt>
                <c:pt idx="20">
                  <c:v>4.0999999999999996</c:v>
                </c:pt>
                <c:pt idx="21">
                  <c:v>0</c:v>
                </c:pt>
                <c:pt idx="22">
                  <c:v>2.8</c:v>
                </c:pt>
                <c:pt idx="23">
                  <c:v>4.8</c:v>
                </c:pt>
                <c:pt idx="24">
                  <c:v>8.6</c:v>
                </c:pt>
                <c:pt idx="25">
                  <c:v>19.5</c:v>
                </c:pt>
                <c:pt idx="26">
                  <c:v>4.8</c:v>
                </c:pt>
                <c:pt idx="27">
                  <c:v>0</c:v>
                </c:pt>
                <c:pt idx="28">
                  <c:v>1.8</c:v>
                </c:pt>
                <c:pt idx="29">
                  <c:v>2.4</c:v>
                </c:pt>
                <c:pt idx="30">
                  <c:v>0</c:v>
                </c:pt>
                <c:pt idx="31">
                  <c:v>3.2</c:v>
                </c:pt>
                <c:pt idx="32">
                  <c:v>10.6</c:v>
                </c:pt>
                <c:pt idx="33">
                  <c:v>6.1</c:v>
                </c:pt>
                <c:pt idx="34">
                  <c:v>4.3</c:v>
                </c:pt>
                <c:pt idx="3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306816"/>
        <c:axId val="236284160"/>
      </c:lineChart>
      <c:catAx>
        <c:axId val="23627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2010                                          2011                                                 2012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5441152728837074"/>
              <c:y val="0.8144429421069840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36282240"/>
        <c:crosses val="autoZero"/>
        <c:auto val="1"/>
        <c:lblAlgn val="ctr"/>
        <c:lblOffset val="100"/>
        <c:noMultiLvlLbl val="0"/>
      </c:catAx>
      <c:valAx>
        <c:axId val="236282240"/>
        <c:scaling>
          <c:orientation val="minMax"/>
          <c:max val="1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baseline="0"/>
                  <a:t>Number of samples tested</a:t>
                </a:r>
                <a:endParaRPr lang="en-US" sz="1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6275968"/>
        <c:crosses val="autoZero"/>
        <c:crossBetween val="between"/>
      </c:valAx>
      <c:valAx>
        <c:axId val="23628416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>
                    <a:effectLst/>
                  </a:rPr>
                  <a:t>Percent influenza positive</a:t>
                </a:r>
                <a:endParaRPr lang="en-US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6306816"/>
        <c:crosses val="max"/>
        <c:crossBetween val="between"/>
      </c:valAx>
      <c:catAx>
        <c:axId val="236306816"/>
        <c:scaling>
          <c:orientation val="minMax"/>
        </c:scaling>
        <c:delete val="1"/>
        <c:axPos val="b"/>
        <c:majorTickMark val="out"/>
        <c:minorTickMark val="none"/>
        <c:tickLblPos val="nextTo"/>
        <c:crossAx val="236284160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Ndahwouh Talla Nzussouo</dc:creator>
  <cp:lastModifiedBy>Ndahwouh Talla Nzussouo</cp:lastModifiedBy>
  <cp:revision>2</cp:revision>
  <dcterms:created xsi:type="dcterms:W3CDTF">2017-08-16T21:56:00Z</dcterms:created>
  <dcterms:modified xsi:type="dcterms:W3CDTF">2017-08-16T21:56:00Z</dcterms:modified>
</cp:coreProperties>
</file>