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61" w:rsidRPr="00791861" w:rsidRDefault="00791861" w:rsidP="00791861">
      <w:pPr>
        <w:rPr>
          <w:b/>
          <w:lang w:val="en-GB"/>
        </w:rPr>
      </w:pPr>
    </w:p>
    <w:p w:rsidR="00791861" w:rsidRPr="00791861" w:rsidRDefault="00B6370C" w:rsidP="00791861">
      <w:pPr>
        <w:rPr>
          <w:b/>
          <w:lang w:val="en-GB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39A04A3" wp14:editId="26B0BC2E">
            <wp:extent cx="5943600" cy="2967045"/>
            <wp:effectExtent l="0" t="0" r="19050" b="241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E50C0" w:rsidRDefault="00AE50C0"/>
    <w:sectPr w:rsidR="00AE5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61"/>
    <w:rsid w:val="00791861"/>
    <w:rsid w:val="00AE50C0"/>
    <w:rsid w:val="00B6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000" b="1" i="0" u="none" strike="noStrike" baseline="0"/>
              <a:t>Mali (N=8062; ILI=8060, SARI=2)</a:t>
            </a:r>
            <a:endParaRPr lang="en-US" sz="10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8391260009696243E-2"/>
          <c:y val="0.11955640884113472"/>
          <c:w val="0.8332311884581306"/>
          <c:h val="0.64160282017533743"/>
        </c:manualLayout>
      </c:layout>
      <c:barChart>
        <c:barDir val="col"/>
        <c:grouping val="stacked"/>
        <c:varyColors val="0"/>
        <c:ser>
          <c:idx val="0"/>
          <c:order val="0"/>
          <c:tx>
            <c:v>pH1N1</c:v>
          </c:tx>
          <c:invertIfNegative val="0"/>
          <c:cat>
            <c:strRef>
              <c:f>Graphs!$A$46:$A$81</c:f>
              <c:strCache>
                <c:ptCount val="3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  <c:pt idx="13">
                  <c:v>Feb</c:v>
                </c:pt>
                <c:pt idx="14">
                  <c:v>Mar</c:v>
                </c:pt>
                <c:pt idx="15">
                  <c:v>Apr</c:v>
                </c:pt>
                <c:pt idx="16">
                  <c:v>May</c:v>
                </c:pt>
                <c:pt idx="17">
                  <c:v>Jun</c:v>
                </c:pt>
                <c:pt idx="18">
                  <c:v>Jul</c:v>
                </c:pt>
                <c:pt idx="19">
                  <c:v>Aug</c:v>
                </c:pt>
                <c:pt idx="20">
                  <c:v>Sep</c:v>
                </c:pt>
                <c:pt idx="21">
                  <c:v>Oct</c:v>
                </c:pt>
                <c:pt idx="22">
                  <c:v>Nov</c:v>
                </c:pt>
                <c:pt idx="23">
                  <c:v>Dec</c:v>
                </c:pt>
                <c:pt idx="24">
                  <c:v>Jan</c:v>
                </c:pt>
                <c:pt idx="25">
                  <c:v>Feb</c:v>
                </c:pt>
                <c:pt idx="26">
                  <c:v>Mar</c:v>
                </c:pt>
                <c:pt idx="27">
                  <c:v>Apr</c:v>
                </c:pt>
                <c:pt idx="28">
                  <c:v>May</c:v>
                </c:pt>
                <c:pt idx="29">
                  <c:v>Jun</c:v>
                </c:pt>
                <c:pt idx="30">
                  <c:v>Jul</c:v>
                </c:pt>
                <c:pt idx="31">
                  <c:v>Aug</c:v>
                </c:pt>
                <c:pt idx="32">
                  <c:v>Sep</c:v>
                </c:pt>
                <c:pt idx="33">
                  <c:v>Oct</c:v>
                </c:pt>
                <c:pt idx="34">
                  <c:v>Nov</c:v>
                </c:pt>
                <c:pt idx="35">
                  <c:v>Dec</c:v>
                </c:pt>
              </c:strCache>
            </c:strRef>
          </c:cat>
          <c:val>
            <c:numRef>
              <c:f>Graphs!$L$46:$L$81</c:f>
              <c:numCache>
                <c:formatCode>General</c:formatCode>
                <c:ptCount val="3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3</c:v>
                </c:pt>
                <c:pt idx="10">
                  <c:v>0</c:v>
                </c:pt>
                <c:pt idx="11">
                  <c:v>2</c:v>
                </c:pt>
                <c:pt idx="12">
                  <c:v>3</c:v>
                </c:pt>
                <c:pt idx="13">
                  <c:v>10</c:v>
                </c:pt>
                <c:pt idx="14">
                  <c:v>11</c:v>
                </c:pt>
                <c:pt idx="15">
                  <c:v>2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32</c:v>
                </c:pt>
                <c:pt idx="26">
                  <c:v>47</c:v>
                </c:pt>
                <c:pt idx="27">
                  <c:v>4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</c:numCache>
            </c:numRef>
          </c:val>
        </c:ser>
        <c:ser>
          <c:idx val="1"/>
          <c:order val="1"/>
          <c:tx>
            <c:v>A(H3N2)</c:v>
          </c:tx>
          <c:invertIfNegative val="0"/>
          <c:cat>
            <c:strRef>
              <c:f>Graphs!$A$46:$A$81</c:f>
              <c:strCache>
                <c:ptCount val="3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  <c:pt idx="13">
                  <c:v>Feb</c:v>
                </c:pt>
                <c:pt idx="14">
                  <c:v>Mar</c:v>
                </c:pt>
                <c:pt idx="15">
                  <c:v>Apr</c:v>
                </c:pt>
                <c:pt idx="16">
                  <c:v>May</c:v>
                </c:pt>
                <c:pt idx="17">
                  <c:v>Jun</c:v>
                </c:pt>
                <c:pt idx="18">
                  <c:v>Jul</c:v>
                </c:pt>
                <c:pt idx="19">
                  <c:v>Aug</c:v>
                </c:pt>
                <c:pt idx="20">
                  <c:v>Sep</c:v>
                </c:pt>
                <c:pt idx="21">
                  <c:v>Oct</c:v>
                </c:pt>
                <c:pt idx="22">
                  <c:v>Nov</c:v>
                </c:pt>
                <c:pt idx="23">
                  <c:v>Dec</c:v>
                </c:pt>
                <c:pt idx="24">
                  <c:v>Jan</c:v>
                </c:pt>
                <c:pt idx="25">
                  <c:v>Feb</c:v>
                </c:pt>
                <c:pt idx="26">
                  <c:v>Mar</c:v>
                </c:pt>
                <c:pt idx="27">
                  <c:v>Apr</c:v>
                </c:pt>
                <c:pt idx="28">
                  <c:v>May</c:v>
                </c:pt>
                <c:pt idx="29">
                  <c:v>Jun</c:v>
                </c:pt>
                <c:pt idx="30">
                  <c:v>Jul</c:v>
                </c:pt>
                <c:pt idx="31">
                  <c:v>Aug</c:v>
                </c:pt>
                <c:pt idx="32">
                  <c:v>Sep</c:v>
                </c:pt>
                <c:pt idx="33">
                  <c:v>Oct</c:v>
                </c:pt>
                <c:pt idx="34">
                  <c:v>Nov</c:v>
                </c:pt>
                <c:pt idx="35">
                  <c:v>Dec</c:v>
                </c:pt>
              </c:strCache>
            </c:strRef>
          </c:cat>
          <c:val>
            <c:numRef>
              <c:f>Graphs!$R$46:$R$81</c:f>
              <c:numCache>
                <c:formatCode>General</c:formatCode>
                <c:ptCount val="3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24</c:v>
                </c:pt>
                <c:pt idx="10">
                  <c:v>15</c:v>
                </c:pt>
                <c:pt idx="11">
                  <c:v>2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</c:v>
                </c:pt>
                <c:pt idx="25">
                  <c:v>5</c:v>
                </c:pt>
                <c:pt idx="26">
                  <c:v>2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4</c:v>
                </c:pt>
                <c:pt idx="32">
                  <c:v>28</c:v>
                </c:pt>
                <c:pt idx="33">
                  <c:v>15</c:v>
                </c:pt>
                <c:pt idx="34">
                  <c:v>1</c:v>
                </c:pt>
                <c:pt idx="35">
                  <c:v>0</c:v>
                </c:pt>
              </c:numCache>
            </c:numRef>
          </c:val>
        </c:ser>
        <c:ser>
          <c:idx val="2"/>
          <c:order val="2"/>
          <c:tx>
            <c:v>FluB</c:v>
          </c:tx>
          <c:invertIfNegative val="0"/>
          <c:cat>
            <c:strRef>
              <c:f>Graphs!$A$46:$A$81</c:f>
              <c:strCache>
                <c:ptCount val="3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  <c:pt idx="13">
                  <c:v>Feb</c:v>
                </c:pt>
                <c:pt idx="14">
                  <c:v>Mar</c:v>
                </c:pt>
                <c:pt idx="15">
                  <c:v>Apr</c:v>
                </c:pt>
                <c:pt idx="16">
                  <c:v>May</c:v>
                </c:pt>
                <c:pt idx="17">
                  <c:v>Jun</c:v>
                </c:pt>
                <c:pt idx="18">
                  <c:v>Jul</c:v>
                </c:pt>
                <c:pt idx="19">
                  <c:v>Aug</c:v>
                </c:pt>
                <c:pt idx="20">
                  <c:v>Sep</c:v>
                </c:pt>
                <c:pt idx="21">
                  <c:v>Oct</c:v>
                </c:pt>
                <c:pt idx="22">
                  <c:v>Nov</c:v>
                </c:pt>
                <c:pt idx="23">
                  <c:v>Dec</c:v>
                </c:pt>
                <c:pt idx="24">
                  <c:v>Jan</c:v>
                </c:pt>
                <c:pt idx="25">
                  <c:v>Feb</c:v>
                </c:pt>
                <c:pt idx="26">
                  <c:v>Mar</c:v>
                </c:pt>
                <c:pt idx="27">
                  <c:v>Apr</c:v>
                </c:pt>
                <c:pt idx="28">
                  <c:v>May</c:v>
                </c:pt>
                <c:pt idx="29">
                  <c:v>Jun</c:v>
                </c:pt>
                <c:pt idx="30">
                  <c:v>Jul</c:v>
                </c:pt>
                <c:pt idx="31">
                  <c:v>Aug</c:v>
                </c:pt>
                <c:pt idx="32">
                  <c:v>Sep</c:v>
                </c:pt>
                <c:pt idx="33">
                  <c:v>Oct</c:v>
                </c:pt>
                <c:pt idx="34">
                  <c:v>Nov</c:v>
                </c:pt>
                <c:pt idx="35">
                  <c:v>Dec</c:v>
                </c:pt>
              </c:strCache>
            </c:strRef>
          </c:cat>
          <c:val>
            <c:numRef>
              <c:f>Graphs!$U$46:$U$81</c:f>
              <c:numCache>
                <c:formatCode>General</c:formatCode>
                <c:ptCount val="3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  <c:pt idx="8">
                  <c:v>1</c:v>
                </c:pt>
                <c:pt idx="9">
                  <c:v>6</c:v>
                </c:pt>
                <c:pt idx="10">
                  <c:v>1</c:v>
                </c:pt>
                <c:pt idx="11">
                  <c:v>7</c:v>
                </c:pt>
                <c:pt idx="12">
                  <c:v>12</c:v>
                </c:pt>
                <c:pt idx="13">
                  <c:v>28</c:v>
                </c:pt>
                <c:pt idx="14">
                  <c:v>10</c:v>
                </c:pt>
                <c:pt idx="15">
                  <c:v>8</c:v>
                </c:pt>
                <c:pt idx="16">
                  <c:v>4</c:v>
                </c:pt>
                <c:pt idx="17">
                  <c:v>2</c:v>
                </c:pt>
                <c:pt idx="18">
                  <c:v>3</c:v>
                </c:pt>
                <c:pt idx="19">
                  <c:v>9</c:v>
                </c:pt>
                <c:pt idx="20">
                  <c:v>1</c:v>
                </c:pt>
                <c:pt idx="21">
                  <c:v>0</c:v>
                </c:pt>
                <c:pt idx="22">
                  <c:v>1</c:v>
                </c:pt>
                <c:pt idx="23">
                  <c:v>0</c:v>
                </c:pt>
                <c:pt idx="24">
                  <c:v>0</c:v>
                </c:pt>
                <c:pt idx="25">
                  <c:v>4</c:v>
                </c:pt>
                <c:pt idx="26">
                  <c:v>14</c:v>
                </c:pt>
                <c:pt idx="27">
                  <c:v>1</c:v>
                </c:pt>
                <c:pt idx="28">
                  <c:v>1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2</c:v>
                </c:pt>
                <c:pt idx="3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240367104"/>
        <c:axId val="240369024"/>
      </c:barChart>
      <c:lineChart>
        <c:grouping val="standard"/>
        <c:varyColors val="0"/>
        <c:ser>
          <c:idx val="3"/>
          <c:order val="3"/>
          <c:tx>
            <c:v>Percent influenza positive</c:v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val>
            <c:numRef>
              <c:f>Graphs!$AD$46:$AD$81</c:f>
              <c:numCache>
                <c:formatCode>General</c:formatCode>
                <c:ptCount val="3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0.9</c:v>
                </c:pt>
                <c:pt idx="7">
                  <c:v>0</c:v>
                </c:pt>
                <c:pt idx="8">
                  <c:v>3.8</c:v>
                </c:pt>
                <c:pt idx="9">
                  <c:v>8.5</c:v>
                </c:pt>
                <c:pt idx="10">
                  <c:v>4.9000000000000004</c:v>
                </c:pt>
                <c:pt idx="11">
                  <c:v>3.2</c:v>
                </c:pt>
                <c:pt idx="12">
                  <c:v>5.4</c:v>
                </c:pt>
                <c:pt idx="13">
                  <c:v>13.4</c:v>
                </c:pt>
                <c:pt idx="14">
                  <c:v>7.1</c:v>
                </c:pt>
                <c:pt idx="15">
                  <c:v>3.7</c:v>
                </c:pt>
                <c:pt idx="16">
                  <c:v>1.6</c:v>
                </c:pt>
                <c:pt idx="17">
                  <c:v>1</c:v>
                </c:pt>
                <c:pt idx="18">
                  <c:v>2.2000000000000002</c:v>
                </c:pt>
                <c:pt idx="19">
                  <c:v>10.8</c:v>
                </c:pt>
                <c:pt idx="20">
                  <c:v>8.3000000000000007</c:v>
                </c:pt>
                <c:pt idx="21">
                  <c:v>0</c:v>
                </c:pt>
                <c:pt idx="22">
                  <c:v>0.6</c:v>
                </c:pt>
                <c:pt idx="23">
                  <c:v>0</c:v>
                </c:pt>
                <c:pt idx="24">
                  <c:v>0.3</c:v>
                </c:pt>
                <c:pt idx="25">
                  <c:v>9.4</c:v>
                </c:pt>
                <c:pt idx="26">
                  <c:v>13.5</c:v>
                </c:pt>
                <c:pt idx="27">
                  <c:v>2.2000000000000002</c:v>
                </c:pt>
                <c:pt idx="28">
                  <c:v>0.4</c:v>
                </c:pt>
                <c:pt idx="29">
                  <c:v>0</c:v>
                </c:pt>
                <c:pt idx="30">
                  <c:v>0</c:v>
                </c:pt>
                <c:pt idx="31">
                  <c:v>1.4</c:v>
                </c:pt>
                <c:pt idx="32">
                  <c:v>14.4</c:v>
                </c:pt>
                <c:pt idx="33">
                  <c:v>6.2</c:v>
                </c:pt>
                <c:pt idx="34">
                  <c:v>0.9</c:v>
                </c:pt>
                <c:pt idx="35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422272"/>
        <c:axId val="240420352"/>
      </c:lineChart>
      <c:catAx>
        <c:axId val="2403671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2010                                                    2011                                                        2012 </a:t>
                </a:r>
              </a:p>
            </c:rich>
          </c:tx>
          <c:layout>
            <c:manualLayout>
              <c:xMode val="edge"/>
              <c:yMode val="edge"/>
              <c:x val="0.13664877877526457"/>
              <c:y val="0.8581227053363197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40369024"/>
        <c:crosses val="autoZero"/>
        <c:auto val="1"/>
        <c:lblAlgn val="ctr"/>
        <c:lblOffset val="100"/>
        <c:noMultiLvlLbl val="0"/>
      </c:catAx>
      <c:valAx>
        <c:axId val="240369024"/>
        <c:scaling>
          <c:orientation val="minMax"/>
          <c:max val="18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baseline="0"/>
                  <a:t>Number of samples tested </a:t>
                </a:r>
                <a:endParaRPr lang="en-US" sz="1000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40367104"/>
        <c:crosses val="autoZero"/>
        <c:crossBetween val="between"/>
      </c:valAx>
      <c:valAx>
        <c:axId val="24042035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1" i="0" baseline="0">
                    <a:effectLst/>
                  </a:rPr>
                  <a:t>Percent influenza positive</a:t>
                </a:r>
                <a:endParaRPr lang="en-US" sz="1000">
                  <a:effectLst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40422272"/>
        <c:crosses val="max"/>
        <c:crossBetween val="between"/>
      </c:valAx>
      <c:catAx>
        <c:axId val="240422272"/>
        <c:scaling>
          <c:orientation val="minMax"/>
        </c:scaling>
        <c:delete val="1"/>
        <c:axPos val="b"/>
        <c:majorTickMark val="out"/>
        <c:minorTickMark val="none"/>
        <c:tickLblPos val="nextTo"/>
        <c:crossAx val="24042035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14281886216925588"/>
          <c:y val="0.90640342523556239"/>
          <c:w val="0.7166370764164034"/>
          <c:h val="7.0705428683584648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Ndahwouh Talla Nzussouo</dc:creator>
  <cp:lastModifiedBy>Ndahwouh Talla Nzussouo</cp:lastModifiedBy>
  <cp:revision>2</cp:revision>
  <dcterms:created xsi:type="dcterms:W3CDTF">2017-08-16T21:54:00Z</dcterms:created>
  <dcterms:modified xsi:type="dcterms:W3CDTF">2017-08-16T21:54:00Z</dcterms:modified>
</cp:coreProperties>
</file>