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0" w:rsidRPr="00044040" w:rsidRDefault="00044040" w:rsidP="00044040">
      <w:pPr>
        <w:rPr>
          <w:b/>
          <w:lang w:val="en-GB"/>
        </w:rPr>
      </w:pPr>
    </w:p>
    <w:p w:rsidR="00044040" w:rsidRPr="00044040" w:rsidRDefault="0064687E" w:rsidP="00044040">
      <w:pPr>
        <w:rPr>
          <w:b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B7C407" wp14:editId="7DE81309">
            <wp:extent cx="5943600" cy="3100182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44040" w:rsidRPr="000440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B4" w:rsidRDefault="002E6EB4">
      <w:pPr>
        <w:spacing w:after="0" w:line="240" w:lineRule="auto"/>
      </w:pPr>
      <w:r>
        <w:separator/>
      </w:r>
    </w:p>
  </w:endnote>
  <w:endnote w:type="continuationSeparator" w:id="0">
    <w:p w:rsidR="002E6EB4" w:rsidRDefault="002E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D" w:rsidRDefault="002E6EB4">
    <w:pPr>
      <w:pStyle w:val="Footer"/>
      <w:jc w:val="right"/>
    </w:pPr>
  </w:p>
  <w:p w:rsidR="00B21DED" w:rsidRDefault="002E6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B4" w:rsidRDefault="002E6EB4">
      <w:pPr>
        <w:spacing w:after="0" w:line="240" w:lineRule="auto"/>
      </w:pPr>
      <w:r>
        <w:separator/>
      </w:r>
    </w:p>
  </w:footnote>
  <w:footnote w:type="continuationSeparator" w:id="0">
    <w:p w:rsidR="002E6EB4" w:rsidRDefault="002E6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0"/>
    <w:rsid w:val="00044040"/>
    <w:rsid w:val="002E6EB4"/>
    <w:rsid w:val="0064687E"/>
    <w:rsid w:val="00A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40"/>
  </w:style>
  <w:style w:type="paragraph" w:styleId="BalloonText">
    <w:name w:val="Balloon Text"/>
    <w:basedOn w:val="Normal"/>
    <w:link w:val="BalloonTextChar"/>
    <w:uiPriority w:val="99"/>
    <w:semiHidden/>
    <w:unhideWhenUsed/>
    <w:rsid w:val="0004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40"/>
  </w:style>
  <w:style w:type="paragraph" w:styleId="BalloonText">
    <w:name w:val="Balloon Text"/>
    <w:basedOn w:val="Normal"/>
    <w:link w:val="BalloonTextChar"/>
    <w:uiPriority w:val="99"/>
    <w:semiHidden/>
    <w:unhideWhenUsed/>
    <w:rsid w:val="0004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000" b="1" i="0" u="none" strike="noStrike" baseline="0"/>
              <a:t>Cote d'Ivoire (N=3,405, ILI=3206, SARI=199)</a:t>
            </a:r>
            <a:endParaRPr lang="en-US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325478374477046"/>
          <c:y val="0.1118969073819901"/>
          <c:w val="0.79367563979125721"/>
          <c:h val="0.59939624470018182"/>
        </c:manualLayout>
      </c:layout>
      <c:barChart>
        <c:barDir val="col"/>
        <c:grouping val="stacked"/>
        <c:varyColors val="0"/>
        <c:ser>
          <c:idx val="0"/>
          <c:order val="0"/>
          <c:tx>
            <c:v>A(H1N1)</c:v>
          </c:tx>
          <c:invertIfNegative val="0"/>
          <c:cat>
            <c:strRef>
              <c:f>Graphs!$A$4:$A$39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Graphs!$L$4:$L$39</c:f>
              <c:numCache>
                <c:formatCode>General</c:formatCode>
                <c:ptCount val="36"/>
                <c:pt idx="0">
                  <c:v>1</c:v>
                </c:pt>
                <c:pt idx="1">
                  <c:v>5</c:v>
                </c:pt>
                <c:pt idx="2">
                  <c:v>22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12</c:v>
                </c:pt>
                <c:pt idx="10">
                  <c:v>2</c:v>
                </c:pt>
                <c:pt idx="11">
                  <c:v>0</c:v>
                </c:pt>
                <c:pt idx="12">
                  <c:v>12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45</c:v>
                </c:pt>
                <c:pt idx="18">
                  <c:v>48</c:v>
                </c:pt>
                <c:pt idx="19">
                  <c:v>7</c:v>
                </c:pt>
                <c:pt idx="20">
                  <c:v>5</c:v>
                </c:pt>
                <c:pt idx="21">
                  <c:v>21</c:v>
                </c:pt>
                <c:pt idx="22">
                  <c:v>25</c:v>
                </c:pt>
                <c:pt idx="23">
                  <c:v>40</c:v>
                </c:pt>
                <c:pt idx="24">
                  <c:v>9</c:v>
                </c:pt>
                <c:pt idx="25">
                  <c:v>32</c:v>
                </c:pt>
                <c:pt idx="26">
                  <c:v>31</c:v>
                </c:pt>
                <c:pt idx="27">
                  <c:v>0</c:v>
                </c:pt>
                <c:pt idx="28">
                  <c:v>3</c:v>
                </c:pt>
                <c:pt idx="29">
                  <c:v>3</c:v>
                </c:pt>
                <c:pt idx="30">
                  <c:v>19</c:v>
                </c:pt>
                <c:pt idx="31">
                  <c:v>3</c:v>
                </c:pt>
                <c:pt idx="32">
                  <c:v>0</c:v>
                </c:pt>
                <c:pt idx="33">
                  <c:v>5</c:v>
                </c:pt>
                <c:pt idx="34">
                  <c:v>5</c:v>
                </c:pt>
                <c:pt idx="35">
                  <c:v>3</c:v>
                </c:pt>
              </c:numCache>
            </c:numRef>
          </c:val>
        </c:ser>
        <c:ser>
          <c:idx val="1"/>
          <c:order val="1"/>
          <c:tx>
            <c:v>A(H3N2)</c:v>
          </c:tx>
          <c:invertIfNegative val="0"/>
          <c:cat>
            <c:strRef>
              <c:f>Graphs!$A$4:$A$39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Graphs!$R$4:$R$39</c:f>
              <c:numCache>
                <c:formatCode>General</c:formatCode>
                <c:ptCount val="36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14</c:v>
                </c:pt>
                <c:pt idx="10">
                  <c:v>25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11</c:v>
                </c:pt>
                <c:pt idx="20">
                  <c:v>22</c:v>
                </c:pt>
                <c:pt idx="21">
                  <c:v>8</c:v>
                </c:pt>
                <c:pt idx="22">
                  <c:v>9</c:v>
                </c:pt>
                <c:pt idx="23">
                  <c:v>6</c:v>
                </c:pt>
                <c:pt idx="24">
                  <c:v>5</c:v>
                </c:pt>
                <c:pt idx="25">
                  <c:v>1</c:v>
                </c:pt>
                <c:pt idx="26">
                  <c:v>1</c:v>
                </c:pt>
                <c:pt idx="27">
                  <c:v>5</c:v>
                </c:pt>
                <c:pt idx="28">
                  <c:v>19</c:v>
                </c:pt>
                <c:pt idx="29">
                  <c:v>11</c:v>
                </c:pt>
                <c:pt idx="30">
                  <c:v>10</c:v>
                </c:pt>
                <c:pt idx="31">
                  <c:v>3</c:v>
                </c:pt>
                <c:pt idx="32">
                  <c:v>0</c:v>
                </c:pt>
                <c:pt idx="33">
                  <c:v>15</c:v>
                </c:pt>
                <c:pt idx="34">
                  <c:v>11</c:v>
                </c:pt>
                <c:pt idx="35">
                  <c:v>2</c:v>
                </c:pt>
              </c:numCache>
            </c:numRef>
          </c:val>
        </c:ser>
        <c:ser>
          <c:idx val="2"/>
          <c:order val="2"/>
          <c:tx>
            <c:v>B</c:v>
          </c:tx>
          <c:invertIfNegative val="0"/>
          <c:cat>
            <c:strRef>
              <c:f>Graphs!$A$4:$A$39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Graphs!$U$4:$U$39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14</c:v>
                </c:pt>
                <c:pt idx="6">
                  <c:v>2</c:v>
                </c:pt>
                <c:pt idx="7">
                  <c:v>5</c:v>
                </c:pt>
                <c:pt idx="8">
                  <c:v>1</c:v>
                </c:pt>
                <c:pt idx="9">
                  <c:v>30</c:v>
                </c:pt>
                <c:pt idx="10">
                  <c:v>10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18</c:v>
                </c:pt>
                <c:pt idx="19">
                  <c:v>46</c:v>
                </c:pt>
                <c:pt idx="20">
                  <c:v>129</c:v>
                </c:pt>
                <c:pt idx="21">
                  <c:v>74</c:v>
                </c:pt>
                <c:pt idx="22">
                  <c:v>17</c:v>
                </c:pt>
                <c:pt idx="23">
                  <c:v>23</c:v>
                </c:pt>
                <c:pt idx="24">
                  <c:v>4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2</c:v>
                </c:pt>
                <c:pt idx="33">
                  <c:v>4</c:v>
                </c:pt>
                <c:pt idx="34">
                  <c:v>7</c:v>
                </c:pt>
                <c:pt idx="3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26286592"/>
        <c:axId val="226292864"/>
      </c:barChart>
      <c:lineChart>
        <c:grouping val="standard"/>
        <c:varyColors val="0"/>
        <c:ser>
          <c:idx val="3"/>
          <c:order val="3"/>
          <c:tx>
            <c:v>Percent influenza positive</c:v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Graphs!$A$4:$A$39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Graphs!$AD$4:$AD$39</c:f>
              <c:numCache>
                <c:formatCode>General</c:formatCode>
                <c:ptCount val="36"/>
                <c:pt idx="0">
                  <c:v>12</c:v>
                </c:pt>
                <c:pt idx="1">
                  <c:v>14</c:v>
                </c:pt>
                <c:pt idx="2">
                  <c:v>34.799999999999997</c:v>
                </c:pt>
                <c:pt idx="3">
                  <c:v>4.2</c:v>
                </c:pt>
                <c:pt idx="4">
                  <c:v>5.3</c:v>
                </c:pt>
                <c:pt idx="5">
                  <c:v>13.6</c:v>
                </c:pt>
                <c:pt idx="6">
                  <c:v>2.8</c:v>
                </c:pt>
                <c:pt idx="7">
                  <c:v>11.6</c:v>
                </c:pt>
                <c:pt idx="8">
                  <c:v>1.4</c:v>
                </c:pt>
                <c:pt idx="9">
                  <c:v>36.6</c:v>
                </c:pt>
                <c:pt idx="10">
                  <c:v>71.2</c:v>
                </c:pt>
                <c:pt idx="11">
                  <c:v>8.3000000000000007</c:v>
                </c:pt>
                <c:pt idx="12">
                  <c:v>32.4</c:v>
                </c:pt>
                <c:pt idx="13">
                  <c:v>7.7</c:v>
                </c:pt>
                <c:pt idx="14">
                  <c:v>0</c:v>
                </c:pt>
                <c:pt idx="15">
                  <c:v>0</c:v>
                </c:pt>
                <c:pt idx="16">
                  <c:v>6.1</c:v>
                </c:pt>
                <c:pt idx="17">
                  <c:v>38.1</c:v>
                </c:pt>
                <c:pt idx="18">
                  <c:v>52.3</c:v>
                </c:pt>
                <c:pt idx="19">
                  <c:v>71.900000000000006</c:v>
                </c:pt>
                <c:pt idx="20">
                  <c:v>81.7</c:v>
                </c:pt>
                <c:pt idx="21">
                  <c:v>74.099999999999994</c:v>
                </c:pt>
                <c:pt idx="22">
                  <c:v>54.3</c:v>
                </c:pt>
                <c:pt idx="23">
                  <c:v>50.4</c:v>
                </c:pt>
                <c:pt idx="24">
                  <c:v>15</c:v>
                </c:pt>
                <c:pt idx="25">
                  <c:v>34.700000000000003</c:v>
                </c:pt>
                <c:pt idx="26">
                  <c:v>28.1</c:v>
                </c:pt>
                <c:pt idx="27">
                  <c:v>5</c:v>
                </c:pt>
                <c:pt idx="28">
                  <c:v>20</c:v>
                </c:pt>
                <c:pt idx="29">
                  <c:v>11</c:v>
                </c:pt>
                <c:pt idx="30">
                  <c:v>17.8</c:v>
                </c:pt>
                <c:pt idx="31">
                  <c:v>5.5</c:v>
                </c:pt>
                <c:pt idx="32">
                  <c:v>2.2999999999999998</c:v>
                </c:pt>
                <c:pt idx="33">
                  <c:v>13.3</c:v>
                </c:pt>
                <c:pt idx="34">
                  <c:v>15.2</c:v>
                </c:pt>
                <c:pt idx="35">
                  <c:v>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294784"/>
        <c:axId val="226317056"/>
      </c:lineChart>
      <c:catAx>
        <c:axId val="226286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2010                                          2011                                                 2012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6292864"/>
        <c:crosses val="autoZero"/>
        <c:auto val="1"/>
        <c:lblAlgn val="ctr"/>
        <c:lblOffset val="100"/>
        <c:noMultiLvlLbl val="0"/>
      </c:catAx>
      <c:valAx>
        <c:axId val="2262928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baseline="0">
                    <a:effectLst/>
                  </a:rPr>
                  <a:t>Number of samples tested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6286592"/>
        <c:crosses val="autoZero"/>
        <c:crossBetween val="between"/>
      </c:valAx>
      <c:catAx>
        <c:axId val="226294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6317056"/>
        <c:crosses val="autoZero"/>
        <c:auto val="1"/>
        <c:lblAlgn val="ctr"/>
        <c:lblOffset val="100"/>
        <c:noMultiLvlLbl val="0"/>
      </c:catAx>
      <c:valAx>
        <c:axId val="226317056"/>
        <c:scaling>
          <c:orientation val="minMax"/>
          <c:max val="10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>
                    <a:effectLst/>
                  </a:rPr>
                  <a:t>Percent influenza positive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6294784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088908565144217"/>
          <c:y val="0.87842907328891584"/>
          <c:w val="0.73822165301626452"/>
          <c:h val="7.4049604364564994E-2"/>
        </c:manualLayout>
      </c:layout>
      <c:overlay val="0"/>
    </c:legend>
    <c:plotVisOnly val="1"/>
    <c:dispBlanksAs val="gap"/>
    <c:showDLblsOverMax val="0"/>
  </c:chart>
  <c:spPr>
    <a:ln>
      <a:round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Ndahwouh Talla Nzussouo</dc:creator>
  <cp:lastModifiedBy>Ndahwouh Talla Nzussouo</cp:lastModifiedBy>
  <cp:revision>2</cp:revision>
  <dcterms:created xsi:type="dcterms:W3CDTF">2017-08-16T21:52:00Z</dcterms:created>
  <dcterms:modified xsi:type="dcterms:W3CDTF">2017-08-16T21:52:00Z</dcterms:modified>
</cp:coreProperties>
</file>