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62" w:rsidRPr="00DD1E62" w:rsidRDefault="00C47262" w:rsidP="00C47262">
      <w:pPr>
        <w:spacing w:line="360" w:lineRule="auto"/>
        <w:rPr>
          <w:rFonts w:ascii="Cambria" w:hAnsi="Cambria"/>
          <w:b/>
          <w:color w:val="1F4E79" w:themeColor="accent1" w:themeShade="80"/>
        </w:rPr>
      </w:pPr>
      <w:r w:rsidRPr="00DD1E62">
        <w:rPr>
          <w:rFonts w:ascii="Cambria" w:hAnsi="Cambria"/>
          <w:b/>
          <w:color w:val="1F4E79" w:themeColor="accent1" w:themeShade="80"/>
        </w:rPr>
        <w:t>Mortality Associated with Seasonal and Pandemic Influenza among Pregnant and Non-Pregnant Women of Childbearing Age in a High HIV Prevalence Setting – South Africa, 1999-2009 (Supplementary Material)</w:t>
      </w:r>
    </w:p>
    <w:p w:rsidR="00C47262" w:rsidRPr="00DD1E62" w:rsidRDefault="00C47262" w:rsidP="00C47262">
      <w:pPr>
        <w:spacing w:line="360" w:lineRule="auto"/>
        <w:rPr>
          <w:rFonts w:ascii="Cambria" w:hAnsi="Cambria"/>
          <w:color w:val="1F4E79" w:themeColor="accent1" w:themeShade="80"/>
        </w:rPr>
      </w:pPr>
    </w:p>
    <w:p w:rsidR="00C47262" w:rsidRPr="00DD1E62" w:rsidRDefault="00C47262" w:rsidP="00C47262">
      <w:pPr>
        <w:spacing w:line="360" w:lineRule="auto"/>
        <w:jc w:val="both"/>
        <w:rPr>
          <w:rFonts w:ascii="Cambria" w:hAnsi="Cambria"/>
          <w:b/>
          <w:color w:val="1F4E79" w:themeColor="accent1" w:themeShade="80"/>
          <w:sz w:val="20"/>
          <w:szCs w:val="20"/>
        </w:rPr>
      </w:pPr>
      <w:r w:rsidRPr="00DD1E62">
        <w:rPr>
          <w:rFonts w:ascii="Cambria" w:hAnsi="Cambria"/>
          <w:b/>
          <w:color w:val="1F4E79" w:themeColor="accent1" w:themeShade="80"/>
          <w:sz w:val="20"/>
          <w:szCs w:val="20"/>
        </w:rPr>
        <w:t>Authors</w:t>
      </w:r>
    </w:p>
    <w:p w:rsidR="00C47262" w:rsidRPr="00DD1E62" w:rsidRDefault="00C47262" w:rsidP="00C47262">
      <w:pPr>
        <w:spacing w:line="360" w:lineRule="auto"/>
        <w:jc w:val="both"/>
        <w:rPr>
          <w:rFonts w:ascii="Cambria" w:hAnsi="Cambria"/>
          <w:sz w:val="20"/>
          <w:szCs w:val="20"/>
        </w:rPr>
      </w:pPr>
    </w:p>
    <w:p w:rsidR="00C47262" w:rsidRPr="00DD1E62" w:rsidRDefault="00C47262" w:rsidP="00C47262">
      <w:pPr>
        <w:spacing w:line="360" w:lineRule="auto"/>
        <w:jc w:val="both"/>
        <w:rPr>
          <w:rFonts w:ascii="Cambria" w:hAnsi="Cambria"/>
          <w:sz w:val="20"/>
          <w:szCs w:val="20"/>
        </w:rPr>
      </w:pPr>
      <w:r w:rsidRPr="00DD1E62">
        <w:rPr>
          <w:rFonts w:ascii="Cambria" w:hAnsi="Cambria"/>
          <w:sz w:val="20"/>
          <w:szCs w:val="20"/>
        </w:rPr>
        <w:t>Stefano Tempia (PhD)</w:t>
      </w:r>
      <w:r w:rsidRPr="00DD1E62">
        <w:rPr>
          <w:rFonts w:ascii="Cambria" w:hAnsi="Cambria"/>
          <w:sz w:val="20"/>
          <w:szCs w:val="20"/>
          <w:vertAlign w:val="superscript"/>
        </w:rPr>
        <w:t>1,2,3</w:t>
      </w:r>
      <w:r w:rsidRPr="00DD1E62">
        <w:rPr>
          <w:rFonts w:ascii="Cambria" w:hAnsi="Cambria"/>
          <w:sz w:val="20"/>
          <w:szCs w:val="20"/>
        </w:rPr>
        <w:t>, Sibongile Walaza (MPH)</w:t>
      </w:r>
      <w:r w:rsidRPr="00DD1E62">
        <w:rPr>
          <w:rFonts w:ascii="Cambria" w:hAnsi="Cambria"/>
          <w:sz w:val="20"/>
          <w:szCs w:val="20"/>
          <w:vertAlign w:val="superscript"/>
        </w:rPr>
        <w:t>3</w:t>
      </w:r>
      <w:r w:rsidR="004C0AAD" w:rsidRPr="00DD1E62">
        <w:rPr>
          <w:rFonts w:ascii="Cambria" w:hAnsi="Cambria"/>
          <w:sz w:val="20"/>
          <w:szCs w:val="20"/>
          <w:vertAlign w:val="superscript"/>
        </w:rPr>
        <w:t>,4</w:t>
      </w:r>
      <w:r w:rsidRPr="00DD1E62">
        <w:rPr>
          <w:rFonts w:ascii="Cambria" w:hAnsi="Cambria"/>
          <w:sz w:val="20"/>
          <w:szCs w:val="20"/>
        </w:rPr>
        <w:t>, Adam L. Cohen (MPH)</w:t>
      </w:r>
      <w:r w:rsidRPr="00DD1E62">
        <w:rPr>
          <w:rFonts w:ascii="Cambria" w:hAnsi="Cambria"/>
          <w:sz w:val="20"/>
          <w:szCs w:val="20"/>
          <w:vertAlign w:val="superscript"/>
        </w:rPr>
        <w:t>1,2</w:t>
      </w:r>
      <w:r w:rsidRPr="00DD1E62">
        <w:rPr>
          <w:rFonts w:ascii="Cambria" w:hAnsi="Cambria"/>
          <w:sz w:val="20"/>
          <w:szCs w:val="20"/>
        </w:rPr>
        <w:t>, Claire von Mollendorf (MPH)</w:t>
      </w:r>
      <w:r w:rsidRPr="00DD1E62">
        <w:rPr>
          <w:rFonts w:ascii="Cambria" w:hAnsi="Cambria"/>
          <w:sz w:val="20"/>
          <w:szCs w:val="20"/>
          <w:vertAlign w:val="superscript"/>
        </w:rPr>
        <w:t>3</w:t>
      </w:r>
      <w:r w:rsidR="004C0AAD" w:rsidRPr="00DD1E62">
        <w:rPr>
          <w:rFonts w:ascii="Cambria" w:hAnsi="Cambria"/>
          <w:sz w:val="20"/>
          <w:szCs w:val="20"/>
          <w:vertAlign w:val="superscript"/>
        </w:rPr>
        <w:t>,4</w:t>
      </w:r>
      <w:r w:rsidRPr="00DD1E62">
        <w:rPr>
          <w:rFonts w:ascii="Cambria" w:hAnsi="Cambria"/>
          <w:sz w:val="20"/>
          <w:szCs w:val="20"/>
        </w:rPr>
        <w:t>, Jocelyn Moyes (MPH)</w:t>
      </w:r>
      <w:r w:rsidRPr="00DD1E62">
        <w:rPr>
          <w:rFonts w:ascii="Cambria" w:hAnsi="Cambria"/>
          <w:sz w:val="20"/>
          <w:szCs w:val="20"/>
          <w:vertAlign w:val="superscript"/>
        </w:rPr>
        <w:t>3,4</w:t>
      </w:r>
      <w:r w:rsidRPr="00DD1E62">
        <w:rPr>
          <w:rFonts w:ascii="Cambria" w:hAnsi="Cambria"/>
          <w:sz w:val="20"/>
          <w:szCs w:val="20"/>
        </w:rPr>
        <w:t>,  Johanna M. McAnerney (MPH)</w:t>
      </w:r>
      <w:r w:rsidRPr="00DD1E62">
        <w:rPr>
          <w:rFonts w:ascii="Cambria" w:hAnsi="Cambria"/>
          <w:sz w:val="20"/>
          <w:szCs w:val="20"/>
          <w:vertAlign w:val="superscript"/>
        </w:rPr>
        <w:t>3</w:t>
      </w:r>
      <w:r w:rsidRPr="00DD1E62">
        <w:rPr>
          <w:rFonts w:ascii="Cambria" w:hAnsi="Cambria"/>
          <w:sz w:val="20"/>
          <w:szCs w:val="20"/>
        </w:rPr>
        <w:t>, Cheryl Cohen (MPH)</w:t>
      </w:r>
      <w:r w:rsidRPr="00DD1E62">
        <w:rPr>
          <w:rFonts w:ascii="Cambria" w:hAnsi="Cambria"/>
          <w:sz w:val="20"/>
          <w:szCs w:val="20"/>
          <w:vertAlign w:val="superscript"/>
        </w:rPr>
        <w:t>3,4</w:t>
      </w:r>
    </w:p>
    <w:p w:rsidR="00C47262" w:rsidRPr="00DD1E62" w:rsidRDefault="00C47262" w:rsidP="00C47262">
      <w:pPr>
        <w:spacing w:line="360" w:lineRule="auto"/>
        <w:jc w:val="both"/>
        <w:rPr>
          <w:rFonts w:ascii="Cambria" w:hAnsi="Cambria"/>
          <w:color w:val="1F4E79" w:themeColor="accent1" w:themeShade="80"/>
          <w:sz w:val="20"/>
          <w:szCs w:val="20"/>
        </w:rPr>
      </w:pPr>
    </w:p>
    <w:p w:rsidR="00C47262" w:rsidRPr="00DD1E62" w:rsidRDefault="00C47262" w:rsidP="00C47262">
      <w:pPr>
        <w:spacing w:line="360" w:lineRule="auto"/>
        <w:jc w:val="both"/>
        <w:rPr>
          <w:rFonts w:ascii="Cambria" w:hAnsi="Cambria"/>
          <w:b/>
          <w:color w:val="1F4E79" w:themeColor="accent1" w:themeShade="80"/>
          <w:sz w:val="20"/>
          <w:szCs w:val="20"/>
        </w:rPr>
      </w:pPr>
      <w:r w:rsidRPr="00DD1E62">
        <w:rPr>
          <w:rFonts w:ascii="Cambria" w:hAnsi="Cambria"/>
          <w:b/>
          <w:color w:val="1F4E79" w:themeColor="accent1" w:themeShade="80"/>
          <w:sz w:val="20"/>
          <w:szCs w:val="20"/>
        </w:rPr>
        <w:t>Affiliations</w:t>
      </w:r>
    </w:p>
    <w:p w:rsidR="00C47262" w:rsidRPr="00DD1E62" w:rsidRDefault="00C47262" w:rsidP="00C47262">
      <w:pPr>
        <w:spacing w:line="360" w:lineRule="auto"/>
        <w:ind w:firstLine="720"/>
        <w:jc w:val="both"/>
        <w:rPr>
          <w:rFonts w:ascii="Cambria" w:hAnsi="Cambria"/>
          <w:sz w:val="20"/>
          <w:szCs w:val="20"/>
        </w:rPr>
      </w:pPr>
    </w:p>
    <w:p w:rsidR="00C47262" w:rsidRPr="00DD1E62" w:rsidRDefault="00C47262" w:rsidP="00C47262">
      <w:pPr>
        <w:spacing w:line="360" w:lineRule="auto"/>
        <w:jc w:val="both"/>
        <w:rPr>
          <w:rFonts w:ascii="Cambria" w:hAnsi="Cambria"/>
          <w:sz w:val="20"/>
          <w:szCs w:val="20"/>
        </w:rPr>
      </w:pPr>
      <w:r w:rsidRPr="00DD1E62">
        <w:rPr>
          <w:rFonts w:ascii="Cambria" w:hAnsi="Cambria"/>
          <w:sz w:val="20"/>
          <w:szCs w:val="20"/>
          <w:vertAlign w:val="superscript"/>
        </w:rPr>
        <w:t>1</w:t>
      </w:r>
      <w:r w:rsidRPr="00DD1E62">
        <w:rPr>
          <w:rFonts w:ascii="Cambria" w:hAnsi="Cambria"/>
          <w:sz w:val="20"/>
          <w:szCs w:val="20"/>
        </w:rPr>
        <w:t xml:space="preserve">Influenza Division, Centers for Disease Control and Prevention, </w:t>
      </w:r>
      <w:smartTag w:uri="urn:schemas-microsoft-com:office:smarttags" w:element="City">
        <w:r w:rsidRPr="00DD1E62">
          <w:rPr>
            <w:rFonts w:ascii="Cambria" w:hAnsi="Cambria"/>
            <w:sz w:val="20"/>
            <w:szCs w:val="20"/>
          </w:rPr>
          <w:t>Atlanta</w:t>
        </w:r>
      </w:smartTag>
      <w:r w:rsidRPr="00DD1E62">
        <w:rPr>
          <w:rFonts w:ascii="Cambria" w:hAnsi="Cambria"/>
          <w:sz w:val="20"/>
          <w:szCs w:val="20"/>
        </w:rPr>
        <w:t xml:space="preserve">, </w:t>
      </w:r>
      <w:smartTag w:uri="urn:schemas-microsoft-com:office:smarttags" w:element="country-region">
        <w:r w:rsidRPr="00DD1E62">
          <w:rPr>
            <w:rFonts w:ascii="Cambria" w:hAnsi="Cambria"/>
            <w:sz w:val="20"/>
            <w:szCs w:val="20"/>
          </w:rPr>
          <w:t>Georgia</w:t>
        </w:r>
      </w:smartTag>
      <w:r w:rsidRPr="00DD1E62">
        <w:rPr>
          <w:rFonts w:ascii="Cambria" w:hAnsi="Cambria"/>
          <w:sz w:val="20"/>
          <w:szCs w:val="20"/>
        </w:rPr>
        <w:t xml:space="preserve">, </w:t>
      </w:r>
      <w:smartTag w:uri="urn:schemas-microsoft-com:office:smarttags" w:element="place">
        <w:smartTag w:uri="urn:schemas-microsoft-com:office:smarttags" w:element="country-region">
          <w:r w:rsidRPr="00DD1E62">
            <w:rPr>
              <w:rFonts w:ascii="Cambria" w:hAnsi="Cambria"/>
              <w:sz w:val="20"/>
              <w:szCs w:val="20"/>
            </w:rPr>
            <w:t>United States of America</w:t>
          </w:r>
        </w:smartTag>
      </w:smartTag>
    </w:p>
    <w:p w:rsidR="00C47262" w:rsidRPr="00DD1E62" w:rsidRDefault="00C47262" w:rsidP="00C47262">
      <w:pPr>
        <w:spacing w:line="360" w:lineRule="auto"/>
        <w:jc w:val="both"/>
        <w:rPr>
          <w:rFonts w:ascii="Cambria" w:hAnsi="Cambria"/>
          <w:sz w:val="20"/>
          <w:szCs w:val="20"/>
        </w:rPr>
      </w:pPr>
      <w:r w:rsidRPr="00DD1E62">
        <w:rPr>
          <w:rFonts w:ascii="Cambria" w:hAnsi="Cambria"/>
          <w:sz w:val="20"/>
          <w:szCs w:val="20"/>
          <w:vertAlign w:val="superscript"/>
        </w:rPr>
        <w:t>2</w:t>
      </w:r>
      <w:r w:rsidRPr="00DD1E62">
        <w:rPr>
          <w:rFonts w:ascii="Cambria" w:hAnsi="Cambria"/>
          <w:sz w:val="20"/>
          <w:szCs w:val="20"/>
        </w:rPr>
        <w:t>Influenza Program, Centers for Disease Control and Prevention, Pretoria, South Africa</w:t>
      </w:r>
    </w:p>
    <w:p w:rsidR="00C47262" w:rsidRPr="00DD1E62" w:rsidRDefault="00C47262" w:rsidP="00C47262">
      <w:pPr>
        <w:spacing w:line="360" w:lineRule="auto"/>
        <w:jc w:val="both"/>
        <w:rPr>
          <w:rFonts w:ascii="Cambria" w:hAnsi="Cambria"/>
          <w:sz w:val="20"/>
          <w:szCs w:val="20"/>
        </w:rPr>
      </w:pPr>
      <w:r w:rsidRPr="00DD1E62">
        <w:rPr>
          <w:rFonts w:ascii="Cambria" w:hAnsi="Cambria"/>
          <w:sz w:val="20"/>
          <w:szCs w:val="20"/>
          <w:vertAlign w:val="superscript"/>
        </w:rPr>
        <w:t>3</w:t>
      </w:r>
      <w:r w:rsidR="00460344" w:rsidRPr="00DD1E62">
        <w:rPr>
          <w:rFonts w:ascii="Cambria" w:hAnsi="Cambria"/>
          <w:sz w:val="20"/>
          <w:szCs w:val="20"/>
        </w:rPr>
        <w:t>Center</w:t>
      </w:r>
      <w:r w:rsidRPr="00DD1E62">
        <w:rPr>
          <w:rFonts w:ascii="Cambria" w:hAnsi="Cambria"/>
          <w:sz w:val="20"/>
          <w:szCs w:val="20"/>
        </w:rPr>
        <w:t xml:space="preserve"> for Respiratory Diseases and Meningitis, National Institute for Communicable Diseases of the National Health Laboratory Service, Johannesburg, South Africa</w:t>
      </w:r>
    </w:p>
    <w:p w:rsidR="00C47262" w:rsidRPr="00DD1E62" w:rsidRDefault="00C47262" w:rsidP="00C47262">
      <w:pPr>
        <w:pStyle w:val="ListParagraph"/>
        <w:spacing w:after="0" w:line="360" w:lineRule="auto"/>
        <w:ind w:left="0"/>
        <w:jc w:val="both"/>
        <w:rPr>
          <w:rFonts w:ascii="Cambria" w:hAnsi="Cambria"/>
          <w:color w:val="000001"/>
          <w:spacing w:val="7"/>
          <w:sz w:val="20"/>
          <w:szCs w:val="20"/>
        </w:rPr>
      </w:pPr>
      <w:r w:rsidRPr="00DD1E62">
        <w:rPr>
          <w:rFonts w:ascii="Cambria" w:hAnsi="Cambria"/>
          <w:color w:val="000001"/>
          <w:spacing w:val="7"/>
          <w:sz w:val="20"/>
          <w:szCs w:val="20"/>
          <w:vertAlign w:val="superscript"/>
        </w:rPr>
        <w:t>4</w:t>
      </w:r>
      <w:r w:rsidR="00CD7BFF" w:rsidRPr="00DD1E62">
        <w:rPr>
          <w:rFonts w:ascii="Cambria" w:hAnsi="Cambria"/>
          <w:color w:val="000001"/>
          <w:spacing w:val="7"/>
          <w:sz w:val="20"/>
          <w:szCs w:val="20"/>
        </w:rPr>
        <w:t xml:space="preserve">School of Public Health, </w:t>
      </w:r>
      <w:r w:rsidRPr="00DD1E62">
        <w:rPr>
          <w:rFonts w:ascii="Cambria" w:hAnsi="Cambria"/>
          <w:color w:val="000001"/>
          <w:spacing w:val="7"/>
          <w:sz w:val="20"/>
          <w:szCs w:val="20"/>
        </w:rPr>
        <w:t>Faculty of Health Sciences, University of the Witwatersrand, Johannesburg, South Africa</w:t>
      </w:r>
    </w:p>
    <w:p w:rsidR="005C2008" w:rsidRPr="00DD1E62" w:rsidRDefault="005C2008" w:rsidP="00341BB2">
      <w:pPr>
        <w:jc w:val="both"/>
        <w:rPr>
          <w:b/>
        </w:rPr>
      </w:pPr>
    </w:p>
    <w:p w:rsidR="00C47262" w:rsidRPr="00DD1E62" w:rsidRDefault="00C47262">
      <w:pPr>
        <w:spacing w:after="160" w:line="259" w:lineRule="auto"/>
        <w:rPr>
          <w:b/>
          <w:sz w:val="20"/>
          <w:szCs w:val="20"/>
        </w:rPr>
      </w:pPr>
      <w:r w:rsidRPr="00DD1E62">
        <w:rPr>
          <w:b/>
          <w:sz w:val="20"/>
          <w:szCs w:val="20"/>
        </w:rPr>
        <w:br w:type="page"/>
      </w:r>
    </w:p>
    <w:p w:rsidR="00C47262" w:rsidRPr="00DD1E62" w:rsidRDefault="00C47262" w:rsidP="00460344">
      <w:pPr>
        <w:spacing w:line="360" w:lineRule="auto"/>
        <w:jc w:val="both"/>
        <w:rPr>
          <w:rFonts w:ascii="Cambria" w:hAnsi="Cambria" w:cs="Andalus"/>
          <w:b/>
          <w:color w:val="1F4E79" w:themeColor="accent1" w:themeShade="80"/>
        </w:rPr>
      </w:pPr>
      <w:r w:rsidRPr="00DD1E62">
        <w:rPr>
          <w:rFonts w:ascii="Cambria" w:hAnsi="Cambria" w:cs="Andalus"/>
          <w:b/>
          <w:color w:val="1F4E79" w:themeColor="accent1" w:themeShade="80"/>
        </w:rPr>
        <w:lastRenderedPageBreak/>
        <w:t>METHODS</w:t>
      </w:r>
    </w:p>
    <w:p w:rsidR="00C47262" w:rsidRPr="00DD1E62" w:rsidRDefault="00C47262" w:rsidP="00460344">
      <w:pPr>
        <w:spacing w:line="360" w:lineRule="auto"/>
        <w:jc w:val="both"/>
        <w:rPr>
          <w:rFonts w:ascii="Cambria" w:hAnsi="Cambria" w:cs="Andalus"/>
          <w:b/>
          <w:color w:val="1F4E79" w:themeColor="accent1" w:themeShade="80"/>
        </w:rPr>
      </w:pPr>
    </w:p>
    <w:p w:rsidR="00C47262" w:rsidRPr="00DD1E62" w:rsidRDefault="00C47262" w:rsidP="00460344">
      <w:pPr>
        <w:spacing w:line="360" w:lineRule="auto"/>
        <w:jc w:val="both"/>
        <w:rPr>
          <w:rFonts w:ascii="Cambria" w:hAnsi="Cambria" w:cs="Andalus"/>
          <w:b/>
          <w:color w:val="1F4E79" w:themeColor="accent1" w:themeShade="80"/>
        </w:rPr>
      </w:pPr>
      <w:r w:rsidRPr="00DD1E62">
        <w:rPr>
          <w:rFonts w:ascii="Cambria" w:hAnsi="Cambria" w:cs="Andalus"/>
          <w:b/>
          <w:color w:val="1F4E79" w:themeColor="accent1" w:themeShade="80"/>
        </w:rPr>
        <w:t xml:space="preserve">Stage-1 model: national estimates </w:t>
      </w:r>
      <w:r w:rsidR="00012F25" w:rsidRPr="00DD1E62">
        <w:rPr>
          <w:rFonts w:ascii="Cambria" w:hAnsi="Cambria" w:cs="Andalus"/>
          <w:b/>
          <w:color w:val="1F4E79" w:themeColor="accent1" w:themeShade="80"/>
        </w:rPr>
        <w:t>of influenza</w:t>
      </w:r>
      <w:r w:rsidRPr="00DD1E62">
        <w:rPr>
          <w:rFonts w:ascii="Cambria" w:hAnsi="Cambria" w:cs="Andalus"/>
          <w:b/>
          <w:color w:val="1F4E79" w:themeColor="accent1" w:themeShade="80"/>
        </w:rPr>
        <w:t>-associated mortality</w:t>
      </w:r>
    </w:p>
    <w:p w:rsidR="00C47262" w:rsidRPr="00DD1E62" w:rsidRDefault="00C47262" w:rsidP="00460344">
      <w:pPr>
        <w:spacing w:line="360" w:lineRule="auto"/>
        <w:jc w:val="both"/>
        <w:rPr>
          <w:rFonts w:ascii="Cambria" w:hAnsi="Cambria" w:cs="Andalus"/>
          <w:color w:val="1F4E79" w:themeColor="accent1" w:themeShade="80"/>
        </w:rPr>
        <w:sectPr w:rsidR="00C47262" w:rsidRPr="00DD1E62">
          <w:footerReference w:type="default" r:id="rId7"/>
          <w:endnotePr>
            <w:numFmt w:val="decimal"/>
          </w:endnotePr>
          <w:pgSz w:w="12240" w:h="15840"/>
          <w:pgMar w:top="1440" w:right="1440" w:bottom="1440" w:left="1440" w:header="720" w:footer="720" w:gutter="0"/>
          <w:cols w:space="720"/>
          <w:docGrid w:linePitch="360"/>
        </w:sectPr>
      </w:pPr>
    </w:p>
    <w:p w:rsidR="00341BB2" w:rsidRPr="00DD1E62" w:rsidRDefault="00341BB2" w:rsidP="00460344">
      <w:pPr>
        <w:spacing w:line="360" w:lineRule="auto"/>
        <w:jc w:val="both"/>
        <w:rPr>
          <w:b/>
          <w:sz w:val="20"/>
          <w:szCs w:val="20"/>
        </w:rPr>
      </w:pPr>
    </w:p>
    <w:p w:rsidR="00C47262" w:rsidRPr="00DD1E62" w:rsidRDefault="00341BB2" w:rsidP="00460344">
      <w:pPr>
        <w:spacing w:line="360" w:lineRule="auto"/>
        <w:jc w:val="both"/>
        <w:rPr>
          <w:rFonts w:ascii="Cambria" w:hAnsi="Cambria" w:cs="Andalus"/>
        </w:rPr>
      </w:pPr>
      <w:r w:rsidRPr="00DD1E62">
        <w:rPr>
          <w:rFonts w:ascii="Cambria" w:hAnsi="Cambria" w:cs="Andalus"/>
        </w:rPr>
        <w:t xml:space="preserve">To estimate the seasonal and pandemic influenza-associated mortality, we fitted </w:t>
      </w:r>
      <w:r w:rsidR="00C47262" w:rsidRPr="00DD1E62">
        <w:rPr>
          <w:rFonts w:ascii="Cambria" w:hAnsi="Cambria" w:cs="Andalus"/>
        </w:rPr>
        <w:t xml:space="preserve">Generalized Linear Models (GLM) with a Poisson distribution and an identity link to the number of monthly deaths </w:t>
      </w:r>
      <w:r w:rsidR="003D140A" w:rsidRPr="00DD1E62">
        <w:rPr>
          <w:rFonts w:ascii="Cambria" w:hAnsi="Cambria" w:cs="Andalus"/>
        </w:rPr>
        <w:t xml:space="preserve">among pregnant and non-pregnant women </w:t>
      </w:r>
      <w:r w:rsidRPr="00DD1E62">
        <w:rPr>
          <w:rFonts w:ascii="Cambria" w:hAnsi="Cambria" w:cs="Andalus"/>
        </w:rPr>
        <w:t>as previously described</w:t>
      </w:r>
      <w:r w:rsidR="00012F25" w:rsidRPr="00DD1E62">
        <w:rPr>
          <w:rFonts w:ascii="Cambria" w:hAnsi="Cambria" w:cs="Andalus"/>
        </w:rPr>
        <w:t xml:space="preserve"> [</w:t>
      </w:r>
      <w:bookmarkStart w:id="0" w:name="_Ref389812111"/>
      <w:r w:rsidR="00012F25" w:rsidRPr="00DD1E62">
        <w:rPr>
          <w:rFonts w:ascii="Cambria" w:hAnsi="Cambria" w:cs="Andalus"/>
        </w:rPr>
        <w:endnoteReference w:id="1"/>
      </w:r>
      <w:bookmarkEnd w:id="0"/>
      <w:r w:rsidR="00012F25" w:rsidRPr="00DD1E62">
        <w:rPr>
          <w:rFonts w:ascii="Cambria" w:hAnsi="Cambria" w:cs="Andalus"/>
        </w:rPr>
        <w:t>,</w:t>
      </w:r>
      <w:bookmarkStart w:id="1" w:name="_Ref406671754"/>
      <w:r w:rsidR="00012F25" w:rsidRPr="00DD1E62">
        <w:rPr>
          <w:rFonts w:ascii="Cambria" w:hAnsi="Cambria" w:cs="Andalus"/>
        </w:rPr>
        <w:endnoteReference w:id="2"/>
      </w:r>
      <w:bookmarkEnd w:id="1"/>
      <w:r w:rsidR="00012F25" w:rsidRPr="00DD1E62">
        <w:rPr>
          <w:rFonts w:ascii="Cambria" w:hAnsi="Cambria" w:cs="Andalus"/>
        </w:rPr>
        <w:t>]</w:t>
      </w:r>
      <w:r w:rsidRPr="00DD1E62">
        <w:rPr>
          <w:rFonts w:ascii="Cambria" w:hAnsi="Cambria" w:cs="Andalus"/>
        </w:rPr>
        <w:t>. The identity link was selected because it is considered the most biologically plausible link to model the impact of pathogen circulation on mortality [</w:t>
      </w:r>
      <w:r w:rsidRPr="00DD1E62">
        <w:rPr>
          <w:rFonts w:ascii="Cambria" w:hAnsi="Cambria" w:cs="Andalus"/>
        </w:rPr>
        <w:endnoteReference w:id="3"/>
      </w:r>
      <w:r w:rsidRPr="00DD1E62">
        <w:rPr>
          <w:rFonts w:ascii="Cambria" w:hAnsi="Cambria" w:cs="Andalus"/>
        </w:rPr>
        <w:t>,</w:t>
      </w:r>
      <w:r w:rsidRPr="00DD1E62">
        <w:rPr>
          <w:rFonts w:ascii="Cambria" w:hAnsi="Cambria" w:cs="Andalus"/>
        </w:rPr>
        <w:endnoteReference w:id="4"/>
      </w:r>
      <w:r w:rsidRPr="00DD1E62">
        <w:rPr>
          <w:rFonts w:ascii="Cambria" w:hAnsi="Cambria" w:cs="Andalus"/>
        </w:rPr>
        <w:t>,</w:t>
      </w:r>
      <w:r w:rsidRPr="00DD1E62">
        <w:rPr>
          <w:rFonts w:ascii="Cambria" w:hAnsi="Cambria" w:cs="Andalus"/>
        </w:rPr>
        <w:endnoteReference w:id="5"/>
      </w:r>
      <w:r w:rsidRPr="00DD1E62">
        <w:rPr>
          <w:rFonts w:ascii="Cambria" w:hAnsi="Cambria" w:cs="Andalus"/>
        </w:rPr>
        <w:t>,</w:t>
      </w:r>
      <w:r w:rsidRPr="00DD1E62">
        <w:rPr>
          <w:rFonts w:ascii="Cambria" w:hAnsi="Cambria" w:cs="Andalus"/>
        </w:rPr>
        <w:endnoteReference w:id="6"/>
      </w:r>
      <w:r w:rsidRPr="00DD1E62">
        <w:rPr>
          <w:rFonts w:ascii="Cambria" w:hAnsi="Cambria" w:cs="Andalus"/>
        </w:rPr>
        <w:t>].</w:t>
      </w:r>
      <w:r w:rsidR="00012F25" w:rsidRPr="00DD1E62">
        <w:rPr>
          <w:rFonts w:ascii="Cambria" w:hAnsi="Cambria" w:cs="Andalus"/>
        </w:rPr>
        <w:t xml:space="preserve"> </w:t>
      </w:r>
      <w:r w:rsidR="00C47262" w:rsidRPr="00DD1E62">
        <w:rPr>
          <w:rFonts w:ascii="Cambria" w:hAnsi="Cambria" w:cs="Andalus"/>
        </w:rPr>
        <w:t xml:space="preserve">The full model (Model 1) included covariates for time trends and seasonal variation as well as proxies for viral circulation as follows: </w:t>
      </w:r>
    </w:p>
    <w:p w:rsidR="00012F25" w:rsidRPr="00DD1E62" w:rsidRDefault="00012F25" w:rsidP="00460344">
      <w:pPr>
        <w:spacing w:line="360" w:lineRule="auto"/>
        <w:jc w:val="both"/>
        <w:rPr>
          <w:rFonts w:ascii="Cambria" w:hAnsi="Cambria" w:cs="Andalus"/>
        </w:rPr>
      </w:pPr>
    </w:p>
    <w:p w:rsidR="00C47262" w:rsidRPr="00DD1E62" w:rsidRDefault="00C47262" w:rsidP="00460344">
      <w:pPr>
        <w:spacing w:line="360" w:lineRule="auto"/>
        <w:jc w:val="both"/>
        <w:rPr>
          <w:rFonts w:ascii="Cambria" w:hAnsi="Cambria" w:cs="Andalus"/>
        </w:rPr>
      </w:pPr>
      <w:r w:rsidRPr="00DD1E62">
        <w:rPr>
          <w:rFonts w:ascii="Cambria" w:hAnsi="Cambria" w:cs="Andalus"/>
          <w:position w:val="-16"/>
        </w:rPr>
        <w:object w:dxaOrig="92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3.25pt" o:ole="">
            <v:imagedata r:id="rId8" o:title=""/>
          </v:shape>
          <o:OLEObject Type="Embed" ProgID="Equation.DSMT4" ShapeID="_x0000_i1025" DrawAspect="Content" ObjectID="_1493792064" r:id="rId9"/>
        </w:object>
      </w:r>
    </w:p>
    <w:p w:rsidR="00C47262" w:rsidRPr="00DD1E62" w:rsidRDefault="00C47262" w:rsidP="00460344">
      <w:pPr>
        <w:spacing w:line="360" w:lineRule="auto"/>
        <w:ind w:left="720"/>
        <w:jc w:val="both"/>
        <w:rPr>
          <w:rFonts w:ascii="Cambria" w:hAnsi="Cambria" w:cs="Andalus"/>
        </w:rPr>
      </w:pPr>
      <w:r w:rsidRPr="00DD1E62">
        <w:rPr>
          <w:rFonts w:ascii="Cambria" w:hAnsi="Cambria" w:cs="Andalus"/>
        </w:rPr>
        <w:t xml:space="preserve">   </w:t>
      </w:r>
      <w:r w:rsidR="00D83386" w:rsidRPr="00DD1E62">
        <w:rPr>
          <w:rFonts w:ascii="Cambria" w:hAnsi="Cambria" w:cs="Andalus"/>
          <w:position w:val="-16"/>
        </w:rPr>
        <w:object w:dxaOrig="6360" w:dyaOrig="440">
          <v:shape id="_x0000_i1026" type="#_x0000_t75" style="width:318.75pt;height:23.25pt" o:ole="">
            <v:imagedata r:id="rId10" o:title=""/>
          </v:shape>
          <o:OLEObject Type="Embed" ProgID="Equation.DSMT4" ShapeID="_x0000_i1026" DrawAspect="Content" ObjectID="_1493792065" r:id="rId11"/>
        </w:object>
      </w:r>
      <w:r w:rsidRPr="00DD1E62">
        <w:rPr>
          <w:rFonts w:ascii="Cambria" w:hAnsi="Cambria" w:cs="Andalus"/>
        </w:rPr>
        <w:tab/>
        <w:t xml:space="preserve">    </w:t>
      </w:r>
      <w:r w:rsidR="00D83386" w:rsidRPr="00DD1E62">
        <w:rPr>
          <w:rFonts w:ascii="Cambria" w:hAnsi="Cambria" w:cs="Andalus"/>
        </w:rPr>
        <w:tab/>
      </w:r>
      <w:r w:rsidRPr="00DD1E62">
        <w:rPr>
          <w:rFonts w:ascii="Cambria" w:hAnsi="Cambria" w:cs="Andalus"/>
        </w:rPr>
        <w:t>(1)</w:t>
      </w:r>
    </w:p>
    <w:p w:rsidR="00C47262" w:rsidRPr="00DD1E62" w:rsidRDefault="00C47262" w:rsidP="00460344">
      <w:pPr>
        <w:spacing w:line="360" w:lineRule="auto"/>
        <w:ind w:left="720"/>
        <w:jc w:val="both"/>
        <w:rPr>
          <w:rFonts w:ascii="Cambria" w:hAnsi="Cambria" w:cs="Andalus"/>
        </w:rPr>
      </w:pPr>
    </w:p>
    <w:p w:rsidR="00C47262" w:rsidRPr="00DD1E62" w:rsidRDefault="00C47262" w:rsidP="00460344">
      <w:pPr>
        <w:spacing w:line="360" w:lineRule="auto"/>
        <w:jc w:val="both"/>
        <w:rPr>
          <w:rFonts w:ascii="Cambria" w:hAnsi="Cambria" w:cs="Andalus"/>
        </w:rPr>
      </w:pPr>
      <w:r w:rsidRPr="00DD1E62">
        <w:rPr>
          <w:rFonts w:ascii="Cambria" w:hAnsi="Cambria" w:cs="Andalus"/>
          <w:i/>
        </w:rPr>
        <w:t>E(Y</w:t>
      </w:r>
      <w:r w:rsidRPr="00DD1E62">
        <w:rPr>
          <w:rFonts w:ascii="Cambria" w:hAnsi="Cambria" w:cs="Andalus"/>
          <w:i/>
          <w:vertAlign w:val="subscript"/>
        </w:rPr>
        <w:t>i,t</w:t>
      </w:r>
      <w:r w:rsidRPr="00DD1E62">
        <w:rPr>
          <w:rFonts w:ascii="Cambria" w:hAnsi="Cambria" w:cs="Andalus"/>
          <w:i/>
        </w:rPr>
        <w:t>)</w:t>
      </w:r>
      <w:r w:rsidR="003D140A" w:rsidRPr="00DD1E62">
        <w:rPr>
          <w:rFonts w:ascii="Cambria" w:hAnsi="Cambria" w:cs="Andalus"/>
        </w:rPr>
        <w:t xml:space="preserve"> represents</w:t>
      </w:r>
      <w:r w:rsidRPr="00DD1E62">
        <w:rPr>
          <w:rFonts w:ascii="Cambria" w:hAnsi="Cambria" w:cs="Andalus"/>
        </w:rPr>
        <w:t xml:space="preserve"> </w:t>
      </w:r>
      <w:r w:rsidR="00012F25" w:rsidRPr="00DD1E62">
        <w:rPr>
          <w:rFonts w:ascii="Cambria" w:hAnsi="Cambria" w:cs="Andalus"/>
        </w:rPr>
        <w:t xml:space="preserve">the </w:t>
      </w:r>
      <w:r w:rsidRPr="00DD1E62">
        <w:rPr>
          <w:rFonts w:ascii="Cambria" w:hAnsi="Cambria" w:cs="Andalus"/>
        </w:rPr>
        <w:t xml:space="preserve">number of deaths </w:t>
      </w:r>
      <w:r w:rsidR="003D140A" w:rsidRPr="00DD1E62">
        <w:rPr>
          <w:rFonts w:ascii="Cambria" w:hAnsi="Cambria" w:cs="Andalus"/>
        </w:rPr>
        <w:t>in</w:t>
      </w:r>
      <w:r w:rsidRPr="00DD1E62">
        <w:rPr>
          <w:rFonts w:ascii="Cambria" w:hAnsi="Cambria" w:cs="Andalus"/>
        </w:rPr>
        <w:t xml:space="preserve"> </w:t>
      </w:r>
      <w:r w:rsidR="00DB3D27" w:rsidRPr="00DD1E62">
        <w:rPr>
          <w:rFonts w:ascii="Cambria" w:hAnsi="Cambria" w:cs="Andalus"/>
        </w:rPr>
        <w:t xml:space="preserve">pregnancy </w:t>
      </w:r>
      <w:r w:rsidR="00CE59C4" w:rsidRPr="00DD1E62">
        <w:rPr>
          <w:rFonts w:ascii="Cambria" w:hAnsi="Cambria" w:cs="Andalus"/>
        </w:rPr>
        <w:t>group</w:t>
      </w:r>
      <w:r w:rsidRPr="00DD1E62">
        <w:rPr>
          <w:rFonts w:ascii="Cambria" w:hAnsi="Cambria" w:cs="Andalus"/>
        </w:rPr>
        <w:t xml:space="preserve"> </w:t>
      </w:r>
      <w:r w:rsidRPr="00DD1E62">
        <w:rPr>
          <w:rFonts w:ascii="Cambria" w:hAnsi="Cambria" w:cs="Andalus"/>
          <w:i/>
        </w:rPr>
        <w:t>i</w:t>
      </w:r>
      <w:r w:rsidRPr="00DD1E62">
        <w:rPr>
          <w:rFonts w:ascii="Cambria" w:hAnsi="Cambria" w:cs="Andalus"/>
        </w:rPr>
        <w:t xml:space="preserve"> </w:t>
      </w:r>
      <w:r w:rsidR="00DB3D27" w:rsidRPr="00DD1E62">
        <w:rPr>
          <w:rFonts w:ascii="Cambria" w:hAnsi="Cambria" w:cs="Andalus"/>
        </w:rPr>
        <w:t xml:space="preserve">(pregnant or non-pregnant) </w:t>
      </w:r>
      <w:r w:rsidRPr="00DD1E62">
        <w:rPr>
          <w:rFonts w:ascii="Cambria" w:hAnsi="Cambria" w:cs="Andalus"/>
        </w:rPr>
        <w:t xml:space="preserve">and month </w:t>
      </w:r>
      <w:r w:rsidRPr="00DD1E62">
        <w:rPr>
          <w:rFonts w:ascii="Cambria" w:hAnsi="Cambria" w:cs="Andalus"/>
          <w:i/>
        </w:rPr>
        <w:t>t</w:t>
      </w:r>
      <w:r w:rsidRPr="00DD1E62">
        <w:rPr>
          <w:rFonts w:ascii="Cambria" w:hAnsi="Cambria" w:cs="Andalus"/>
        </w:rPr>
        <w:t xml:space="preserve">; </w:t>
      </w:r>
      <w:r w:rsidRPr="00DD1E62">
        <w:rPr>
          <w:rFonts w:ascii="Cambria" w:hAnsi="Cambria" w:cs="Cambria"/>
          <w:i/>
        </w:rPr>
        <w:t>β</w:t>
      </w:r>
      <w:r w:rsidRPr="00DD1E62">
        <w:rPr>
          <w:rFonts w:ascii="Cambria" w:hAnsi="Cambria" w:cs="Andalus"/>
          <w:i/>
          <w:vertAlign w:val="subscript"/>
        </w:rPr>
        <w:t>0,i</w:t>
      </w:r>
      <w:r w:rsidRPr="00DD1E62">
        <w:rPr>
          <w:rFonts w:ascii="Cambria" w:hAnsi="Cambria" w:cs="Andalus"/>
        </w:rPr>
        <w:t xml:space="preserve"> is the </w:t>
      </w:r>
      <w:r w:rsidR="00DB3D27" w:rsidRPr="00DD1E62">
        <w:rPr>
          <w:rFonts w:ascii="Cambria" w:hAnsi="Cambria" w:cs="Andalus"/>
        </w:rPr>
        <w:t xml:space="preserve">pregnancy </w:t>
      </w:r>
      <w:r w:rsidR="00CE59C4" w:rsidRPr="00DD1E62">
        <w:rPr>
          <w:rFonts w:ascii="Cambria" w:hAnsi="Cambria" w:cs="Andalus"/>
        </w:rPr>
        <w:t>group</w:t>
      </w:r>
      <w:r w:rsidR="000A242B" w:rsidRPr="00DD1E62">
        <w:rPr>
          <w:rFonts w:ascii="Cambria" w:hAnsi="Cambria" w:cs="Andalus"/>
        </w:rPr>
        <w:t xml:space="preserve">-specific </w:t>
      </w:r>
      <w:r w:rsidRPr="00DD1E62">
        <w:rPr>
          <w:rFonts w:ascii="Cambria" w:hAnsi="Cambria" w:cs="Andalus"/>
        </w:rPr>
        <w:t xml:space="preserve">model constant; </w:t>
      </w:r>
      <w:r w:rsidRPr="00DD1E62">
        <w:rPr>
          <w:rFonts w:ascii="Cambria" w:hAnsi="Cambria" w:cs="Cambria"/>
          <w:i/>
        </w:rPr>
        <w:t>β</w:t>
      </w:r>
      <w:r w:rsidRPr="00DD1E62">
        <w:rPr>
          <w:rFonts w:ascii="Cambria" w:hAnsi="Cambria" w:cs="Andalus"/>
          <w:i/>
          <w:vertAlign w:val="subscript"/>
        </w:rPr>
        <w:t>1,i</w:t>
      </w:r>
      <w:r w:rsidRPr="00DD1E62">
        <w:rPr>
          <w:rFonts w:ascii="Cambria" w:hAnsi="Cambria" w:cs="Andalus"/>
        </w:rPr>
        <w:t xml:space="preserve"> to </w:t>
      </w:r>
      <w:r w:rsidRPr="00DD1E62">
        <w:rPr>
          <w:rFonts w:ascii="Cambria" w:hAnsi="Cambria" w:cs="Cambria"/>
          <w:i/>
        </w:rPr>
        <w:t>β</w:t>
      </w:r>
      <w:r w:rsidRPr="00DD1E62">
        <w:rPr>
          <w:rFonts w:ascii="Cambria" w:hAnsi="Cambria" w:cs="Andalus"/>
          <w:i/>
          <w:vertAlign w:val="subscript"/>
        </w:rPr>
        <w:t>4,i</w:t>
      </w:r>
      <w:r w:rsidRPr="00DD1E62">
        <w:rPr>
          <w:rFonts w:ascii="Cambria" w:hAnsi="Cambria" w:cs="Andalus"/>
        </w:rPr>
        <w:t xml:space="preserve"> are </w:t>
      </w:r>
      <w:r w:rsidR="00DB3D27" w:rsidRPr="00DD1E62">
        <w:rPr>
          <w:rFonts w:ascii="Cambria" w:hAnsi="Cambria" w:cs="Andalus"/>
        </w:rPr>
        <w:t xml:space="preserve">pregnancy </w:t>
      </w:r>
      <w:r w:rsidR="00CE59C4" w:rsidRPr="00DD1E62">
        <w:rPr>
          <w:rFonts w:ascii="Cambria" w:hAnsi="Cambria" w:cs="Andalus"/>
        </w:rPr>
        <w:t>group</w:t>
      </w:r>
      <w:r w:rsidR="003D140A" w:rsidRPr="00DD1E62">
        <w:rPr>
          <w:rFonts w:ascii="Cambria" w:hAnsi="Cambria" w:cs="Andalus"/>
        </w:rPr>
        <w:t xml:space="preserve">-specific </w:t>
      </w:r>
      <w:r w:rsidRPr="00DD1E62">
        <w:rPr>
          <w:rFonts w:ascii="Cambria" w:hAnsi="Cambria" w:cs="Andalus"/>
        </w:rPr>
        <w:t xml:space="preserve">coefficients associated with time trends (linear to quartic polynomial terms); </w:t>
      </w:r>
      <w:r w:rsidRPr="00DD1E62">
        <w:rPr>
          <w:rFonts w:ascii="Cambria" w:hAnsi="Cambria" w:cs="Cambria"/>
          <w:i/>
        </w:rPr>
        <w:t>β</w:t>
      </w:r>
      <w:r w:rsidRPr="00DD1E62">
        <w:rPr>
          <w:rFonts w:ascii="Cambria" w:hAnsi="Cambria" w:cs="Andalus"/>
          <w:i/>
          <w:vertAlign w:val="subscript"/>
        </w:rPr>
        <w:t>5,i</w:t>
      </w:r>
      <w:r w:rsidRPr="00DD1E62">
        <w:rPr>
          <w:rFonts w:ascii="Cambria" w:hAnsi="Cambria" w:cs="Andalus"/>
        </w:rPr>
        <w:t xml:space="preserve"> and </w:t>
      </w:r>
      <w:r w:rsidRPr="00DD1E62">
        <w:rPr>
          <w:rFonts w:ascii="Cambria" w:hAnsi="Cambria" w:cs="Cambria"/>
          <w:i/>
        </w:rPr>
        <w:t>β</w:t>
      </w:r>
      <w:r w:rsidRPr="00DD1E62">
        <w:rPr>
          <w:rFonts w:ascii="Cambria" w:hAnsi="Cambria" w:cs="Andalus"/>
          <w:i/>
          <w:vertAlign w:val="subscript"/>
        </w:rPr>
        <w:t>6,i</w:t>
      </w:r>
      <w:r w:rsidRPr="00DD1E62">
        <w:rPr>
          <w:rFonts w:ascii="Cambria" w:hAnsi="Cambria" w:cs="Andalus"/>
        </w:rPr>
        <w:t xml:space="preserve"> are </w:t>
      </w:r>
      <w:r w:rsidR="00DB3D27" w:rsidRPr="00DD1E62">
        <w:rPr>
          <w:rFonts w:ascii="Cambria" w:hAnsi="Cambria" w:cs="Andalus"/>
        </w:rPr>
        <w:t xml:space="preserve">pregnancy </w:t>
      </w:r>
      <w:r w:rsidR="00CE59C4" w:rsidRPr="00DD1E62">
        <w:rPr>
          <w:rFonts w:ascii="Cambria" w:hAnsi="Cambria" w:cs="Andalus"/>
        </w:rPr>
        <w:t>group</w:t>
      </w:r>
      <w:r w:rsidR="00DB3D27" w:rsidRPr="00DD1E62">
        <w:rPr>
          <w:rFonts w:ascii="Cambria" w:hAnsi="Cambria" w:cs="Andalus"/>
        </w:rPr>
        <w:t xml:space="preserve">-specific </w:t>
      </w:r>
      <w:r w:rsidRPr="00DD1E62">
        <w:rPr>
          <w:rFonts w:ascii="Cambria" w:hAnsi="Cambria" w:cs="Andalus"/>
        </w:rPr>
        <w:t xml:space="preserve">coefficients associated with harmonic terms accounting for annual background seasonal variations; </w:t>
      </w:r>
      <w:r w:rsidRPr="00DD1E62">
        <w:rPr>
          <w:rFonts w:ascii="Cambria" w:hAnsi="Cambria" w:cs="Cambria"/>
          <w:i/>
        </w:rPr>
        <w:t>β</w:t>
      </w:r>
      <w:r w:rsidRPr="00DD1E62">
        <w:rPr>
          <w:rFonts w:ascii="Cambria" w:hAnsi="Cambria" w:cs="Andalus"/>
          <w:i/>
          <w:vertAlign w:val="subscript"/>
        </w:rPr>
        <w:t>7,i</w:t>
      </w:r>
      <w:r w:rsidRPr="00DD1E62">
        <w:rPr>
          <w:rFonts w:ascii="Cambria" w:hAnsi="Cambria" w:cs="Andalus"/>
        </w:rPr>
        <w:t xml:space="preserve"> to </w:t>
      </w:r>
      <w:r w:rsidRPr="00DD1E62">
        <w:rPr>
          <w:rFonts w:ascii="Cambria" w:hAnsi="Cambria" w:cs="Cambria"/>
          <w:i/>
        </w:rPr>
        <w:t>β</w:t>
      </w:r>
      <w:r w:rsidR="000A242B" w:rsidRPr="00DD1E62">
        <w:rPr>
          <w:rFonts w:ascii="Cambria" w:hAnsi="Cambria" w:cs="Andalus"/>
          <w:i/>
          <w:vertAlign w:val="subscript"/>
        </w:rPr>
        <w:t>8</w:t>
      </w:r>
      <w:r w:rsidRPr="00DD1E62">
        <w:rPr>
          <w:rFonts w:ascii="Cambria" w:hAnsi="Cambria" w:cs="Andalus"/>
          <w:i/>
          <w:vertAlign w:val="subscript"/>
        </w:rPr>
        <w:t>,i</w:t>
      </w:r>
      <w:r w:rsidRPr="00DD1E62">
        <w:rPr>
          <w:rFonts w:ascii="Cambria" w:hAnsi="Cambria" w:cs="Andalus"/>
        </w:rPr>
        <w:t xml:space="preserve"> are </w:t>
      </w:r>
      <w:r w:rsidR="00DB3D27" w:rsidRPr="00DD1E62">
        <w:rPr>
          <w:rFonts w:ascii="Cambria" w:hAnsi="Cambria" w:cs="Andalus"/>
        </w:rPr>
        <w:t xml:space="preserve">pregnancy </w:t>
      </w:r>
      <w:r w:rsidR="00CE59C4" w:rsidRPr="00DD1E62">
        <w:rPr>
          <w:rFonts w:ascii="Cambria" w:hAnsi="Cambria" w:cs="Andalus"/>
        </w:rPr>
        <w:t>group</w:t>
      </w:r>
      <w:r w:rsidR="00DB3D27" w:rsidRPr="00DD1E62">
        <w:rPr>
          <w:rFonts w:ascii="Cambria" w:hAnsi="Cambria" w:cs="Andalus"/>
        </w:rPr>
        <w:t>-specific</w:t>
      </w:r>
      <w:r w:rsidR="000A242B" w:rsidRPr="00DD1E62">
        <w:rPr>
          <w:rFonts w:ascii="Cambria" w:hAnsi="Cambria" w:cs="Andalus"/>
        </w:rPr>
        <w:t xml:space="preserve"> </w:t>
      </w:r>
      <w:r w:rsidRPr="00DD1E62">
        <w:rPr>
          <w:rFonts w:ascii="Cambria" w:hAnsi="Cambria" w:cs="Andalus"/>
        </w:rPr>
        <w:t xml:space="preserve">coefficients representing the contribution of </w:t>
      </w:r>
      <w:r w:rsidR="000A242B" w:rsidRPr="00DD1E62">
        <w:rPr>
          <w:rFonts w:ascii="Cambria" w:hAnsi="Cambria" w:cs="Andalus"/>
        </w:rPr>
        <w:t>influenza</w:t>
      </w:r>
      <w:r w:rsidRPr="00DD1E62">
        <w:rPr>
          <w:rFonts w:ascii="Cambria" w:hAnsi="Cambria" w:cs="Andalus"/>
        </w:rPr>
        <w:t xml:space="preserve"> to mortality (seasonal influenza (</w:t>
      </w:r>
      <w:r w:rsidRPr="00DD1E62">
        <w:rPr>
          <w:rFonts w:ascii="Cambria" w:hAnsi="Cambria" w:cs="Cambria"/>
          <w:i/>
        </w:rPr>
        <w:t>β</w:t>
      </w:r>
      <w:r w:rsidRPr="00DD1E62">
        <w:rPr>
          <w:rFonts w:ascii="Cambria" w:hAnsi="Cambria" w:cs="Andalus"/>
          <w:i/>
          <w:vertAlign w:val="subscript"/>
        </w:rPr>
        <w:t>7,i</w:t>
      </w:r>
      <w:r w:rsidRPr="00DD1E62">
        <w:rPr>
          <w:rFonts w:ascii="Cambria" w:hAnsi="Cambria" w:cs="Andalus"/>
        </w:rPr>
        <w:t xml:space="preserve">): including A(H1N1), A(H3N2) and B; </w:t>
      </w:r>
      <w:r w:rsidR="000A242B" w:rsidRPr="00DD1E62">
        <w:rPr>
          <w:rFonts w:ascii="Cambria" w:hAnsi="Cambria" w:cs="Andalus"/>
        </w:rPr>
        <w:t xml:space="preserve">and </w:t>
      </w:r>
      <w:r w:rsidRPr="00DD1E62">
        <w:rPr>
          <w:rFonts w:ascii="Cambria" w:hAnsi="Cambria" w:cs="Andalus"/>
        </w:rPr>
        <w:t>pandemic influenza (</w:t>
      </w:r>
      <w:r w:rsidRPr="00DD1E62">
        <w:rPr>
          <w:rFonts w:ascii="Cambria" w:hAnsi="Cambria" w:cs="Cambria"/>
          <w:i/>
        </w:rPr>
        <w:t>β</w:t>
      </w:r>
      <w:r w:rsidRPr="00DD1E62">
        <w:rPr>
          <w:rFonts w:ascii="Cambria" w:hAnsi="Cambria" w:cs="Andalus"/>
          <w:i/>
          <w:vertAlign w:val="subscript"/>
        </w:rPr>
        <w:t>8,i</w:t>
      </w:r>
      <w:r w:rsidRPr="00DD1E62">
        <w:rPr>
          <w:rFonts w:ascii="Cambria" w:hAnsi="Cambria" w:cs="Andalus"/>
        </w:rPr>
        <w:t xml:space="preserve">): A(H1N1)pdm09); and </w:t>
      </w:r>
      <w:r w:rsidRPr="00DD1E62">
        <w:rPr>
          <w:rFonts w:ascii="Cambria" w:hAnsi="Cambria" w:cs="Andalus"/>
          <w:i/>
        </w:rPr>
        <w:sym w:font="Symbol" w:char="F065"/>
      </w:r>
      <w:r w:rsidR="00974EF7" w:rsidRPr="00DD1E62">
        <w:rPr>
          <w:rFonts w:ascii="Cambria" w:hAnsi="Cambria" w:cs="Andalus"/>
          <w:i/>
          <w:vertAlign w:val="subscript"/>
        </w:rPr>
        <w:t>i</w:t>
      </w:r>
      <w:r w:rsidRPr="00DD1E62">
        <w:rPr>
          <w:rFonts w:ascii="Cambria" w:hAnsi="Cambria" w:cs="Andalus"/>
        </w:rPr>
        <w:t xml:space="preserve"> is the </w:t>
      </w:r>
      <w:r w:rsidR="00DB3D27" w:rsidRPr="00DD1E62">
        <w:rPr>
          <w:rFonts w:ascii="Cambria" w:hAnsi="Cambria" w:cs="Andalus"/>
        </w:rPr>
        <w:t xml:space="preserve">pregnancy </w:t>
      </w:r>
      <w:r w:rsidR="00CE59C4" w:rsidRPr="00DD1E62">
        <w:rPr>
          <w:rFonts w:ascii="Cambria" w:hAnsi="Cambria" w:cs="Andalus"/>
        </w:rPr>
        <w:t>group</w:t>
      </w:r>
      <w:r w:rsidR="00DB3D27" w:rsidRPr="00DD1E62">
        <w:rPr>
          <w:rFonts w:ascii="Cambria" w:hAnsi="Cambria" w:cs="Andalus"/>
        </w:rPr>
        <w:t xml:space="preserve">-specific </w:t>
      </w:r>
      <w:r w:rsidRPr="00DD1E62">
        <w:rPr>
          <w:rFonts w:ascii="Cambria" w:hAnsi="Cambria" w:cs="Andalus"/>
        </w:rPr>
        <w:t xml:space="preserve">error term. </w:t>
      </w:r>
      <w:r w:rsidRPr="00DD1E62">
        <w:rPr>
          <w:rFonts w:ascii="Cambria" w:hAnsi="Cambria" w:cs="Andalus"/>
          <w:i/>
        </w:rPr>
        <w:t>Seasonal_influenza(t)</w:t>
      </w:r>
      <w:r w:rsidR="000A242B" w:rsidRPr="00DD1E62">
        <w:rPr>
          <w:rFonts w:ascii="Cambria" w:hAnsi="Cambria" w:cs="Andalus"/>
        </w:rPr>
        <w:t xml:space="preserve"> and</w:t>
      </w:r>
      <w:r w:rsidRPr="00DD1E62">
        <w:rPr>
          <w:rFonts w:ascii="Cambria" w:hAnsi="Cambria" w:cs="Andalus"/>
        </w:rPr>
        <w:t xml:space="preserve"> </w:t>
      </w:r>
      <w:r w:rsidRPr="00DD1E62">
        <w:rPr>
          <w:rFonts w:ascii="Cambria" w:hAnsi="Cambria" w:cs="Andalus"/>
          <w:i/>
        </w:rPr>
        <w:t>A(H1N1)pdm09(t)</w:t>
      </w:r>
      <w:r w:rsidRPr="00DD1E62">
        <w:rPr>
          <w:rFonts w:ascii="Cambria" w:hAnsi="Cambria" w:cs="Andalus"/>
        </w:rPr>
        <w:t xml:space="preserve"> are proxies for monthly viral activity, estimated as the monthly number of specimen testing positive for influenza over the annual number of specimens tested for the specific pathogen. We used standardization by the annual total of all specimens tested for the specific pathogen, to reduce possible bias associated with differences in specimen sampling and laboratory methods over time [</w:t>
      </w:r>
      <w:bookmarkStart w:id="2" w:name="_Ref400523584"/>
      <w:r w:rsidR="00CE59C4" w:rsidRPr="00DD1E62">
        <w:rPr>
          <w:rFonts w:ascii="Cambria" w:hAnsi="Cambria" w:cs="Andalus"/>
        </w:rPr>
        <w:fldChar w:fldCharType="begin"/>
      </w:r>
      <w:r w:rsidR="00CE59C4" w:rsidRPr="00DD1E62">
        <w:rPr>
          <w:rFonts w:ascii="Cambria" w:hAnsi="Cambria" w:cs="Andalus"/>
        </w:rPr>
        <w:instrText xml:space="preserve"> NOTEREF _Ref389812111 \h </w:instrText>
      </w:r>
      <w:r w:rsidR="00460344" w:rsidRPr="00DD1E62">
        <w:rPr>
          <w:rFonts w:ascii="Cambria" w:hAnsi="Cambria" w:cs="Andalus"/>
        </w:rPr>
        <w:instrText xml:space="preserve"> \* MERGEFORMAT </w:instrText>
      </w:r>
      <w:r w:rsidR="00CE59C4" w:rsidRPr="00DD1E62">
        <w:rPr>
          <w:rFonts w:ascii="Cambria" w:hAnsi="Cambria" w:cs="Andalus"/>
        </w:rPr>
      </w:r>
      <w:r w:rsidR="00CE59C4" w:rsidRPr="00DD1E62">
        <w:rPr>
          <w:rFonts w:ascii="Cambria" w:hAnsi="Cambria" w:cs="Andalus"/>
        </w:rPr>
        <w:fldChar w:fldCharType="separate"/>
      </w:r>
      <w:r w:rsidR="007A18C0" w:rsidRPr="00DD1E62">
        <w:rPr>
          <w:rFonts w:ascii="Cambria" w:hAnsi="Cambria" w:cs="Andalus"/>
        </w:rPr>
        <w:t>1</w:t>
      </w:r>
      <w:r w:rsidR="00CE59C4" w:rsidRPr="00DD1E62">
        <w:rPr>
          <w:rFonts w:ascii="Cambria" w:hAnsi="Cambria" w:cs="Andalus"/>
        </w:rPr>
        <w:fldChar w:fldCharType="end"/>
      </w:r>
      <w:r w:rsidR="00CE59C4" w:rsidRPr="00DD1E62">
        <w:rPr>
          <w:rFonts w:ascii="Cambria" w:hAnsi="Cambria" w:cs="Andalus"/>
        </w:rPr>
        <w:t>,</w:t>
      </w:r>
      <w:r w:rsidR="00CE59C4" w:rsidRPr="00DD1E62">
        <w:rPr>
          <w:rFonts w:ascii="Cambria" w:hAnsi="Cambria" w:cs="Andalus"/>
        </w:rPr>
        <w:fldChar w:fldCharType="begin"/>
      </w:r>
      <w:r w:rsidR="00CE59C4" w:rsidRPr="00DD1E62">
        <w:rPr>
          <w:rFonts w:ascii="Cambria" w:hAnsi="Cambria" w:cs="Andalus"/>
        </w:rPr>
        <w:instrText xml:space="preserve"> NOTEREF _Ref406671754 \h </w:instrText>
      </w:r>
      <w:r w:rsidR="00460344" w:rsidRPr="00DD1E62">
        <w:rPr>
          <w:rFonts w:ascii="Cambria" w:hAnsi="Cambria" w:cs="Andalus"/>
        </w:rPr>
        <w:instrText xml:space="preserve"> \* MERGEFORMAT </w:instrText>
      </w:r>
      <w:r w:rsidR="00CE59C4" w:rsidRPr="00DD1E62">
        <w:rPr>
          <w:rFonts w:ascii="Cambria" w:hAnsi="Cambria" w:cs="Andalus"/>
        </w:rPr>
      </w:r>
      <w:r w:rsidR="00CE59C4" w:rsidRPr="00DD1E62">
        <w:rPr>
          <w:rFonts w:ascii="Cambria" w:hAnsi="Cambria" w:cs="Andalus"/>
        </w:rPr>
        <w:fldChar w:fldCharType="separate"/>
      </w:r>
      <w:r w:rsidR="007A18C0" w:rsidRPr="00DD1E62">
        <w:rPr>
          <w:rFonts w:ascii="Cambria" w:hAnsi="Cambria" w:cs="Andalus"/>
        </w:rPr>
        <w:t>2</w:t>
      </w:r>
      <w:r w:rsidR="00CE59C4" w:rsidRPr="00DD1E62">
        <w:rPr>
          <w:rFonts w:ascii="Cambria" w:hAnsi="Cambria" w:cs="Andalus"/>
        </w:rPr>
        <w:fldChar w:fldCharType="end"/>
      </w:r>
      <w:r w:rsidR="00CE59C4" w:rsidRPr="00DD1E62">
        <w:rPr>
          <w:rFonts w:ascii="Cambria" w:hAnsi="Cambria" w:cs="Andalus"/>
        </w:rPr>
        <w:t>,</w:t>
      </w:r>
      <w:r w:rsidRPr="00DD1E62">
        <w:rPr>
          <w:rStyle w:val="EndnoteReference"/>
          <w:rFonts w:ascii="Cambria" w:hAnsi="Cambria" w:cs="Andalus"/>
          <w:vertAlign w:val="baseline"/>
        </w:rPr>
        <w:endnoteReference w:id="7"/>
      </w:r>
      <w:bookmarkEnd w:id="2"/>
      <w:r w:rsidRPr="00DD1E62">
        <w:rPr>
          <w:rFonts w:ascii="Cambria" w:hAnsi="Cambria" w:cs="Andalus"/>
        </w:rPr>
        <w:t>].</w:t>
      </w:r>
      <w:r w:rsidR="000A242B" w:rsidRPr="00DD1E62">
        <w:rPr>
          <w:rFonts w:ascii="Cambria" w:hAnsi="Cambria" w:cs="Andalus"/>
        </w:rPr>
        <w:t xml:space="preserve"> </w:t>
      </w:r>
      <w:r w:rsidRPr="00DD1E62">
        <w:rPr>
          <w:rFonts w:ascii="Cambria" w:hAnsi="Cambria" w:cs="Andalus"/>
        </w:rPr>
        <w:t xml:space="preserve">Models were fitted separately for each </w:t>
      </w:r>
      <w:r w:rsidR="00CE59C4" w:rsidRPr="00DD1E62">
        <w:rPr>
          <w:rFonts w:ascii="Cambria" w:hAnsi="Cambria" w:cs="Andalus"/>
        </w:rPr>
        <w:t xml:space="preserve">age group (for non-pregnant women only) and </w:t>
      </w:r>
      <w:r w:rsidR="00DB3D27" w:rsidRPr="00DD1E62">
        <w:rPr>
          <w:rFonts w:ascii="Cambria" w:hAnsi="Cambria" w:cs="Andalus"/>
        </w:rPr>
        <w:t>cause of death evaluated in this study</w:t>
      </w:r>
      <w:r w:rsidRPr="00DD1E62">
        <w:rPr>
          <w:rFonts w:ascii="Cambria" w:hAnsi="Cambria" w:cs="Andalus"/>
        </w:rPr>
        <w:t xml:space="preserve">. </w:t>
      </w:r>
    </w:p>
    <w:p w:rsidR="00012F25" w:rsidRPr="00DD1E62" w:rsidRDefault="00012F25" w:rsidP="00460344">
      <w:pPr>
        <w:spacing w:line="360" w:lineRule="auto"/>
        <w:jc w:val="both"/>
        <w:rPr>
          <w:rFonts w:ascii="Cambria" w:hAnsi="Cambria" w:cs="Andalus"/>
        </w:rPr>
      </w:pPr>
    </w:p>
    <w:p w:rsidR="00012F25" w:rsidRPr="00DD1E62" w:rsidRDefault="00012F25" w:rsidP="00460344">
      <w:pPr>
        <w:spacing w:line="360" w:lineRule="auto"/>
        <w:jc w:val="both"/>
        <w:rPr>
          <w:rFonts w:ascii="Cambria" w:hAnsi="Cambria" w:cs="Andalus"/>
        </w:rPr>
      </w:pPr>
      <w:r w:rsidRPr="00DD1E62">
        <w:rPr>
          <w:rFonts w:ascii="Cambria" w:hAnsi="Cambria" w:cs="Andalus"/>
        </w:rPr>
        <w:t>Through model selection procedures, we assessed the fit of models including higher order polynomials to represent more subtle time trends (1</w:t>
      </w:r>
      <w:r w:rsidRPr="00DD1E62">
        <w:rPr>
          <w:rFonts w:ascii="Cambria" w:hAnsi="Cambria" w:cs="Andalus"/>
          <w:vertAlign w:val="superscript"/>
        </w:rPr>
        <w:t>st</w:t>
      </w:r>
      <w:r w:rsidRPr="00DD1E62">
        <w:rPr>
          <w:rFonts w:ascii="Cambria" w:hAnsi="Cambria" w:cs="Andalus"/>
        </w:rPr>
        <w:t xml:space="preserve"> to 6</w:t>
      </w:r>
      <w:r w:rsidRPr="00DD1E62">
        <w:rPr>
          <w:rFonts w:ascii="Cambria" w:hAnsi="Cambria" w:cs="Andalus"/>
          <w:vertAlign w:val="superscript"/>
        </w:rPr>
        <w:t>th</w:t>
      </w:r>
      <w:r w:rsidRPr="00DD1E62">
        <w:rPr>
          <w:rFonts w:ascii="Cambria" w:hAnsi="Cambria" w:cs="Andalus"/>
        </w:rPr>
        <w:t xml:space="preserve"> degree) and additional harmonic terms representing annual and semi-annual periodicity (</w:t>
      </w:r>
      <w:r w:rsidRPr="00DD1E62">
        <w:rPr>
          <w:rFonts w:ascii="Cambria" w:hAnsi="Cambria" w:cs="Andalus"/>
          <w:i/>
        </w:rPr>
        <w:t>sin(2t</w:t>
      </w:r>
      <w:r w:rsidRPr="00DD1E62">
        <w:rPr>
          <w:rFonts w:ascii="Cambria" w:hAnsi="Cambria" w:cs="Andalus"/>
          <w:i/>
          <w:vertAlign w:val="subscript"/>
        </w:rPr>
        <w:t>i</w:t>
      </w:r>
      <w:r w:rsidRPr="00DD1E62">
        <w:rPr>
          <w:rFonts w:ascii="Cambria" w:hAnsi="Cambria" w:cs="Cambria"/>
          <w:i/>
        </w:rPr>
        <w:t>π</w:t>
      </w:r>
      <w:r w:rsidRPr="00DD1E62">
        <w:rPr>
          <w:rFonts w:ascii="Cambria" w:hAnsi="Cambria" w:cs="Andalus"/>
          <w:i/>
        </w:rPr>
        <w:t xml:space="preserve">/12) </w:t>
      </w:r>
      <w:r w:rsidRPr="00DD1E62">
        <w:rPr>
          <w:rFonts w:ascii="Cambria" w:hAnsi="Cambria" w:cs="Andalus"/>
        </w:rPr>
        <w:t xml:space="preserve">and </w:t>
      </w:r>
      <w:r w:rsidRPr="00DD1E62">
        <w:rPr>
          <w:rFonts w:ascii="Cambria" w:hAnsi="Cambria" w:cs="Andalus"/>
          <w:i/>
        </w:rPr>
        <w:t>cos(2t</w:t>
      </w:r>
      <w:r w:rsidRPr="00DD1E62">
        <w:rPr>
          <w:rFonts w:ascii="Cambria" w:hAnsi="Cambria" w:cs="Andalus"/>
          <w:i/>
          <w:vertAlign w:val="subscript"/>
        </w:rPr>
        <w:t>i</w:t>
      </w:r>
      <w:r w:rsidRPr="00DD1E62">
        <w:rPr>
          <w:rFonts w:ascii="Cambria" w:hAnsi="Cambria" w:cs="Cambria"/>
          <w:i/>
        </w:rPr>
        <w:t>π</w:t>
      </w:r>
      <w:r w:rsidRPr="00DD1E62">
        <w:rPr>
          <w:rFonts w:ascii="Cambria" w:hAnsi="Cambria" w:cs="Andalus"/>
          <w:i/>
        </w:rPr>
        <w:t>/12)</w:t>
      </w:r>
      <w:r w:rsidRPr="00DD1E62">
        <w:rPr>
          <w:rFonts w:ascii="Cambria" w:hAnsi="Cambria" w:cs="Andalus"/>
        </w:rPr>
        <w:t xml:space="preserve">; </w:t>
      </w:r>
      <w:r w:rsidRPr="00DD1E62">
        <w:rPr>
          <w:rFonts w:ascii="Cambria" w:hAnsi="Cambria" w:cs="Andalus"/>
          <w:i/>
        </w:rPr>
        <w:t>sin(4t</w:t>
      </w:r>
      <w:r w:rsidRPr="00DD1E62">
        <w:rPr>
          <w:rFonts w:ascii="Cambria" w:hAnsi="Cambria" w:cs="Andalus"/>
          <w:i/>
          <w:vertAlign w:val="subscript"/>
        </w:rPr>
        <w:t>i</w:t>
      </w:r>
      <w:r w:rsidRPr="00DD1E62">
        <w:rPr>
          <w:rFonts w:ascii="Cambria" w:hAnsi="Cambria" w:cs="Cambria"/>
          <w:i/>
        </w:rPr>
        <w:t>π</w:t>
      </w:r>
      <w:r w:rsidRPr="00DD1E62">
        <w:rPr>
          <w:rFonts w:ascii="Cambria" w:hAnsi="Cambria" w:cs="Andalus"/>
          <w:i/>
        </w:rPr>
        <w:t xml:space="preserve">/12) </w:t>
      </w:r>
      <w:r w:rsidRPr="00DD1E62">
        <w:rPr>
          <w:rFonts w:ascii="Cambria" w:hAnsi="Cambria" w:cs="Andalus"/>
        </w:rPr>
        <w:t xml:space="preserve">and </w:t>
      </w:r>
      <w:r w:rsidRPr="00DD1E62">
        <w:rPr>
          <w:rFonts w:ascii="Cambria" w:hAnsi="Cambria" w:cs="Andalus"/>
          <w:i/>
        </w:rPr>
        <w:t>cos(4t</w:t>
      </w:r>
      <w:r w:rsidRPr="00DD1E62">
        <w:rPr>
          <w:rFonts w:ascii="Cambria" w:hAnsi="Cambria" w:cs="Andalus"/>
          <w:i/>
          <w:vertAlign w:val="subscript"/>
        </w:rPr>
        <w:t>i</w:t>
      </w:r>
      <w:r w:rsidRPr="00DD1E62">
        <w:rPr>
          <w:rFonts w:ascii="Cambria" w:hAnsi="Cambria" w:cs="Cambria"/>
          <w:i/>
        </w:rPr>
        <w:t>π</w:t>
      </w:r>
      <w:r w:rsidRPr="00DD1E62">
        <w:rPr>
          <w:rFonts w:ascii="Cambria" w:hAnsi="Cambria" w:cs="Andalus"/>
          <w:i/>
        </w:rPr>
        <w:t>/12)</w:t>
      </w:r>
      <w:r w:rsidRPr="00DD1E62">
        <w:rPr>
          <w:rFonts w:ascii="Cambria" w:hAnsi="Cambria" w:cs="Andalus"/>
        </w:rPr>
        <w:t>). The final model (Model 1) was that for which the Akaike value (AIC) was minimized, that is, the model that provided best fit to the data whilst maintaining parsimony. Furthermore, we assessed the model fit using two different proxies for monthly viral activities. Proxy 1 was obtained by dividing the monthly number of specimen testing positive for influenza to the annual number of specimens tested for the specific pathogen (model presented in equation 1). Proxy 2 was not standardized by the annual number of specimens tested. The estimates from models using proxies 1 or 2 were comparable; however the models fitted using proxy 2 yielded consistently higher AIC values compared to the models fitted using proxy 1. In addition, we implemented a sensitivity analysis where we compared the estimates from our count model (equation 1) to those obtained from a rate model. The estimates obtained from the rate models remained within 4% of their main-analysis values (count model) across the analysis implemented over the different causes of death evaluated in the study. Modeling counts or rates in equation 1 gives similar results given slow trends in population sizes. Given the minimal difference between the estimates from the count and rates models, we chose to model death counts instead of death rates in line with previously developed methodologies [</w:t>
      </w:r>
      <w:bookmarkStart w:id="3" w:name="_Ref400526494"/>
      <w:r w:rsidRPr="00DD1E62">
        <w:rPr>
          <w:rFonts w:ascii="Cambria" w:hAnsi="Cambria" w:cs="Andalus"/>
        </w:rPr>
        <w:fldChar w:fldCharType="begin"/>
      </w:r>
      <w:r w:rsidRPr="00DD1E62">
        <w:rPr>
          <w:rFonts w:ascii="Cambria" w:hAnsi="Cambria" w:cs="Andalus"/>
        </w:rPr>
        <w:instrText xml:space="preserve"> NOTEREF _Ref389812111 \h </w:instrText>
      </w:r>
      <w:r w:rsidR="00460344" w:rsidRPr="00DD1E62">
        <w:rPr>
          <w:rFonts w:ascii="Cambria" w:hAnsi="Cambria" w:cs="Andalus"/>
        </w:rPr>
        <w:instrText xml:space="preserve">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1</w:t>
      </w:r>
      <w:r w:rsidRPr="00DD1E62">
        <w:rPr>
          <w:rFonts w:ascii="Cambria" w:hAnsi="Cambria" w:cs="Andalus"/>
        </w:rPr>
        <w:fldChar w:fldCharType="end"/>
      </w:r>
      <w:r w:rsidRPr="00DD1E62">
        <w:rPr>
          <w:rFonts w:ascii="Cambria" w:hAnsi="Cambria" w:cs="Andalus"/>
        </w:rPr>
        <w:t>,</w:t>
      </w:r>
      <w:r w:rsidRPr="00DD1E62">
        <w:rPr>
          <w:rFonts w:ascii="Cambria" w:hAnsi="Cambria" w:cs="Andalus"/>
        </w:rPr>
        <w:fldChar w:fldCharType="begin"/>
      </w:r>
      <w:r w:rsidRPr="00DD1E62">
        <w:rPr>
          <w:rFonts w:ascii="Cambria" w:hAnsi="Cambria" w:cs="Andalus"/>
        </w:rPr>
        <w:instrText xml:space="preserve"> NOTEREF _Ref406671754 \h </w:instrText>
      </w:r>
      <w:r w:rsidR="00460344" w:rsidRPr="00DD1E62">
        <w:rPr>
          <w:rFonts w:ascii="Cambria" w:hAnsi="Cambria" w:cs="Andalus"/>
        </w:rPr>
        <w:instrText xml:space="preserve">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2</w:t>
      </w:r>
      <w:r w:rsidRPr="00DD1E62">
        <w:rPr>
          <w:rFonts w:ascii="Cambria" w:hAnsi="Cambria" w:cs="Andalus"/>
        </w:rPr>
        <w:fldChar w:fldCharType="end"/>
      </w:r>
      <w:r w:rsidRPr="00DD1E62">
        <w:rPr>
          <w:rFonts w:ascii="Cambria" w:hAnsi="Cambria" w:cs="Andalus"/>
        </w:rPr>
        <w:t>,</w:t>
      </w:r>
      <w:bookmarkStart w:id="4" w:name="_Ref406673264"/>
      <w:r w:rsidRPr="00DD1E62">
        <w:rPr>
          <w:rStyle w:val="EndnoteReference"/>
          <w:rFonts w:ascii="Cambria" w:hAnsi="Cambria" w:cs="Andalus"/>
          <w:vertAlign w:val="baseline"/>
        </w:rPr>
        <w:endnoteReference w:id="8"/>
      </w:r>
      <w:bookmarkEnd w:id="3"/>
      <w:bookmarkEnd w:id="4"/>
      <w:r w:rsidRPr="00DD1E62">
        <w:rPr>
          <w:rFonts w:ascii="Cambria" w:hAnsi="Cambria" w:cs="Andalus"/>
        </w:rPr>
        <w:t>,</w:t>
      </w:r>
      <w:r w:rsidRPr="00DD1E62">
        <w:rPr>
          <w:rStyle w:val="EndnoteReference"/>
          <w:rFonts w:ascii="Cambria" w:hAnsi="Cambria" w:cs="Andalus"/>
          <w:vertAlign w:val="baseline"/>
        </w:rPr>
        <w:endnoteReference w:id="9"/>
      </w:r>
      <w:r w:rsidRPr="00DD1E62">
        <w:rPr>
          <w:rFonts w:ascii="Cambria" w:hAnsi="Cambria" w:cs="Andalus"/>
        </w:rPr>
        <w:t>]. We also considered b-splines (1 knot per month was best) instead of polynomial terms to model background seasonality, but polynomial terms provided the best fit to the South African data, perhaps because of the relatively crude monthly resolution of the data; however this hypothesis could not be tested.</w:t>
      </w:r>
    </w:p>
    <w:p w:rsidR="00341BB2" w:rsidRPr="00DD1E62" w:rsidRDefault="00341BB2" w:rsidP="00460344">
      <w:pPr>
        <w:spacing w:line="360" w:lineRule="auto"/>
        <w:jc w:val="both"/>
        <w:rPr>
          <w:sz w:val="20"/>
          <w:szCs w:val="20"/>
        </w:rPr>
      </w:pPr>
    </w:p>
    <w:p w:rsidR="00117F43" w:rsidRPr="00DD1E62" w:rsidRDefault="00012F25" w:rsidP="00460344">
      <w:pPr>
        <w:spacing w:line="360" w:lineRule="auto"/>
        <w:jc w:val="both"/>
        <w:rPr>
          <w:rFonts w:ascii="Cambria" w:hAnsi="Cambria" w:cs="Andalus"/>
        </w:rPr>
      </w:pPr>
      <w:r w:rsidRPr="00DD1E62">
        <w:rPr>
          <w:rFonts w:ascii="Cambria" w:hAnsi="Cambria" w:cs="Andalus"/>
        </w:rPr>
        <w:t xml:space="preserve">We estimated the excess mortality associated with influenza each month by subtracting an expected baseline from the monthly mortality predictions of Model 1. The baseline was obtained by setting the relevant influenza covariate to 0 (i.e., to obtain a baseline for seasonal influenza, we set the seasonal influenza proxy to 0). Annual excess mortality was estimated as the sum of the monthly excess mortality for each year. </w:t>
      </w:r>
      <w:r w:rsidR="00117F43" w:rsidRPr="00DD1E62">
        <w:rPr>
          <w:rFonts w:ascii="Cambria" w:hAnsi="Cambria" w:cs="Andalus"/>
        </w:rPr>
        <w:t xml:space="preserve"> We obtained the 95% confidence interval (CI) for the estimated excess mortality using bootstrap resampling on </w:t>
      </w:r>
      <w:r w:rsidR="00117F43" w:rsidRPr="00DD1E62">
        <w:rPr>
          <w:rFonts w:ascii="Cambria" w:hAnsi="Cambria" w:cs="Andalus"/>
        </w:rPr>
        <w:lastRenderedPageBreak/>
        <w:t>blocks of calendar years (12-month block resampling with replacement) over 1000 replications [</w:t>
      </w:r>
      <w:r w:rsidR="00117F43" w:rsidRPr="00DD1E62">
        <w:rPr>
          <w:rFonts w:ascii="Cambria" w:hAnsi="Cambria" w:cs="Andalus"/>
        </w:rPr>
        <w:fldChar w:fldCharType="begin"/>
      </w:r>
      <w:r w:rsidR="00117F43" w:rsidRPr="00DD1E62">
        <w:rPr>
          <w:rFonts w:ascii="Cambria" w:hAnsi="Cambria" w:cs="Andalus"/>
        </w:rPr>
        <w:instrText xml:space="preserve"> NOTEREF _Ref389812111 \h  \* MERGEFORMAT </w:instrText>
      </w:r>
      <w:r w:rsidR="00117F43" w:rsidRPr="00DD1E62">
        <w:rPr>
          <w:rFonts w:ascii="Cambria" w:hAnsi="Cambria" w:cs="Andalus"/>
        </w:rPr>
      </w:r>
      <w:r w:rsidR="00117F43" w:rsidRPr="00DD1E62">
        <w:rPr>
          <w:rFonts w:ascii="Cambria" w:hAnsi="Cambria" w:cs="Andalus"/>
        </w:rPr>
        <w:fldChar w:fldCharType="separate"/>
      </w:r>
      <w:r w:rsidR="007A18C0" w:rsidRPr="00DD1E62">
        <w:rPr>
          <w:rFonts w:ascii="Cambria" w:hAnsi="Cambria" w:cs="Andalus"/>
        </w:rPr>
        <w:t>1</w:t>
      </w:r>
      <w:r w:rsidR="00117F43" w:rsidRPr="00DD1E62">
        <w:rPr>
          <w:rFonts w:ascii="Cambria" w:hAnsi="Cambria" w:cs="Andalus"/>
        </w:rPr>
        <w:fldChar w:fldCharType="end"/>
      </w:r>
      <w:r w:rsidR="00117F43" w:rsidRPr="00DD1E62">
        <w:rPr>
          <w:rFonts w:ascii="Cambria" w:hAnsi="Cambria" w:cs="Andalus"/>
        </w:rPr>
        <w:t>,</w:t>
      </w:r>
      <w:r w:rsidRPr="00DD1E62">
        <w:rPr>
          <w:rFonts w:ascii="Cambria" w:hAnsi="Cambria" w:cs="Andalus"/>
        </w:rPr>
        <w:fldChar w:fldCharType="begin"/>
      </w:r>
      <w:r w:rsidRPr="00DD1E62">
        <w:rPr>
          <w:rFonts w:ascii="Cambria" w:hAnsi="Cambria" w:cs="Andalus"/>
        </w:rPr>
        <w:instrText xml:space="preserve"> NOTEREF _Ref406671754 \h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2</w:t>
      </w:r>
      <w:r w:rsidRPr="00DD1E62">
        <w:rPr>
          <w:rFonts w:ascii="Cambria" w:hAnsi="Cambria" w:cs="Andalus"/>
        </w:rPr>
        <w:fldChar w:fldCharType="end"/>
      </w:r>
      <w:r w:rsidRPr="00DD1E62">
        <w:rPr>
          <w:rFonts w:ascii="Cambria" w:hAnsi="Cambria" w:cs="Andalus"/>
        </w:rPr>
        <w:t>,</w:t>
      </w:r>
      <w:r w:rsidR="00117F43" w:rsidRPr="00DD1E62">
        <w:rPr>
          <w:rFonts w:ascii="Cambria" w:hAnsi="Cambria" w:cs="Andalus"/>
        </w:rPr>
        <w:endnoteReference w:id="10"/>
      </w:r>
      <w:r w:rsidR="00117F43" w:rsidRPr="00DD1E62">
        <w:rPr>
          <w:rFonts w:ascii="Cambria" w:hAnsi="Cambria" w:cs="Andalus"/>
        </w:rPr>
        <w:t>]. For each resampled dataset we refitted the regression model and the 95% CI were obtained from the 2.5</w:t>
      </w:r>
      <w:r w:rsidR="00117F43" w:rsidRPr="00DD1E62">
        <w:rPr>
          <w:rFonts w:ascii="Cambria" w:hAnsi="Cambria" w:cs="Andalus"/>
          <w:vertAlign w:val="superscript"/>
        </w:rPr>
        <w:t>th</w:t>
      </w:r>
      <w:r w:rsidR="00117F43" w:rsidRPr="00DD1E62">
        <w:rPr>
          <w:rFonts w:ascii="Cambria" w:hAnsi="Cambria" w:cs="Andalus"/>
        </w:rPr>
        <w:t xml:space="preserve"> and 97.5</w:t>
      </w:r>
      <w:r w:rsidR="00117F43" w:rsidRPr="00DD1E62">
        <w:rPr>
          <w:rFonts w:ascii="Cambria" w:hAnsi="Cambria" w:cs="Andalus"/>
          <w:vertAlign w:val="superscript"/>
        </w:rPr>
        <w:t>th</w:t>
      </w:r>
      <w:r w:rsidR="00117F43" w:rsidRPr="00DD1E62">
        <w:rPr>
          <w:rFonts w:ascii="Cambria" w:hAnsi="Cambria" w:cs="Andalus"/>
        </w:rPr>
        <w:t xml:space="preserve"> percentiles of the estimated influenza-associated mortality from the 1000 resampled datasets.</w:t>
      </w:r>
    </w:p>
    <w:p w:rsidR="00EA6930" w:rsidRPr="00DD1E62" w:rsidRDefault="00EA6930" w:rsidP="00460344">
      <w:pPr>
        <w:spacing w:line="360" w:lineRule="auto"/>
        <w:jc w:val="both"/>
        <w:rPr>
          <w:rFonts w:ascii="Cambria" w:hAnsi="Cambria" w:cs="Andalus"/>
        </w:rPr>
      </w:pPr>
    </w:p>
    <w:p w:rsidR="00EA6930" w:rsidRPr="00DD1E62" w:rsidRDefault="00EA6930" w:rsidP="00460344">
      <w:pPr>
        <w:spacing w:line="360" w:lineRule="auto"/>
        <w:jc w:val="both"/>
        <w:rPr>
          <w:rFonts w:ascii="Cambria" w:hAnsi="Cambria" w:cs="Andalus"/>
          <w:b/>
          <w:color w:val="1F4E79" w:themeColor="accent1" w:themeShade="80"/>
        </w:rPr>
      </w:pPr>
      <w:r w:rsidRPr="00DD1E62">
        <w:rPr>
          <w:rFonts w:ascii="Cambria" w:hAnsi="Cambria" w:cs="Andalus"/>
          <w:b/>
          <w:color w:val="1F4E79" w:themeColor="accent1" w:themeShade="80"/>
        </w:rPr>
        <w:t>Stage-2 model: estimates of influe</w:t>
      </w:r>
      <w:r w:rsidR="00A73702" w:rsidRPr="00DD1E62">
        <w:rPr>
          <w:rFonts w:ascii="Cambria" w:hAnsi="Cambria" w:cs="Andalus"/>
          <w:b/>
          <w:color w:val="1F4E79" w:themeColor="accent1" w:themeShade="80"/>
        </w:rPr>
        <w:t>nza</w:t>
      </w:r>
      <w:r w:rsidRPr="00DD1E62">
        <w:rPr>
          <w:rFonts w:ascii="Cambria" w:hAnsi="Cambria" w:cs="Andalus"/>
          <w:b/>
          <w:color w:val="1F4E79" w:themeColor="accent1" w:themeShade="80"/>
        </w:rPr>
        <w:t>-associated mortality by HIV status</w:t>
      </w:r>
    </w:p>
    <w:p w:rsidR="00117F43" w:rsidRPr="00DD1E62" w:rsidRDefault="00117F43" w:rsidP="00460344">
      <w:pPr>
        <w:spacing w:line="360" w:lineRule="auto"/>
        <w:jc w:val="both"/>
        <w:rPr>
          <w:sz w:val="20"/>
          <w:szCs w:val="20"/>
        </w:rPr>
      </w:pPr>
    </w:p>
    <w:p w:rsidR="007A7268" w:rsidRPr="00DD1E62" w:rsidRDefault="007A7268" w:rsidP="00460344">
      <w:pPr>
        <w:spacing w:line="360" w:lineRule="auto"/>
        <w:jc w:val="both"/>
        <w:rPr>
          <w:rFonts w:ascii="Cambria" w:hAnsi="Cambria" w:cs="Andalus"/>
        </w:rPr>
      </w:pPr>
      <w:r w:rsidRPr="00DD1E62">
        <w:rPr>
          <w:rFonts w:ascii="Cambria" w:hAnsi="Cambria" w:cs="Andalus"/>
        </w:rPr>
        <w:t>In South Africa, a diagnosis of AIDS is rarely coded on the death certificate [</w:t>
      </w:r>
      <w:r w:rsidRPr="00DD1E62">
        <w:rPr>
          <w:rStyle w:val="EndnoteReference"/>
          <w:rFonts w:ascii="Cambria" w:hAnsi="Cambria" w:cs="Andalus"/>
          <w:vertAlign w:val="baseline"/>
        </w:rPr>
        <w:endnoteReference w:id="11"/>
      </w:r>
      <w:r w:rsidRPr="00DD1E62">
        <w:rPr>
          <w:rFonts w:ascii="Cambria" w:hAnsi="Cambria" w:cs="Andalus"/>
        </w:rPr>
        <w:t>], hindering direct estimation of influenza-associated excess mortality by HIV status. Instead, we used a two-stage regression approach that builds on the annual national excess mortality estimates provided by Model 1</w:t>
      </w:r>
      <w:r w:rsidR="003D140A" w:rsidRPr="00DD1E62">
        <w:rPr>
          <w:rFonts w:ascii="Cambria" w:hAnsi="Cambria" w:cs="Andalus"/>
        </w:rPr>
        <w:t xml:space="preserve"> as previously described [</w:t>
      </w:r>
      <w:r w:rsidR="003D140A" w:rsidRPr="00DD1E62">
        <w:rPr>
          <w:rFonts w:ascii="Cambria" w:hAnsi="Cambria" w:cs="Andalus"/>
        </w:rPr>
        <w:fldChar w:fldCharType="begin"/>
      </w:r>
      <w:r w:rsidR="003D140A" w:rsidRPr="00DD1E62">
        <w:rPr>
          <w:rFonts w:ascii="Cambria" w:hAnsi="Cambria" w:cs="Andalus"/>
        </w:rPr>
        <w:instrText xml:space="preserve"> NOTEREF _Ref389812111 \h </w:instrText>
      </w:r>
      <w:r w:rsidR="00460344" w:rsidRPr="00DD1E62">
        <w:rPr>
          <w:rFonts w:ascii="Cambria" w:hAnsi="Cambria" w:cs="Andalus"/>
        </w:rPr>
        <w:instrText xml:space="preserve"> \* MERGEFORMAT </w:instrText>
      </w:r>
      <w:r w:rsidR="003D140A" w:rsidRPr="00DD1E62">
        <w:rPr>
          <w:rFonts w:ascii="Cambria" w:hAnsi="Cambria" w:cs="Andalus"/>
        </w:rPr>
      </w:r>
      <w:r w:rsidR="003D140A" w:rsidRPr="00DD1E62">
        <w:rPr>
          <w:rFonts w:ascii="Cambria" w:hAnsi="Cambria" w:cs="Andalus"/>
        </w:rPr>
        <w:fldChar w:fldCharType="separate"/>
      </w:r>
      <w:r w:rsidR="007A18C0" w:rsidRPr="00DD1E62">
        <w:rPr>
          <w:rFonts w:ascii="Cambria" w:hAnsi="Cambria" w:cs="Andalus"/>
        </w:rPr>
        <w:t>1</w:t>
      </w:r>
      <w:r w:rsidR="003D140A" w:rsidRPr="00DD1E62">
        <w:rPr>
          <w:rFonts w:ascii="Cambria" w:hAnsi="Cambria" w:cs="Andalus"/>
        </w:rPr>
        <w:fldChar w:fldCharType="end"/>
      </w:r>
      <w:r w:rsidR="003D140A" w:rsidRPr="00DD1E62">
        <w:rPr>
          <w:rFonts w:ascii="Cambria" w:hAnsi="Cambria" w:cs="Andalus"/>
        </w:rPr>
        <w:t>,</w:t>
      </w:r>
      <w:r w:rsidR="003D140A" w:rsidRPr="00DD1E62">
        <w:rPr>
          <w:rFonts w:ascii="Cambria" w:hAnsi="Cambria" w:cs="Andalus"/>
        </w:rPr>
        <w:fldChar w:fldCharType="begin"/>
      </w:r>
      <w:r w:rsidR="003D140A" w:rsidRPr="00DD1E62">
        <w:rPr>
          <w:rFonts w:ascii="Cambria" w:hAnsi="Cambria" w:cs="Andalus"/>
        </w:rPr>
        <w:instrText xml:space="preserve"> NOTEREF _Ref406671754 \h </w:instrText>
      </w:r>
      <w:r w:rsidR="00460344" w:rsidRPr="00DD1E62">
        <w:rPr>
          <w:rFonts w:ascii="Cambria" w:hAnsi="Cambria" w:cs="Andalus"/>
        </w:rPr>
        <w:instrText xml:space="preserve"> \* MERGEFORMAT </w:instrText>
      </w:r>
      <w:r w:rsidR="003D140A" w:rsidRPr="00DD1E62">
        <w:rPr>
          <w:rFonts w:ascii="Cambria" w:hAnsi="Cambria" w:cs="Andalus"/>
        </w:rPr>
      </w:r>
      <w:r w:rsidR="003D140A" w:rsidRPr="00DD1E62">
        <w:rPr>
          <w:rFonts w:ascii="Cambria" w:hAnsi="Cambria" w:cs="Andalus"/>
        </w:rPr>
        <w:fldChar w:fldCharType="separate"/>
      </w:r>
      <w:r w:rsidR="007A18C0" w:rsidRPr="00DD1E62">
        <w:rPr>
          <w:rFonts w:ascii="Cambria" w:hAnsi="Cambria" w:cs="Andalus"/>
        </w:rPr>
        <w:t>2</w:t>
      </w:r>
      <w:r w:rsidR="003D140A" w:rsidRPr="00DD1E62">
        <w:rPr>
          <w:rFonts w:ascii="Cambria" w:hAnsi="Cambria" w:cs="Andalus"/>
        </w:rPr>
        <w:fldChar w:fldCharType="end"/>
      </w:r>
      <w:r w:rsidR="003D140A" w:rsidRPr="00DD1E62">
        <w:rPr>
          <w:rFonts w:ascii="Cambria" w:hAnsi="Cambria" w:cs="Andalus"/>
        </w:rPr>
        <w:t>]</w:t>
      </w:r>
      <w:r w:rsidRPr="00DD1E62">
        <w:rPr>
          <w:rFonts w:ascii="Cambria" w:hAnsi="Cambria" w:cs="Andalus"/>
        </w:rPr>
        <w:t>. The rationale for the annual regression relies on using the increasing trend in HIV prevalence over time to estimate the fraction of national excess deaths attributed to HIV-positive and HIV-negative individuals (in particular, if HIV was not a risk factor for influenza-related mortality, then influenza-related mortality would not increase over time, and influenza-related deaths would occur among HIV-infected and HIV-uninfected populations proportionally to their group sizes).  The annual regression further accounts for increasing HAART coverage (which tends to decrease influenza-related excess mortality among HIV-infected individuals over time [</w:t>
      </w:r>
      <w:r w:rsidRPr="00DD1E62">
        <w:rPr>
          <w:rFonts w:ascii="Cambria" w:hAnsi="Cambria" w:cs="Andalus"/>
        </w:rPr>
        <w:fldChar w:fldCharType="begin"/>
      </w:r>
      <w:r w:rsidRPr="00DD1E62">
        <w:rPr>
          <w:rFonts w:ascii="Cambria" w:hAnsi="Cambria" w:cs="Andalus"/>
        </w:rPr>
        <w:instrText xml:space="preserve"> NOTEREF _Ref406673264 \h </w:instrText>
      </w:r>
      <w:r w:rsidR="00460344" w:rsidRPr="00DD1E62">
        <w:rPr>
          <w:rFonts w:ascii="Cambria" w:hAnsi="Cambria" w:cs="Andalus"/>
        </w:rPr>
        <w:instrText xml:space="preserve">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8</w:t>
      </w:r>
      <w:r w:rsidRPr="00DD1E62">
        <w:rPr>
          <w:rFonts w:ascii="Cambria" w:hAnsi="Cambria" w:cs="Andalus"/>
        </w:rPr>
        <w:fldChar w:fldCharType="end"/>
      </w:r>
      <w:r w:rsidRPr="00DD1E62">
        <w:rPr>
          <w:rFonts w:ascii="Cambria" w:hAnsi="Cambria" w:cs="Andalus"/>
        </w:rPr>
        <w:t>]) and circulation of more severe influenza subtypes (A(H3N2) vs A(H1N1) or B). Through model selection procedures, we assessed the fit of models including higher order polynomials (1</w:t>
      </w:r>
      <w:r w:rsidRPr="00DD1E62">
        <w:rPr>
          <w:rFonts w:ascii="Cambria" w:hAnsi="Cambria" w:cs="Andalus"/>
          <w:vertAlign w:val="superscript"/>
        </w:rPr>
        <w:t>st</w:t>
      </w:r>
      <w:r w:rsidRPr="00DD1E62">
        <w:rPr>
          <w:rFonts w:ascii="Cambria" w:hAnsi="Cambria" w:cs="Andalus"/>
        </w:rPr>
        <w:t xml:space="preserve"> to 3</w:t>
      </w:r>
      <w:r w:rsidRPr="00DD1E62">
        <w:rPr>
          <w:rFonts w:ascii="Cambria" w:hAnsi="Cambria" w:cs="Andalus"/>
          <w:vertAlign w:val="superscript"/>
        </w:rPr>
        <w:t>rd</w:t>
      </w:r>
      <w:r w:rsidRPr="00DD1E62">
        <w:rPr>
          <w:rFonts w:ascii="Cambria" w:hAnsi="Cambria" w:cs="Andalus"/>
        </w:rPr>
        <w:t xml:space="preserve"> degree) to represent time trends of health indicators unrelated to influenza, HIV or HAART as well as the removal of the influenza, HIV or HAART covariate from the models. The model with 2</w:t>
      </w:r>
      <w:r w:rsidRPr="00DD1E62">
        <w:rPr>
          <w:rFonts w:ascii="Cambria" w:hAnsi="Cambria" w:cs="Andalus"/>
          <w:vertAlign w:val="superscript"/>
        </w:rPr>
        <w:t>nd</w:t>
      </w:r>
      <w:r w:rsidRPr="00DD1E62">
        <w:rPr>
          <w:rFonts w:ascii="Cambria" w:hAnsi="Cambria" w:cs="Andalus"/>
        </w:rPr>
        <w:t xml:space="preserve"> degree polynomial time trends and influenza, HIV and HAART covariates had the best fit to the data. The model accounts for the combined effect of varying HIV prevalence in the population over the years as well as different HIV interventions, including the prevention of HIV infection and the effect of HAART on HIV infected individuals.</w:t>
      </w:r>
    </w:p>
    <w:p w:rsidR="007A7268" w:rsidRPr="00DD1E62" w:rsidRDefault="007A7268" w:rsidP="00460344">
      <w:pPr>
        <w:spacing w:line="360" w:lineRule="auto"/>
        <w:jc w:val="both"/>
        <w:rPr>
          <w:rFonts w:ascii="Cambria" w:hAnsi="Cambria" w:cs="Andalus"/>
        </w:rPr>
      </w:pPr>
    </w:p>
    <w:p w:rsidR="007A7268" w:rsidRPr="00DD1E62" w:rsidRDefault="007A7268" w:rsidP="00460344">
      <w:pPr>
        <w:spacing w:line="360" w:lineRule="auto"/>
        <w:jc w:val="both"/>
        <w:rPr>
          <w:rFonts w:ascii="Cambria" w:hAnsi="Cambria" w:cs="Andalus"/>
        </w:rPr>
      </w:pPr>
      <w:r w:rsidRPr="00DD1E62">
        <w:rPr>
          <w:rFonts w:ascii="Cambria" w:hAnsi="Cambria" w:cs="Andalus"/>
        </w:rPr>
        <w:t>We fitted separate multivariate GLM for each group (pregnant and non-pregnant women) and cause of death, considering a Poisson distribution and an identity link (Model 2) as previously described [</w:t>
      </w:r>
      <w:r w:rsidRPr="00DD1E62">
        <w:rPr>
          <w:rFonts w:ascii="Cambria" w:hAnsi="Cambria" w:cs="Andalus"/>
        </w:rPr>
        <w:fldChar w:fldCharType="begin"/>
      </w:r>
      <w:r w:rsidRPr="00DD1E62">
        <w:rPr>
          <w:rFonts w:ascii="Cambria" w:hAnsi="Cambria" w:cs="Andalus"/>
        </w:rPr>
        <w:instrText xml:space="preserve"> NOTEREF _Ref389812111 \h </w:instrText>
      </w:r>
      <w:r w:rsidR="00460344" w:rsidRPr="00DD1E62">
        <w:rPr>
          <w:rFonts w:ascii="Cambria" w:hAnsi="Cambria" w:cs="Andalus"/>
        </w:rPr>
        <w:instrText xml:space="preserve">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1</w:t>
      </w:r>
      <w:r w:rsidRPr="00DD1E62">
        <w:rPr>
          <w:rFonts w:ascii="Cambria" w:hAnsi="Cambria" w:cs="Andalus"/>
        </w:rPr>
        <w:fldChar w:fldCharType="end"/>
      </w:r>
      <w:r w:rsidRPr="00DD1E62">
        <w:rPr>
          <w:rFonts w:ascii="Cambria" w:hAnsi="Cambria" w:cs="Andalus"/>
        </w:rPr>
        <w:t>,</w:t>
      </w:r>
      <w:r w:rsidRPr="00DD1E62">
        <w:rPr>
          <w:rFonts w:ascii="Cambria" w:hAnsi="Cambria" w:cs="Andalus"/>
        </w:rPr>
        <w:fldChar w:fldCharType="begin"/>
      </w:r>
      <w:r w:rsidRPr="00DD1E62">
        <w:rPr>
          <w:rFonts w:ascii="Cambria" w:hAnsi="Cambria" w:cs="Andalus"/>
        </w:rPr>
        <w:instrText xml:space="preserve"> NOTEREF _Ref406671754 \h </w:instrText>
      </w:r>
      <w:r w:rsidR="00460344" w:rsidRPr="00DD1E62">
        <w:rPr>
          <w:rFonts w:ascii="Cambria" w:hAnsi="Cambria" w:cs="Andalus"/>
        </w:rPr>
        <w:instrText xml:space="preserve"> \* MERGEFORMAT </w:instrText>
      </w:r>
      <w:r w:rsidRPr="00DD1E62">
        <w:rPr>
          <w:rFonts w:ascii="Cambria" w:hAnsi="Cambria" w:cs="Andalus"/>
        </w:rPr>
      </w:r>
      <w:r w:rsidRPr="00DD1E62">
        <w:rPr>
          <w:rFonts w:ascii="Cambria" w:hAnsi="Cambria" w:cs="Andalus"/>
        </w:rPr>
        <w:fldChar w:fldCharType="separate"/>
      </w:r>
      <w:r w:rsidR="007A18C0" w:rsidRPr="00DD1E62">
        <w:rPr>
          <w:rFonts w:ascii="Cambria" w:hAnsi="Cambria" w:cs="Andalus"/>
        </w:rPr>
        <w:t>2</w:t>
      </w:r>
      <w:r w:rsidRPr="00DD1E62">
        <w:rPr>
          <w:rFonts w:ascii="Cambria" w:hAnsi="Cambria" w:cs="Andalus"/>
        </w:rPr>
        <w:fldChar w:fldCharType="end"/>
      </w:r>
      <w:r w:rsidRPr="00DD1E62">
        <w:rPr>
          <w:rFonts w:ascii="Cambria" w:hAnsi="Cambria" w:cs="Andalus"/>
        </w:rPr>
        <w:t>]. The following model was used</w:t>
      </w:r>
      <w:r w:rsidR="00DB3D27" w:rsidRPr="00DD1E62">
        <w:rPr>
          <w:rFonts w:ascii="Cambria" w:hAnsi="Cambria" w:cs="Andalus"/>
        </w:rPr>
        <w:t xml:space="preserve"> for seasonal influenza</w:t>
      </w:r>
      <w:r w:rsidRPr="00DD1E62">
        <w:rPr>
          <w:rFonts w:ascii="Cambria" w:hAnsi="Cambria" w:cs="Andalus"/>
        </w:rPr>
        <w:t>:</w:t>
      </w:r>
    </w:p>
    <w:p w:rsidR="007A7268" w:rsidRPr="00DD1E62" w:rsidRDefault="007A7268" w:rsidP="00460344">
      <w:pPr>
        <w:spacing w:line="360" w:lineRule="auto"/>
        <w:jc w:val="both"/>
        <w:rPr>
          <w:rFonts w:ascii="Cambria" w:hAnsi="Cambria" w:cs="Andalus"/>
        </w:rPr>
      </w:pPr>
    </w:p>
    <w:p w:rsidR="007A7268" w:rsidRPr="00DD1E62" w:rsidRDefault="007A7268" w:rsidP="00460344">
      <w:pPr>
        <w:spacing w:line="360" w:lineRule="auto"/>
        <w:jc w:val="both"/>
        <w:rPr>
          <w:rFonts w:ascii="Cambria" w:hAnsi="Cambria" w:cs="Andalus"/>
          <w:sz w:val="20"/>
          <w:szCs w:val="20"/>
        </w:rPr>
      </w:pPr>
      <w:r w:rsidRPr="00DD1E62">
        <w:rPr>
          <w:rFonts w:ascii="Cambria" w:hAnsi="Cambria" w:cs="Andalus"/>
          <w:position w:val="-36"/>
        </w:rPr>
        <w:object w:dxaOrig="6300" w:dyaOrig="840">
          <v:shape id="_x0000_i1027" type="#_x0000_t75" style="width:316.5pt;height:45.75pt" o:ole="">
            <v:imagedata r:id="rId12" o:title=""/>
          </v:shape>
          <o:OLEObject Type="Embed" ProgID="Equation.DSMT4" ShapeID="_x0000_i1027" DrawAspect="Content" ObjectID="_1493792066" r:id="rId13"/>
        </w:object>
      </w:r>
      <w:r w:rsidRPr="00DD1E62">
        <w:rPr>
          <w:rFonts w:ascii="Cambria" w:hAnsi="Cambria" w:cs="Andalus"/>
        </w:rPr>
        <w:tab/>
      </w:r>
      <w:r w:rsidRPr="00DD1E62">
        <w:rPr>
          <w:rFonts w:ascii="Cambria" w:hAnsi="Cambria" w:cs="Andalus"/>
        </w:rPr>
        <w:tab/>
      </w:r>
      <w:r w:rsidRPr="00DD1E62">
        <w:rPr>
          <w:rFonts w:ascii="Cambria" w:hAnsi="Cambria" w:cs="Andalus"/>
        </w:rPr>
        <w:tab/>
      </w:r>
      <w:r w:rsidRPr="00DD1E62">
        <w:rPr>
          <w:rFonts w:ascii="Cambria" w:hAnsi="Cambria" w:cs="Andalus"/>
        </w:rPr>
        <w:tab/>
        <w:t xml:space="preserve"> (2)</w:t>
      </w:r>
    </w:p>
    <w:p w:rsidR="007A7268" w:rsidRPr="00DD1E62" w:rsidRDefault="007A7268" w:rsidP="00460344">
      <w:pPr>
        <w:spacing w:line="360" w:lineRule="auto"/>
        <w:jc w:val="both"/>
        <w:rPr>
          <w:rFonts w:ascii="Cambria" w:hAnsi="Cambria" w:cs="Andalus"/>
          <w:i/>
        </w:rPr>
      </w:pPr>
    </w:p>
    <w:p w:rsidR="0047785C" w:rsidRPr="00DD1E62" w:rsidRDefault="007A7268" w:rsidP="00460344">
      <w:pPr>
        <w:spacing w:line="360" w:lineRule="auto"/>
        <w:jc w:val="both"/>
        <w:rPr>
          <w:rFonts w:ascii="Cambria" w:hAnsi="Cambria" w:cs="Andalus"/>
        </w:rPr>
      </w:pPr>
      <w:r w:rsidRPr="00DD1E62">
        <w:rPr>
          <w:rFonts w:ascii="Cambria" w:hAnsi="Cambria" w:cs="Andalus"/>
        </w:rPr>
        <w:t xml:space="preserve">Where </w:t>
      </w:r>
      <w:r w:rsidRPr="00DD1E62">
        <w:rPr>
          <w:rFonts w:ascii="Cambria" w:hAnsi="Cambria" w:cs="Andalus"/>
          <w:i/>
        </w:rPr>
        <w:t>E(Y</w:t>
      </w:r>
      <w:r w:rsidRPr="00DD1E62">
        <w:rPr>
          <w:rFonts w:ascii="Cambria" w:hAnsi="Cambria" w:cs="Andalus"/>
          <w:i/>
          <w:vertAlign w:val="subscript"/>
        </w:rPr>
        <w:t>i,t</w:t>
      </w:r>
      <w:r w:rsidRPr="00DD1E62">
        <w:rPr>
          <w:rFonts w:ascii="Cambria" w:hAnsi="Cambria" w:cs="Andalus"/>
          <w:i/>
        </w:rPr>
        <w:t>)</w:t>
      </w:r>
      <w:r w:rsidRPr="00DD1E62">
        <w:rPr>
          <w:rFonts w:ascii="Cambria" w:hAnsi="Cambria" w:cs="Andalus"/>
        </w:rPr>
        <w:t xml:space="preserve"> represents the number of </w:t>
      </w:r>
      <w:r w:rsidR="00DB3D27" w:rsidRPr="00DD1E62">
        <w:rPr>
          <w:rFonts w:ascii="Cambria" w:hAnsi="Cambria" w:cs="Andalus"/>
        </w:rPr>
        <w:t xml:space="preserve">seasonal </w:t>
      </w:r>
      <w:r w:rsidRPr="00DD1E62">
        <w:rPr>
          <w:rFonts w:ascii="Cambria" w:hAnsi="Cambria" w:cs="Andalus"/>
        </w:rPr>
        <w:t xml:space="preserve">influenza-associated excess deaths </w:t>
      </w:r>
      <w:r w:rsidR="00DB3D27" w:rsidRPr="00DD1E62">
        <w:rPr>
          <w:rFonts w:ascii="Cambria" w:hAnsi="Cambria" w:cs="Andalus"/>
        </w:rPr>
        <w:t>for</w:t>
      </w:r>
      <w:r w:rsidRPr="00DD1E62">
        <w:rPr>
          <w:rFonts w:ascii="Cambria" w:hAnsi="Cambria" w:cs="Andalus"/>
        </w:rPr>
        <w:t xml:space="preserve"> </w:t>
      </w:r>
      <w:r w:rsidR="00DB3D27" w:rsidRPr="00DD1E62">
        <w:rPr>
          <w:rFonts w:ascii="Cambria" w:hAnsi="Cambria" w:cs="Andalus"/>
        </w:rPr>
        <w:t xml:space="preserve">pregnancy group </w:t>
      </w:r>
      <w:r w:rsidRPr="00DD1E62">
        <w:rPr>
          <w:rFonts w:ascii="Cambria" w:hAnsi="Cambria" w:cs="Andalus"/>
          <w:i/>
        </w:rPr>
        <w:t>i</w:t>
      </w:r>
      <w:r w:rsidRPr="00DD1E62">
        <w:rPr>
          <w:rFonts w:ascii="Cambria" w:hAnsi="Cambria" w:cs="Andalus"/>
        </w:rPr>
        <w:t xml:space="preserve"> </w:t>
      </w:r>
      <w:r w:rsidR="00DB3D27" w:rsidRPr="00DD1E62">
        <w:rPr>
          <w:rFonts w:ascii="Cambria" w:hAnsi="Cambria" w:cs="Andalus"/>
        </w:rPr>
        <w:t xml:space="preserve">(pregnant or non-pregnant) </w:t>
      </w:r>
      <w:r w:rsidRPr="00DD1E62">
        <w:rPr>
          <w:rFonts w:ascii="Cambria" w:hAnsi="Cambria" w:cs="Andalus"/>
        </w:rPr>
        <w:t>and year</w:t>
      </w:r>
      <w:r w:rsidRPr="00DD1E62">
        <w:rPr>
          <w:rFonts w:ascii="Cambria" w:hAnsi="Cambria" w:cs="Andalus"/>
          <w:i/>
        </w:rPr>
        <w:t xml:space="preserve"> t </w:t>
      </w:r>
      <w:r w:rsidRPr="00DD1E62">
        <w:rPr>
          <w:rFonts w:ascii="Cambria" w:hAnsi="Cambria" w:cs="Andalus"/>
        </w:rPr>
        <w:t xml:space="preserve">(as obtained from the stage-1 approach); </w:t>
      </w:r>
      <w:r w:rsidRPr="00DD1E62">
        <w:rPr>
          <w:rFonts w:ascii="Cambria" w:hAnsi="Cambria" w:cs="Cambria"/>
          <w:i/>
        </w:rPr>
        <w:t>α</w:t>
      </w:r>
      <w:r w:rsidRPr="00DD1E62">
        <w:rPr>
          <w:rFonts w:ascii="Cambria" w:hAnsi="Cambria" w:cs="Andalus"/>
          <w:i/>
          <w:vertAlign w:val="subscript"/>
        </w:rPr>
        <w:t>i</w:t>
      </w:r>
      <w:r w:rsidRPr="00DD1E62">
        <w:rPr>
          <w:rFonts w:ascii="Cambria" w:hAnsi="Cambria" w:cs="Andalus"/>
        </w:rPr>
        <w:t xml:space="preserve"> is an offset representing the population size of </w:t>
      </w:r>
      <w:r w:rsidR="00DB3D27" w:rsidRPr="00DD1E62">
        <w:rPr>
          <w:rFonts w:ascii="Cambria" w:hAnsi="Cambria" w:cs="Andalus"/>
        </w:rPr>
        <w:t xml:space="preserve">pregnancy group </w:t>
      </w:r>
      <w:r w:rsidRPr="00DD1E62">
        <w:rPr>
          <w:rFonts w:ascii="Cambria" w:hAnsi="Cambria" w:cs="Andalus"/>
          <w:i/>
        </w:rPr>
        <w:t>i</w:t>
      </w:r>
      <w:r w:rsidRPr="00DD1E62">
        <w:rPr>
          <w:rFonts w:ascii="Cambria" w:hAnsi="Cambria" w:cs="Andalus"/>
        </w:rPr>
        <w:t xml:space="preserve">; </w:t>
      </w:r>
      <w:r w:rsidRPr="00DD1E62">
        <w:rPr>
          <w:rFonts w:ascii="Cambria" w:hAnsi="Cambria" w:cs="Cambria"/>
          <w:i/>
        </w:rPr>
        <w:t>β</w:t>
      </w:r>
      <w:r w:rsidRPr="00DD1E62">
        <w:rPr>
          <w:rFonts w:ascii="Cambria" w:hAnsi="Cambria" w:cs="Andalus"/>
          <w:i/>
          <w:vertAlign w:val="subscript"/>
        </w:rPr>
        <w:t>0,i</w:t>
      </w:r>
      <w:r w:rsidRPr="00DD1E62">
        <w:rPr>
          <w:rFonts w:ascii="Cambria" w:hAnsi="Cambria" w:cs="Andalus"/>
        </w:rPr>
        <w:t xml:space="preserve"> is the </w:t>
      </w:r>
      <w:r w:rsidR="00DB3D27" w:rsidRPr="00DD1E62">
        <w:rPr>
          <w:rFonts w:ascii="Cambria" w:hAnsi="Cambria" w:cs="Andalus"/>
        </w:rPr>
        <w:t xml:space="preserve">pregnancy group-specific </w:t>
      </w:r>
      <w:r w:rsidRPr="00DD1E62">
        <w:rPr>
          <w:rFonts w:ascii="Cambria" w:hAnsi="Cambria" w:cs="Andalus"/>
        </w:rPr>
        <w:t xml:space="preserve">intercept; </w:t>
      </w:r>
      <w:r w:rsidRPr="00DD1E62">
        <w:rPr>
          <w:rFonts w:ascii="Cambria" w:hAnsi="Cambria" w:cs="Cambria"/>
          <w:i/>
        </w:rPr>
        <w:t>β</w:t>
      </w:r>
      <w:r w:rsidRPr="00DD1E62">
        <w:rPr>
          <w:rFonts w:ascii="Cambria" w:hAnsi="Cambria" w:cs="Andalus"/>
          <w:i/>
          <w:vertAlign w:val="subscript"/>
        </w:rPr>
        <w:t>1,i</w:t>
      </w:r>
      <w:r w:rsidRPr="00DD1E62">
        <w:rPr>
          <w:rFonts w:ascii="Cambria" w:hAnsi="Cambria" w:cs="Andalus"/>
        </w:rPr>
        <w:t xml:space="preserve"> and </w:t>
      </w:r>
      <w:r w:rsidRPr="00DD1E62">
        <w:rPr>
          <w:rFonts w:ascii="Cambria" w:hAnsi="Cambria" w:cs="Cambria"/>
          <w:i/>
        </w:rPr>
        <w:t>β</w:t>
      </w:r>
      <w:r w:rsidRPr="00DD1E62">
        <w:rPr>
          <w:rFonts w:ascii="Cambria" w:hAnsi="Cambria" w:cs="Andalus"/>
          <w:i/>
          <w:vertAlign w:val="subscript"/>
        </w:rPr>
        <w:t>2,i</w:t>
      </w:r>
      <w:r w:rsidRPr="00DD1E62">
        <w:rPr>
          <w:rFonts w:ascii="Cambria" w:hAnsi="Cambria" w:cs="Andalus"/>
        </w:rPr>
        <w:t xml:space="preserve"> are </w:t>
      </w:r>
      <w:r w:rsidR="00DB3D27" w:rsidRPr="00DD1E62">
        <w:rPr>
          <w:rFonts w:ascii="Cambria" w:hAnsi="Cambria" w:cs="Andalus"/>
        </w:rPr>
        <w:t>pregnancy group-specific</w:t>
      </w:r>
      <w:r w:rsidRPr="00DD1E62">
        <w:rPr>
          <w:rFonts w:ascii="Cambria" w:hAnsi="Cambria" w:cs="Andalus"/>
        </w:rPr>
        <w:t xml:space="preserve"> coefficients associated with time trends (linear and quadratic) included to account for potential variations of health indicators unrelated to influenza, HIV prevalence or HAART coverage in the population; </w:t>
      </w:r>
      <w:r w:rsidRPr="00DD1E62">
        <w:rPr>
          <w:rFonts w:ascii="Cambria" w:hAnsi="Cambria" w:cs="Cambria"/>
          <w:i/>
        </w:rPr>
        <w:t>β</w:t>
      </w:r>
      <w:r w:rsidRPr="00DD1E62">
        <w:rPr>
          <w:rFonts w:ascii="Cambria" w:hAnsi="Cambria" w:cs="Andalus"/>
          <w:i/>
          <w:vertAlign w:val="subscript"/>
        </w:rPr>
        <w:t>3,i</w:t>
      </w:r>
      <w:r w:rsidRPr="00DD1E62">
        <w:rPr>
          <w:rFonts w:ascii="Cambria" w:hAnsi="Cambria" w:cs="Andalus"/>
        </w:rPr>
        <w:t xml:space="preserve"> is the </w:t>
      </w:r>
      <w:r w:rsidR="00DB3D27" w:rsidRPr="00DD1E62">
        <w:rPr>
          <w:rFonts w:ascii="Cambria" w:hAnsi="Cambria" w:cs="Andalus"/>
        </w:rPr>
        <w:t xml:space="preserve">pregnancy group-specific </w:t>
      </w:r>
      <w:r w:rsidRPr="00DD1E62">
        <w:rPr>
          <w:rFonts w:ascii="Cambria" w:hAnsi="Cambria" w:cs="Andalus"/>
        </w:rPr>
        <w:t>coefficient associated with dominant seasonal influenza type/subtype each year (categorical variable with A(H3N2)-dominant years as reference group vs. A(H1N1) or B) [</w:t>
      </w:r>
      <w:r w:rsidR="00DB3D27" w:rsidRPr="00DD1E62">
        <w:rPr>
          <w:rFonts w:ascii="Cambria" w:hAnsi="Cambria" w:cs="Andalus"/>
        </w:rPr>
        <w:fldChar w:fldCharType="begin"/>
      </w:r>
      <w:r w:rsidR="00DB3D27" w:rsidRPr="00DD1E62">
        <w:rPr>
          <w:rFonts w:ascii="Cambria" w:hAnsi="Cambria" w:cs="Andalus"/>
        </w:rPr>
        <w:instrText xml:space="preserve"> NOTEREF _Ref400523584 \h </w:instrText>
      </w:r>
      <w:r w:rsidR="00460344" w:rsidRPr="00DD1E62">
        <w:rPr>
          <w:rFonts w:ascii="Cambria" w:hAnsi="Cambria" w:cs="Andalus"/>
        </w:rPr>
        <w:instrText xml:space="preserve"> \* MERGEFORMAT </w:instrText>
      </w:r>
      <w:r w:rsidR="00DB3D27" w:rsidRPr="00DD1E62">
        <w:rPr>
          <w:rFonts w:ascii="Cambria" w:hAnsi="Cambria" w:cs="Andalus"/>
        </w:rPr>
      </w:r>
      <w:r w:rsidR="00DB3D27" w:rsidRPr="00DD1E62">
        <w:rPr>
          <w:rFonts w:ascii="Cambria" w:hAnsi="Cambria" w:cs="Andalus"/>
        </w:rPr>
        <w:fldChar w:fldCharType="separate"/>
      </w:r>
      <w:r w:rsidR="007A18C0" w:rsidRPr="00DD1E62">
        <w:rPr>
          <w:rFonts w:ascii="Cambria" w:hAnsi="Cambria" w:cs="Andalus"/>
        </w:rPr>
        <w:t>7</w:t>
      </w:r>
      <w:r w:rsidR="00DB3D27" w:rsidRPr="00DD1E62">
        <w:rPr>
          <w:rFonts w:ascii="Cambria" w:hAnsi="Cambria" w:cs="Andalus"/>
        </w:rPr>
        <w:fldChar w:fldCharType="end"/>
      </w:r>
      <w:r w:rsidRPr="00DD1E62">
        <w:rPr>
          <w:rFonts w:ascii="Cambria" w:hAnsi="Cambria" w:cs="Andalus"/>
        </w:rPr>
        <w:t>,</w:t>
      </w:r>
      <w:bookmarkStart w:id="5" w:name="_Ref400523776"/>
      <w:r w:rsidRPr="00DD1E62">
        <w:rPr>
          <w:rStyle w:val="EndnoteReference"/>
          <w:rFonts w:ascii="Cambria" w:hAnsi="Cambria" w:cs="Andalus"/>
          <w:vertAlign w:val="baseline"/>
        </w:rPr>
        <w:endnoteReference w:id="12"/>
      </w:r>
      <w:bookmarkEnd w:id="5"/>
      <w:r w:rsidRPr="00DD1E62">
        <w:rPr>
          <w:rFonts w:ascii="Cambria" w:hAnsi="Cambria" w:cs="Andalus"/>
        </w:rPr>
        <w:t xml:space="preserve">]; </w:t>
      </w:r>
      <w:r w:rsidRPr="00DD1E62">
        <w:rPr>
          <w:rFonts w:ascii="Cambria" w:hAnsi="Cambria" w:cs="Cambria"/>
          <w:i/>
        </w:rPr>
        <w:t>β</w:t>
      </w:r>
      <w:r w:rsidRPr="00DD1E62">
        <w:rPr>
          <w:rFonts w:ascii="Cambria" w:hAnsi="Cambria" w:cs="Andalus"/>
          <w:i/>
          <w:vertAlign w:val="subscript"/>
        </w:rPr>
        <w:t>4,i</w:t>
      </w:r>
      <w:r w:rsidRPr="00DD1E62">
        <w:rPr>
          <w:rFonts w:ascii="Cambria" w:hAnsi="Cambria" w:cs="Andalus"/>
        </w:rPr>
        <w:t xml:space="preserve"> is the coefficient associated with the HIV prevalence in the population in </w:t>
      </w:r>
      <w:r w:rsidR="00DB3D27" w:rsidRPr="00DD1E62">
        <w:rPr>
          <w:rFonts w:ascii="Cambria" w:hAnsi="Cambria" w:cs="Andalus"/>
        </w:rPr>
        <w:t xml:space="preserve">pregnancy </w:t>
      </w:r>
      <w:r w:rsidR="00CE59C4" w:rsidRPr="00DD1E62">
        <w:rPr>
          <w:rFonts w:ascii="Cambria" w:hAnsi="Cambria" w:cs="Andalus"/>
        </w:rPr>
        <w:t xml:space="preserve">group </w:t>
      </w:r>
      <w:r w:rsidRPr="00DD1E62">
        <w:rPr>
          <w:rFonts w:ascii="Cambria" w:hAnsi="Cambria" w:cs="Andalus"/>
          <w:i/>
        </w:rPr>
        <w:t>i</w:t>
      </w:r>
      <w:r w:rsidRPr="00DD1E62">
        <w:rPr>
          <w:rFonts w:ascii="Cambria" w:hAnsi="Cambria" w:cs="Andalus"/>
        </w:rPr>
        <w:t xml:space="preserve"> and year </w:t>
      </w:r>
      <w:r w:rsidRPr="00DD1E62">
        <w:rPr>
          <w:rFonts w:ascii="Cambria" w:hAnsi="Cambria" w:cs="Andalus"/>
          <w:i/>
        </w:rPr>
        <w:t>t</w:t>
      </w:r>
      <w:r w:rsidRPr="00DD1E62">
        <w:rPr>
          <w:rFonts w:ascii="Cambria" w:hAnsi="Cambria" w:cs="Andalus"/>
        </w:rPr>
        <w:t xml:space="preserve">; </w:t>
      </w:r>
      <w:r w:rsidRPr="00DD1E62">
        <w:rPr>
          <w:rFonts w:ascii="Cambria" w:hAnsi="Cambria" w:cs="Cambria"/>
          <w:i/>
        </w:rPr>
        <w:t>β</w:t>
      </w:r>
      <w:r w:rsidRPr="00DD1E62">
        <w:rPr>
          <w:rFonts w:ascii="Cambria" w:hAnsi="Cambria" w:cs="Andalus"/>
          <w:i/>
          <w:vertAlign w:val="subscript"/>
        </w:rPr>
        <w:t>5,i</w:t>
      </w:r>
      <w:r w:rsidRPr="00DD1E62">
        <w:rPr>
          <w:rFonts w:ascii="Cambria" w:hAnsi="Cambria" w:cs="Andalus"/>
        </w:rPr>
        <w:t xml:space="preserve"> is the coefficient associated with HAART coverage among HIV-infected individuals in the population in </w:t>
      </w:r>
      <w:r w:rsidR="00DB3D27" w:rsidRPr="00DD1E62">
        <w:rPr>
          <w:rFonts w:ascii="Cambria" w:hAnsi="Cambria" w:cs="Andalus"/>
        </w:rPr>
        <w:t xml:space="preserve">pregnancy </w:t>
      </w:r>
      <w:r w:rsidR="00CE59C4" w:rsidRPr="00DD1E62">
        <w:rPr>
          <w:rFonts w:ascii="Cambria" w:hAnsi="Cambria" w:cs="Andalus"/>
        </w:rPr>
        <w:t xml:space="preserve">group </w:t>
      </w:r>
      <w:r w:rsidRPr="00DD1E62">
        <w:rPr>
          <w:rFonts w:ascii="Cambria" w:hAnsi="Cambria" w:cs="Andalus"/>
          <w:i/>
        </w:rPr>
        <w:t>i</w:t>
      </w:r>
      <w:r w:rsidRPr="00DD1E62">
        <w:rPr>
          <w:rFonts w:ascii="Cambria" w:hAnsi="Cambria" w:cs="Andalus"/>
        </w:rPr>
        <w:t xml:space="preserve"> and year </w:t>
      </w:r>
      <w:r w:rsidRPr="00DD1E62">
        <w:rPr>
          <w:rFonts w:ascii="Cambria" w:hAnsi="Cambria" w:cs="Andalus"/>
          <w:i/>
        </w:rPr>
        <w:t>t</w:t>
      </w:r>
      <w:r w:rsidRPr="00DD1E62">
        <w:rPr>
          <w:rFonts w:ascii="Cambria" w:hAnsi="Cambria" w:cs="Andalus"/>
        </w:rPr>
        <w:t xml:space="preserve">; and </w:t>
      </w:r>
      <w:r w:rsidRPr="00DD1E62">
        <w:rPr>
          <w:rFonts w:ascii="Cambria" w:hAnsi="Cambria" w:cs="Andalus"/>
          <w:i/>
        </w:rPr>
        <w:sym w:font="Symbol" w:char="F065"/>
      </w:r>
      <w:r w:rsidRPr="00DD1E62">
        <w:rPr>
          <w:rFonts w:ascii="Cambria" w:hAnsi="Cambria" w:cs="Andalus"/>
          <w:i/>
          <w:vertAlign w:val="subscript"/>
        </w:rPr>
        <w:t>i</w:t>
      </w:r>
      <w:r w:rsidRPr="00DD1E62">
        <w:rPr>
          <w:rFonts w:ascii="Cambria" w:hAnsi="Cambria" w:cs="Andalus"/>
        </w:rPr>
        <w:t xml:space="preserve"> is the</w:t>
      </w:r>
      <w:r w:rsidR="00CE59C4" w:rsidRPr="00DD1E62">
        <w:rPr>
          <w:rFonts w:ascii="Cambria" w:hAnsi="Cambria" w:cs="Andalus"/>
        </w:rPr>
        <w:t xml:space="preserve"> pregnancy group</w:t>
      </w:r>
      <w:r w:rsidRPr="00DD1E62">
        <w:rPr>
          <w:rFonts w:ascii="Cambria" w:hAnsi="Cambria" w:cs="Andalus"/>
        </w:rPr>
        <w:t xml:space="preserve">-specific error term. </w:t>
      </w:r>
      <w:r w:rsidR="00CE59C4" w:rsidRPr="00DD1E62">
        <w:rPr>
          <w:rFonts w:ascii="Cambria" w:hAnsi="Cambria" w:cs="Andalus"/>
        </w:rPr>
        <w:t xml:space="preserve">Models were fitted separately for each age group (for non-pregnant women only) and cause of death evaluated in this study.  </w:t>
      </w:r>
      <w:r w:rsidR="00535140" w:rsidRPr="00DD1E62">
        <w:rPr>
          <w:rFonts w:ascii="Cambria" w:hAnsi="Cambria" w:cs="Andalus"/>
        </w:rPr>
        <w:t>The estimated model parameters are provided in Table S1.</w:t>
      </w:r>
    </w:p>
    <w:p w:rsidR="0047785C" w:rsidRPr="00DD1E62" w:rsidRDefault="0047785C" w:rsidP="00460344">
      <w:pPr>
        <w:spacing w:line="360" w:lineRule="auto"/>
        <w:jc w:val="both"/>
        <w:rPr>
          <w:rFonts w:ascii="Cambria" w:hAnsi="Cambria" w:cs="Andalus"/>
        </w:rPr>
      </w:pPr>
    </w:p>
    <w:p w:rsidR="007A7268" w:rsidRPr="00DD1E62" w:rsidRDefault="0047785C" w:rsidP="00460344">
      <w:pPr>
        <w:spacing w:line="360" w:lineRule="auto"/>
        <w:jc w:val="both"/>
        <w:rPr>
          <w:rFonts w:ascii="Cambria" w:hAnsi="Cambria" w:cs="Andalus"/>
        </w:rPr>
      </w:pPr>
      <w:r w:rsidRPr="00DD1E62">
        <w:rPr>
          <w:rFonts w:ascii="Cambria" w:hAnsi="Cambria"/>
        </w:rPr>
        <w:t xml:space="preserve">Mortality rates by HIV status were obtained by dividing the estimated influenza-associated deaths by HIV status from Model 2 by the mid-year population estimates within each category (i.e. HIV-infected and –uninfected pregnant and non-pregnant women). </w:t>
      </w:r>
      <w:r w:rsidR="007A7268" w:rsidRPr="00DD1E62">
        <w:rPr>
          <w:rFonts w:ascii="Cambria" w:hAnsi="Cambria" w:cs="Andalus"/>
        </w:rPr>
        <w:t xml:space="preserve">The model was not fitted to mortality estimates for influenza A(H1N1)pdm09 as the approach requires </w:t>
      </w:r>
      <w:r w:rsidR="007A7268" w:rsidRPr="00DD1E62">
        <w:rPr>
          <w:rFonts w:ascii="Cambria" w:hAnsi="Cambria"/>
        </w:rPr>
        <w:t>several</w:t>
      </w:r>
      <w:r w:rsidR="007A7268" w:rsidRPr="00DD1E62">
        <w:rPr>
          <w:rFonts w:ascii="Cambria" w:hAnsi="Cambria" w:cs="Andalus"/>
        </w:rPr>
        <w:t xml:space="preserve"> years of circulation of a specific virus to partition excess deaths by HIV status.</w:t>
      </w:r>
    </w:p>
    <w:p w:rsidR="00D15E31" w:rsidRPr="00DD1E62" w:rsidRDefault="00D15E31" w:rsidP="00460344">
      <w:pPr>
        <w:spacing w:line="360" w:lineRule="auto"/>
        <w:jc w:val="both"/>
        <w:rPr>
          <w:sz w:val="20"/>
          <w:szCs w:val="20"/>
        </w:rPr>
      </w:pPr>
    </w:p>
    <w:p w:rsidR="00341BB2" w:rsidRPr="00DD1E62" w:rsidRDefault="00341BB2" w:rsidP="00460344">
      <w:pPr>
        <w:spacing w:line="360" w:lineRule="auto"/>
        <w:jc w:val="both"/>
        <w:rPr>
          <w:rFonts w:ascii="Cambria" w:hAnsi="Cambria" w:cs="Andalus"/>
          <w:b/>
          <w:color w:val="1F4E79" w:themeColor="accent1" w:themeShade="80"/>
        </w:rPr>
      </w:pPr>
      <w:r w:rsidRPr="00DD1E62">
        <w:rPr>
          <w:rFonts w:ascii="Cambria" w:hAnsi="Cambria" w:cs="Andalus"/>
          <w:b/>
          <w:color w:val="1F4E79" w:themeColor="accent1" w:themeShade="80"/>
        </w:rPr>
        <w:t>Standardization of influenza-associated mortality rates</w:t>
      </w:r>
    </w:p>
    <w:p w:rsidR="00341BB2" w:rsidRPr="00DD1E62" w:rsidRDefault="00341BB2" w:rsidP="00460344">
      <w:pPr>
        <w:spacing w:line="360" w:lineRule="auto"/>
        <w:jc w:val="both"/>
        <w:rPr>
          <w:rFonts w:ascii="Cambria" w:hAnsi="Cambria"/>
        </w:rPr>
      </w:pPr>
    </w:p>
    <w:p w:rsidR="00341BB2" w:rsidRPr="00DD1E62" w:rsidRDefault="00B9647D" w:rsidP="00460344">
      <w:pPr>
        <w:spacing w:line="360" w:lineRule="auto"/>
        <w:jc w:val="both"/>
        <w:rPr>
          <w:rFonts w:ascii="Cambria" w:hAnsi="Cambria"/>
        </w:rPr>
      </w:pPr>
      <w:r w:rsidRPr="00DD1E62">
        <w:rPr>
          <w:rFonts w:ascii="Cambria" w:hAnsi="Cambria"/>
        </w:rPr>
        <w:t xml:space="preserve">Indirect standardization was used because the low number of deaths among pregnant women hindered our ability to obtain accurate estimates of influenza-associated mortality </w:t>
      </w:r>
      <w:r w:rsidRPr="00DD1E62">
        <w:rPr>
          <w:rFonts w:ascii="Cambria" w:hAnsi="Cambria"/>
        </w:rPr>
        <w:lastRenderedPageBreak/>
        <w:t xml:space="preserve">by age group. </w:t>
      </w:r>
      <w:r w:rsidR="00341BB2" w:rsidRPr="00DD1E62">
        <w:rPr>
          <w:rFonts w:ascii="Cambria" w:hAnsi="Cambria"/>
        </w:rPr>
        <w:t xml:space="preserve">Annual age standardized rates of influenza-associated mortality among pregnant women were obtained </w:t>
      </w:r>
      <w:r w:rsidR="005C2008" w:rsidRPr="00DD1E62">
        <w:rPr>
          <w:rFonts w:ascii="Cambria" w:hAnsi="Cambria"/>
        </w:rPr>
        <w:t>as follows</w:t>
      </w:r>
      <w:r w:rsidR="00341BB2" w:rsidRPr="00DD1E62">
        <w:rPr>
          <w:rFonts w:ascii="Cambria" w:hAnsi="Cambria"/>
        </w:rPr>
        <w:t xml:space="preserve"> [</w:t>
      </w:r>
      <w:r w:rsidR="00341BB2" w:rsidRPr="00DD1E62">
        <w:rPr>
          <w:rStyle w:val="EndnoteReference"/>
          <w:rFonts w:ascii="Cambria" w:hAnsi="Cambria"/>
          <w:vertAlign w:val="baseline"/>
        </w:rPr>
        <w:endnoteReference w:id="13"/>
      </w:r>
      <w:r w:rsidR="00341BB2" w:rsidRPr="00DD1E62">
        <w:rPr>
          <w:rFonts w:ascii="Cambria" w:hAnsi="Cambria"/>
        </w:rPr>
        <w:t>]:</w:t>
      </w:r>
    </w:p>
    <w:p w:rsidR="00341BB2" w:rsidRPr="00DD1E62" w:rsidRDefault="00341BB2" w:rsidP="00460344">
      <w:pPr>
        <w:spacing w:line="360" w:lineRule="auto"/>
        <w:jc w:val="both"/>
        <w:rPr>
          <w:rFonts w:ascii="Cambria" w:hAnsi="Cambria"/>
        </w:rPr>
      </w:pPr>
    </w:p>
    <w:p w:rsidR="00341BB2" w:rsidRPr="00DD1E62" w:rsidRDefault="00CE59C4" w:rsidP="00460344">
      <w:pPr>
        <w:spacing w:line="360" w:lineRule="auto"/>
        <w:jc w:val="both"/>
        <w:rPr>
          <w:rFonts w:ascii="Cambria" w:hAnsi="Cambria"/>
        </w:rPr>
      </w:pPr>
      <w:r w:rsidRPr="00DD1E62">
        <w:rPr>
          <w:rFonts w:ascii="Cambria" w:hAnsi="Cambria"/>
          <w:position w:val="-40"/>
        </w:rPr>
        <w:object w:dxaOrig="4320" w:dyaOrig="800">
          <v:shape id="_x0000_i1028" type="#_x0000_t75" style="width:216.75pt;height:43.5pt" o:ole="">
            <v:imagedata r:id="rId14" o:title=""/>
          </v:shape>
          <o:OLEObject Type="Embed" ProgID="Equation.DSMT4" ShapeID="_x0000_i1028" DrawAspect="Content" ObjectID="_1493792067" r:id="rId15"/>
        </w:object>
      </w:r>
      <w:r w:rsidR="005C2008" w:rsidRPr="00DD1E62">
        <w:rPr>
          <w:rFonts w:ascii="Cambria" w:hAnsi="Cambria"/>
        </w:rPr>
        <w:tab/>
      </w:r>
      <w:r w:rsidR="005C2008" w:rsidRPr="00DD1E62">
        <w:rPr>
          <w:rFonts w:ascii="Cambria" w:hAnsi="Cambria"/>
        </w:rPr>
        <w:tab/>
      </w:r>
      <w:r w:rsidR="005C2008" w:rsidRPr="00DD1E62">
        <w:rPr>
          <w:rFonts w:ascii="Cambria" w:hAnsi="Cambria"/>
        </w:rPr>
        <w:tab/>
      </w:r>
      <w:r w:rsidR="00935637" w:rsidRPr="00DD1E62">
        <w:rPr>
          <w:rFonts w:ascii="Cambria" w:hAnsi="Cambria"/>
        </w:rPr>
        <w:tab/>
      </w:r>
      <w:r w:rsidR="00935637" w:rsidRPr="00DD1E62">
        <w:rPr>
          <w:rFonts w:ascii="Cambria" w:hAnsi="Cambria"/>
        </w:rPr>
        <w:tab/>
      </w:r>
      <w:r w:rsidR="005C2008" w:rsidRPr="00DD1E62">
        <w:rPr>
          <w:rFonts w:ascii="Cambria" w:hAnsi="Cambria"/>
        </w:rPr>
        <w:tab/>
        <w:t>(3)</w:t>
      </w:r>
    </w:p>
    <w:p w:rsidR="00CE59C4" w:rsidRPr="00DD1E62" w:rsidRDefault="00CE59C4" w:rsidP="00460344">
      <w:pPr>
        <w:spacing w:line="360" w:lineRule="auto"/>
        <w:jc w:val="both"/>
        <w:rPr>
          <w:rFonts w:ascii="Cambria" w:hAnsi="Cambria"/>
          <w:i/>
        </w:rPr>
      </w:pPr>
    </w:p>
    <w:p w:rsidR="00F92678" w:rsidRPr="00DD1E62" w:rsidRDefault="00341BB2" w:rsidP="00460344">
      <w:pPr>
        <w:spacing w:line="360" w:lineRule="auto"/>
        <w:jc w:val="both"/>
        <w:rPr>
          <w:rFonts w:ascii="Cambria" w:hAnsi="Cambria"/>
        </w:rPr>
      </w:pPr>
      <w:r w:rsidRPr="00DD1E62">
        <w:rPr>
          <w:rFonts w:ascii="Cambria" w:hAnsi="Cambria"/>
          <w:i/>
        </w:rPr>
        <w:t>SRate</w:t>
      </w:r>
      <w:r w:rsidRPr="00DD1E62">
        <w:rPr>
          <w:rFonts w:ascii="Cambria" w:hAnsi="Cambria"/>
          <w:i/>
          <w:vertAlign w:val="subscript"/>
        </w:rPr>
        <w:t>PW</w:t>
      </w:r>
      <w:r w:rsidRPr="00DD1E62">
        <w:rPr>
          <w:rFonts w:ascii="Cambria" w:hAnsi="Cambria"/>
          <w:vertAlign w:val="subscript"/>
        </w:rPr>
        <w:t xml:space="preserve"> </w:t>
      </w:r>
      <w:r w:rsidRPr="00DD1E62">
        <w:rPr>
          <w:rFonts w:ascii="Cambria" w:hAnsi="Cambria"/>
        </w:rPr>
        <w:t xml:space="preserve">is the annual age standardized influenza-associated mortality rate among pregnant women; </w:t>
      </w:r>
      <w:r w:rsidRPr="00DD1E62">
        <w:rPr>
          <w:rFonts w:ascii="Cambria" w:hAnsi="Cambria"/>
          <w:i/>
        </w:rPr>
        <w:t>Death</w:t>
      </w:r>
      <w:r w:rsidRPr="00DD1E62">
        <w:rPr>
          <w:rFonts w:ascii="Cambria" w:hAnsi="Cambria"/>
          <w:i/>
          <w:vertAlign w:val="subscript"/>
        </w:rPr>
        <w:t>PW</w:t>
      </w:r>
      <w:r w:rsidRPr="00DD1E62">
        <w:rPr>
          <w:rFonts w:ascii="Cambria" w:hAnsi="Cambria"/>
        </w:rPr>
        <w:t xml:space="preserve"> is the annual crude number of estimated influenza-associated deaths among pregnant women (15-49 years of age); </w:t>
      </w:r>
      <w:r w:rsidRPr="00DD1E62">
        <w:rPr>
          <w:rFonts w:ascii="Cambria" w:hAnsi="Cambria"/>
          <w:i/>
        </w:rPr>
        <w:t>Rate</w:t>
      </w:r>
      <w:r w:rsidRPr="00DD1E62">
        <w:rPr>
          <w:rFonts w:ascii="Cambria" w:hAnsi="Cambria"/>
          <w:i/>
          <w:vertAlign w:val="subscript"/>
        </w:rPr>
        <w:t>NPW</w:t>
      </w:r>
      <w:r w:rsidRPr="00DD1E62">
        <w:rPr>
          <w:rFonts w:ascii="Cambria" w:hAnsi="Cambria"/>
        </w:rPr>
        <w:t xml:space="preserve"> is the annual estimated influenza-associated mortality rate </w:t>
      </w:r>
      <w:r w:rsidR="00BB6EE2" w:rsidRPr="00DD1E62">
        <w:rPr>
          <w:rFonts w:ascii="Cambria" w:hAnsi="Cambria"/>
        </w:rPr>
        <w:t xml:space="preserve">among non-pregnant women in </w:t>
      </w:r>
      <w:r w:rsidR="00C81073" w:rsidRPr="00DD1E62">
        <w:rPr>
          <w:rFonts w:ascii="Cambria" w:hAnsi="Cambria"/>
        </w:rPr>
        <w:t xml:space="preserve">age group </w:t>
      </w:r>
      <w:r w:rsidR="00BB6EE2" w:rsidRPr="00DD1E62">
        <w:rPr>
          <w:rFonts w:ascii="Cambria" w:hAnsi="Cambria"/>
          <w:i/>
        </w:rPr>
        <w:t xml:space="preserve">i </w:t>
      </w:r>
      <w:r w:rsidR="00C81073" w:rsidRPr="00DD1E62">
        <w:rPr>
          <w:rFonts w:ascii="Cambria" w:hAnsi="Cambria"/>
        </w:rPr>
        <w:t>(the age groups used for age standardization were: 15-21, 22-28, 29-35, 36-</w:t>
      </w:r>
      <w:r w:rsidR="00D26965" w:rsidRPr="00DD1E62">
        <w:rPr>
          <w:rFonts w:ascii="Cambria" w:hAnsi="Cambria"/>
        </w:rPr>
        <w:t>42 and 43-49 years</w:t>
      </w:r>
      <w:r w:rsidRPr="00DD1E62">
        <w:rPr>
          <w:rFonts w:ascii="Cambria" w:hAnsi="Cambria"/>
        </w:rPr>
        <w:t xml:space="preserve">); </w:t>
      </w:r>
      <w:r w:rsidRPr="00DD1E62">
        <w:rPr>
          <w:rFonts w:ascii="Cambria" w:hAnsi="Cambria"/>
          <w:i/>
        </w:rPr>
        <w:t>Pop</w:t>
      </w:r>
      <w:r w:rsidRPr="00DD1E62">
        <w:rPr>
          <w:rFonts w:ascii="Cambria" w:hAnsi="Cambria"/>
          <w:i/>
          <w:vertAlign w:val="subscript"/>
        </w:rPr>
        <w:t>PW</w:t>
      </w:r>
      <w:r w:rsidRPr="00DD1E62">
        <w:rPr>
          <w:rFonts w:ascii="Cambria" w:hAnsi="Cambria"/>
        </w:rPr>
        <w:t xml:space="preserve"> is the annu</w:t>
      </w:r>
      <w:r w:rsidR="00BB6EE2" w:rsidRPr="00DD1E62">
        <w:rPr>
          <w:rFonts w:ascii="Cambria" w:hAnsi="Cambria"/>
        </w:rPr>
        <w:t xml:space="preserve">al number of pregnant women in </w:t>
      </w:r>
      <w:r w:rsidRPr="00DD1E62">
        <w:rPr>
          <w:rFonts w:ascii="Cambria" w:hAnsi="Cambria"/>
        </w:rPr>
        <w:t>age group</w:t>
      </w:r>
      <w:r w:rsidR="00BB6EE2" w:rsidRPr="00DD1E62">
        <w:rPr>
          <w:rFonts w:ascii="Cambria" w:hAnsi="Cambria"/>
        </w:rPr>
        <w:t xml:space="preserve"> </w:t>
      </w:r>
      <w:r w:rsidR="00BB6EE2" w:rsidRPr="00DD1E62">
        <w:rPr>
          <w:rFonts w:ascii="Cambria" w:hAnsi="Cambria"/>
          <w:i/>
        </w:rPr>
        <w:t>i</w:t>
      </w:r>
      <w:r w:rsidRPr="00DD1E62">
        <w:rPr>
          <w:rFonts w:ascii="Cambria" w:hAnsi="Cambria"/>
        </w:rPr>
        <w:t xml:space="preserve">; and </w:t>
      </w:r>
      <w:r w:rsidRPr="00DD1E62">
        <w:rPr>
          <w:rFonts w:ascii="Cambria" w:hAnsi="Cambria"/>
          <w:i/>
        </w:rPr>
        <w:t>Rate</w:t>
      </w:r>
      <w:r w:rsidRPr="00DD1E62">
        <w:rPr>
          <w:rFonts w:ascii="Cambria" w:hAnsi="Cambria"/>
          <w:i/>
          <w:vertAlign w:val="subscript"/>
        </w:rPr>
        <w:t>NPW</w:t>
      </w:r>
      <w:r w:rsidRPr="00DD1E62">
        <w:rPr>
          <w:rFonts w:ascii="Cambria" w:hAnsi="Cambria"/>
        </w:rPr>
        <w:t xml:space="preserve"> is the annual crude estimated influenza-associated mortality rate among non-pregnant women (15-49 years of age). </w:t>
      </w:r>
    </w:p>
    <w:p w:rsidR="0047785C" w:rsidRPr="00DD1E62" w:rsidRDefault="0047785C" w:rsidP="00460344">
      <w:pPr>
        <w:spacing w:line="360" w:lineRule="auto"/>
        <w:jc w:val="both"/>
        <w:rPr>
          <w:rFonts w:ascii="Cambria" w:hAnsi="Cambria"/>
        </w:rPr>
      </w:pPr>
    </w:p>
    <w:p w:rsidR="0047785C" w:rsidRPr="00DD1E62" w:rsidRDefault="0047785C" w:rsidP="00460344">
      <w:pPr>
        <w:spacing w:line="360" w:lineRule="auto"/>
        <w:jc w:val="both"/>
        <w:rPr>
          <w:rFonts w:ascii="Cambria" w:hAnsi="Cambria"/>
        </w:rPr>
      </w:pPr>
      <w:r w:rsidRPr="00DD1E62">
        <w:rPr>
          <w:rFonts w:ascii="Cambria" w:hAnsi="Cambria"/>
        </w:rPr>
        <w:t>For seasonal influenza age standardized rates were obtained by HIV status using the outputs from Model 2 and the appropriate denominators by HIV status. For influenza A(H1N1)pdm09 overall age standardized rates (irrespective of the HIV status) were obtained using the outputs from Model 1. In our study we could not estimate the influenza A(H1N1)pdm09-associated mortality by HIV status because our modeling method requires HIV prevalence data over several years of circulation of the pandemic virus.</w:t>
      </w:r>
    </w:p>
    <w:p w:rsidR="006269FF" w:rsidRPr="00DD1E62" w:rsidRDefault="006269FF" w:rsidP="00460344">
      <w:pPr>
        <w:spacing w:after="160" w:line="360" w:lineRule="auto"/>
        <w:rPr>
          <w:sz w:val="20"/>
          <w:szCs w:val="20"/>
        </w:rPr>
      </w:pPr>
    </w:p>
    <w:p w:rsidR="006269FF" w:rsidRPr="00DD1E62" w:rsidRDefault="006269FF" w:rsidP="00460344">
      <w:pPr>
        <w:spacing w:line="360" w:lineRule="auto"/>
        <w:jc w:val="both"/>
        <w:rPr>
          <w:rFonts w:ascii="Cambria" w:hAnsi="Cambria" w:cs="Andalus"/>
          <w:b/>
          <w:color w:val="1F4E79" w:themeColor="accent1" w:themeShade="80"/>
        </w:rPr>
      </w:pPr>
      <w:r w:rsidRPr="00DD1E62">
        <w:rPr>
          <w:rFonts w:ascii="Cambria" w:hAnsi="Cambria" w:cs="Andalus"/>
          <w:b/>
          <w:color w:val="1F4E79" w:themeColor="accent1" w:themeShade="80"/>
        </w:rPr>
        <w:t>Estimation of relative risk</w:t>
      </w:r>
    </w:p>
    <w:p w:rsidR="006269FF" w:rsidRPr="00DD1E62" w:rsidRDefault="006269FF" w:rsidP="00460344">
      <w:pPr>
        <w:spacing w:after="160" w:line="360" w:lineRule="auto"/>
        <w:rPr>
          <w:sz w:val="20"/>
          <w:szCs w:val="20"/>
        </w:rPr>
      </w:pPr>
    </w:p>
    <w:p w:rsidR="000B419F" w:rsidRPr="00DD1E62" w:rsidRDefault="006269FF" w:rsidP="00460344">
      <w:pPr>
        <w:spacing w:line="360" w:lineRule="auto"/>
        <w:jc w:val="both"/>
        <w:rPr>
          <w:rFonts w:ascii="Cambria" w:hAnsi="Cambria"/>
        </w:rPr>
      </w:pPr>
      <w:r w:rsidRPr="00DD1E62">
        <w:rPr>
          <w:rFonts w:ascii="Cambria" w:hAnsi="Cambria"/>
        </w:rPr>
        <w:t xml:space="preserve">To assess the relative risk (RR) for influenza-associated mortality related to pregnancy we compared the influenza-associated death rates (crude and age standardized) among pregnant and non-pregnant women using log-binomial regression. For seasonal influenza the overall RR for influenza-associated mortality related to pregnancy was adjusted by HIV status. </w:t>
      </w:r>
    </w:p>
    <w:p w:rsidR="00D43578" w:rsidRPr="00DD1E62" w:rsidRDefault="00D43578" w:rsidP="000B419F">
      <w:pPr>
        <w:spacing w:after="160" w:line="259" w:lineRule="auto"/>
        <w:rPr>
          <w:rFonts w:ascii="Cambria" w:hAnsi="Cambria"/>
          <w:b/>
          <w:color w:val="1F4E79" w:themeColor="accent1" w:themeShade="80"/>
        </w:rPr>
        <w:sectPr w:rsidR="00D43578" w:rsidRPr="00DD1E62" w:rsidSect="00341BB2">
          <w:footerReference w:type="default" r:id="rId16"/>
          <w:endnotePr>
            <w:numFmt w:val="decimal"/>
          </w:endnotePr>
          <w:type w:val="continuous"/>
          <w:pgSz w:w="12240" w:h="15840"/>
          <w:pgMar w:top="1440" w:right="1440" w:bottom="1440" w:left="1440" w:header="720" w:footer="720" w:gutter="0"/>
          <w:cols w:space="720"/>
          <w:docGrid w:linePitch="360"/>
        </w:sectPr>
      </w:pPr>
    </w:p>
    <w:p w:rsidR="000B419F" w:rsidRPr="00DD1E62" w:rsidRDefault="000B419F" w:rsidP="000B419F">
      <w:pPr>
        <w:spacing w:after="160" w:line="259" w:lineRule="auto"/>
        <w:rPr>
          <w:rFonts w:ascii="Cambria" w:hAnsi="Cambria"/>
          <w:b/>
          <w:color w:val="1F4E79" w:themeColor="accent1" w:themeShade="80"/>
        </w:rPr>
      </w:pPr>
      <w:r w:rsidRPr="00DD1E62">
        <w:rPr>
          <w:rFonts w:ascii="Cambria" w:hAnsi="Cambria"/>
          <w:b/>
          <w:color w:val="1F4E79" w:themeColor="accent1" w:themeShade="80"/>
        </w:rPr>
        <w:lastRenderedPageBreak/>
        <w:t>RESULTS</w:t>
      </w:r>
    </w:p>
    <w:p w:rsidR="000B419F" w:rsidRPr="00DD1E62" w:rsidRDefault="00D43578" w:rsidP="000B419F">
      <w:pPr>
        <w:spacing w:after="160" w:line="259" w:lineRule="auto"/>
        <w:rPr>
          <w:rFonts w:ascii="Cambria" w:hAnsi="Cambria"/>
        </w:rPr>
      </w:pPr>
      <w:r w:rsidRPr="00DD1E62">
        <w:rPr>
          <w:rFonts w:ascii="Cambria" w:hAnsi="Cambria"/>
          <w:b/>
        </w:rPr>
        <w:t>Table S1:</w:t>
      </w:r>
      <w:r w:rsidRPr="00DD1E62">
        <w:rPr>
          <w:rFonts w:ascii="Cambria" w:hAnsi="Cambria"/>
        </w:rPr>
        <w:t xml:space="preserve"> Estimated parameters for the assessment of the number of HIV-infected individuals among </w:t>
      </w:r>
      <w:r w:rsidR="00E06DA0" w:rsidRPr="00DD1E62">
        <w:rPr>
          <w:rFonts w:ascii="Cambria" w:hAnsi="Cambria"/>
        </w:rPr>
        <w:t xml:space="preserve">seasonal </w:t>
      </w:r>
      <w:r w:rsidRPr="00DD1E62">
        <w:rPr>
          <w:rFonts w:ascii="Cambria" w:hAnsi="Cambria"/>
        </w:rPr>
        <w:t xml:space="preserve">influenza-associated deaths </w:t>
      </w:r>
      <w:r w:rsidR="00336468" w:rsidRPr="00DD1E62">
        <w:rPr>
          <w:rFonts w:ascii="Cambria" w:hAnsi="Cambria"/>
        </w:rPr>
        <w:t xml:space="preserve">in pregnant and non-pregnant women </w:t>
      </w:r>
      <w:r w:rsidRPr="00DD1E62">
        <w:rPr>
          <w:rFonts w:ascii="Cambria" w:hAnsi="Cambria"/>
        </w:rPr>
        <w:t>(Model 2), South Africa, 1999-2009.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1376"/>
        <w:gridCol w:w="1377"/>
        <w:gridCol w:w="1377"/>
        <w:gridCol w:w="1377"/>
        <w:gridCol w:w="1377"/>
        <w:gridCol w:w="1377"/>
        <w:gridCol w:w="1377"/>
        <w:gridCol w:w="1377"/>
      </w:tblGrid>
      <w:tr w:rsidR="00336468" w:rsidRPr="00DD1E62" w:rsidTr="001670CA">
        <w:tc>
          <w:tcPr>
            <w:tcW w:w="2161" w:type="dxa"/>
            <w:vMerge w:val="restart"/>
            <w:tcBorders>
              <w:top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Variables</w:t>
            </w:r>
          </w:p>
        </w:tc>
        <w:tc>
          <w:tcPr>
            <w:tcW w:w="5507" w:type="dxa"/>
            <w:gridSpan w:val="4"/>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 xml:space="preserve">Pregnant women </w:t>
            </w:r>
          </w:p>
        </w:tc>
        <w:tc>
          <w:tcPr>
            <w:tcW w:w="5508" w:type="dxa"/>
            <w:gridSpan w:val="4"/>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Non-pregnant women</w:t>
            </w:r>
          </w:p>
        </w:tc>
      </w:tr>
      <w:tr w:rsidR="00336468" w:rsidRPr="00DD1E62" w:rsidTr="001670CA">
        <w:tc>
          <w:tcPr>
            <w:tcW w:w="2161" w:type="dxa"/>
            <w:vMerge/>
            <w:vAlign w:val="center"/>
          </w:tcPr>
          <w:p w:rsidR="00336468" w:rsidRPr="00DD1E62" w:rsidRDefault="00336468" w:rsidP="00336468">
            <w:pPr>
              <w:spacing w:beforeLines="20" w:before="48" w:afterLines="20" w:after="48"/>
              <w:jc w:val="center"/>
              <w:rPr>
                <w:rFonts w:ascii="Cambria" w:hAnsi="Cambria"/>
                <w:b/>
                <w:sz w:val="16"/>
                <w:szCs w:val="16"/>
              </w:rPr>
            </w:pPr>
          </w:p>
        </w:tc>
        <w:tc>
          <w:tcPr>
            <w:tcW w:w="1376"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All-causes</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All-respiratory</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All-circulatory</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P&amp;I</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All-causes</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All-respiratory</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All-circulatory</w:t>
            </w:r>
          </w:p>
        </w:tc>
        <w:tc>
          <w:tcPr>
            <w:tcW w:w="1377" w:type="dxa"/>
            <w:tcBorders>
              <w:top w:val="single" w:sz="4" w:space="0" w:color="auto"/>
              <w:bottom w:val="single" w:sz="4" w:space="0" w:color="auto"/>
            </w:tcBorders>
            <w:vAlign w:val="center"/>
          </w:tcPr>
          <w:p w:rsidR="00336468" w:rsidRPr="00DD1E62" w:rsidRDefault="00336468" w:rsidP="00336468">
            <w:pPr>
              <w:spacing w:beforeLines="20" w:before="48" w:afterLines="20" w:after="48"/>
              <w:jc w:val="center"/>
              <w:rPr>
                <w:rFonts w:ascii="Cambria" w:hAnsi="Cambria"/>
                <w:b/>
                <w:sz w:val="16"/>
                <w:szCs w:val="16"/>
              </w:rPr>
            </w:pPr>
            <w:r w:rsidRPr="00DD1E62">
              <w:rPr>
                <w:rFonts w:ascii="Cambria" w:hAnsi="Cambria"/>
                <w:b/>
                <w:sz w:val="16"/>
                <w:szCs w:val="16"/>
              </w:rPr>
              <w:t>P&amp;I</w:t>
            </w:r>
          </w:p>
        </w:tc>
      </w:tr>
      <w:tr w:rsidR="002727CA" w:rsidRPr="00DD1E62" w:rsidTr="00AF60B2">
        <w:tc>
          <w:tcPr>
            <w:tcW w:w="2161" w:type="dxa"/>
            <w:vMerge/>
            <w:tcBorders>
              <w:bottom w:val="single" w:sz="4" w:space="0" w:color="auto"/>
            </w:tcBorders>
            <w:vAlign w:val="center"/>
          </w:tcPr>
          <w:p w:rsidR="002727CA" w:rsidRPr="00DD1E62" w:rsidRDefault="002727CA" w:rsidP="002727CA">
            <w:pPr>
              <w:spacing w:beforeLines="20" w:before="48" w:afterLines="20" w:after="48"/>
              <w:jc w:val="center"/>
              <w:rPr>
                <w:rFonts w:ascii="Cambria" w:hAnsi="Cambria"/>
                <w:b/>
                <w:sz w:val="16"/>
                <w:szCs w:val="16"/>
              </w:rPr>
            </w:pPr>
          </w:p>
        </w:tc>
        <w:tc>
          <w:tcPr>
            <w:tcW w:w="1376" w:type="dxa"/>
            <w:tcBorders>
              <w:top w:val="single" w:sz="4" w:space="0" w:color="auto"/>
              <w:bottom w:val="single" w:sz="4" w:space="0" w:color="auto"/>
            </w:tcBorders>
            <w:vAlign w:val="center"/>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c>
          <w:tcPr>
            <w:tcW w:w="1377" w:type="dxa"/>
            <w:tcBorders>
              <w:top w:val="single" w:sz="4" w:space="0" w:color="auto"/>
              <w:bottom w:val="single" w:sz="4" w:space="0" w:color="auto"/>
            </w:tcBorders>
          </w:tcPr>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Rate ratio</w:t>
            </w:r>
          </w:p>
          <w:p w:rsidR="002727CA" w:rsidRPr="00DD1E62" w:rsidRDefault="002727CA" w:rsidP="002727CA">
            <w:pPr>
              <w:spacing w:beforeLines="20" w:before="48" w:afterLines="20" w:after="48"/>
              <w:jc w:val="center"/>
              <w:rPr>
                <w:rFonts w:ascii="Cambria" w:hAnsi="Cambria"/>
                <w:b/>
                <w:sz w:val="16"/>
                <w:szCs w:val="16"/>
              </w:rPr>
            </w:pPr>
            <w:r w:rsidRPr="00DD1E62">
              <w:rPr>
                <w:rFonts w:ascii="Cambria" w:hAnsi="Cambria"/>
                <w:b/>
                <w:sz w:val="16"/>
                <w:szCs w:val="16"/>
              </w:rPr>
              <w:t>(95% CI)</w:t>
            </w:r>
          </w:p>
        </w:tc>
      </w:tr>
      <w:tr w:rsidR="00BE4773" w:rsidRPr="00DD1E62" w:rsidTr="001670CA">
        <w:tc>
          <w:tcPr>
            <w:tcW w:w="2161" w:type="dxa"/>
            <w:tcBorders>
              <w:top w:val="single" w:sz="4" w:space="0" w:color="auto"/>
            </w:tcBorders>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Time trend (linear)</w:t>
            </w:r>
          </w:p>
        </w:tc>
        <w:tc>
          <w:tcPr>
            <w:tcW w:w="1376"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0.5 (0.3-0.7)</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0.4 (0.1-0.8)</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0.4 (0.2-0.7)</w:t>
            </w:r>
          </w:p>
        </w:tc>
        <w:tc>
          <w:tcPr>
            <w:tcW w:w="1377" w:type="dxa"/>
            <w:tcBorders>
              <w:top w:val="single" w:sz="4" w:space="0" w:color="auto"/>
            </w:tcBorders>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0.3 (0.1-0.7)</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0.4 (0.2-0.7)</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0.2 (0.1-0.4)</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0.4 (0.1-0.8)</w:t>
            </w:r>
          </w:p>
        </w:tc>
        <w:tc>
          <w:tcPr>
            <w:tcW w:w="1377" w:type="dxa"/>
            <w:tcBorders>
              <w:top w:val="single" w:sz="4" w:space="0" w:color="auto"/>
            </w:tcBorders>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0.3 (0.1-0.6)</w:t>
            </w:r>
          </w:p>
        </w:tc>
      </w:tr>
      <w:tr w:rsidR="00BE4773" w:rsidRPr="00DD1E62" w:rsidTr="001670CA">
        <w:tc>
          <w:tcPr>
            <w:tcW w:w="2161" w:type="dxa"/>
            <w:shd w:val="clear" w:color="auto" w:fill="D9D9D9" w:themeFill="background1" w:themeFillShade="D9"/>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Time trend (quadratic)</w:t>
            </w:r>
          </w:p>
        </w:tc>
        <w:tc>
          <w:tcPr>
            <w:tcW w:w="1376"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1.1 (0.9-1.3)</w:t>
            </w:r>
          </w:p>
        </w:tc>
        <w:tc>
          <w:tcPr>
            <w:tcW w:w="1377" w:type="dxa"/>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1.3 (1.1-1.5)</w:t>
            </w:r>
          </w:p>
        </w:tc>
        <w:tc>
          <w:tcPr>
            <w:tcW w:w="1377" w:type="dxa"/>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1.2 (1.1-1.3)</w:t>
            </w:r>
          </w:p>
        </w:tc>
        <w:tc>
          <w:tcPr>
            <w:tcW w:w="1377" w:type="dxa"/>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1.2 (1.0-1.4)</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1.3 (1.1-1.5)</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1.1 (0.9-1.5)</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1.2 (1.1-1.3)</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1.2 (1.0-1.4)</w:t>
            </w:r>
          </w:p>
        </w:tc>
      </w:tr>
      <w:tr w:rsidR="00BE4773" w:rsidRPr="00DD1E62" w:rsidTr="001670CA">
        <w:tc>
          <w:tcPr>
            <w:tcW w:w="2161" w:type="dxa"/>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Dominant influenza subtype</w:t>
            </w:r>
          </w:p>
        </w:tc>
        <w:tc>
          <w:tcPr>
            <w:tcW w:w="1376"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p>
        </w:tc>
      </w:tr>
      <w:tr w:rsidR="00BE4773" w:rsidRPr="00DD1E62" w:rsidTr="00542C36">
        <w:tc>
          <w:tcPr>
            <w:tcW w:w="2161" w:type="dxa"/>
            <w:shd w:val="clear" w:color="auto" w:fill="D9D9D9" w:themeFill="background1" w:themeFillShade="D9"/>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 xml:space="preserve">    A(H3N2)</w:t>
            </w:r>
          </w:p>
        </w:tc>
        <w:tc>
          <w:tcPr>
            <w:tcW w:w="1376"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c>
          <w:tcPr>
            <w:tcW w:w="1377" w:type="dxa"/>
            <w:shd w:val="clear" w:color="auto" w:fill="D9D9D9" w:themeFill="background1" w:themeFillShade="D9"/>
            <w:vAlign w:val="center"/>
          </w:tcPr>
          <w:p w:rsidR="00BE4773" w:rsidRPr="00DD1E62" w:rsidRDefault="00BE4773" w:rsidP="00BE4773">
            <w:pPr>
              <w:jc w:val="center"/>
            </w:pPr>
            <w:r w:rsidRPr="00DD1E62">
              <w:rPr>
                <w:rFonts w:ascii="Cambria" w:hAnsi="Cambria"/>
                <w:sz w:val="16"/>
                <w:szCs w:val="16"/>
              </w:rPr>
              <w:t>Reference</w:t>
            </w:r>
          </w:p>
        </w:tc>
      </w:tr>
      <w:tr w:rsidR="00BE4773" w:rsidRPr="00DD1E62" w:rsidTr="001670CA">
        <w:tc>
          <w:tcPr>
            <w:tcW w:w="2161" w:type="dxa"/>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 xml:space="preserve">    A(H1N1)</w:t>
            </w:r>
          </w:p>
        </w:tc>
        <w:tc>
          <w:tcPr>
            <w:tcW w:w="1376"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0.9 (0.7-1.2)</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(0.6-1.0)</w:t>
            </w:r>
          </w:p>
        </w:tc>
        <w:tc>
          <w:tcPr>
            <w:tcW w:w="1377" w:type="dxa"/>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0.7 (0.5-0.9)</w:t>
            </w:r>
          </w:p>
        </w:tc>
        <w:tc>
          <w:tcPr>
            <w:tcW w:w="1377" w:type="dxa"/>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0.8 (0.7-0.9)</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(0.6-1.1)</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0.7 (0.5-0.9)</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0.9 (0.7-1.2)</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(0.5-1.2)</w:t>
            </w:r>
          </w:p>
        </w:tc>
      </w:tr>
      <w:tr w:rsidR="00BE4773" w:rsidRPr="00DD1E62" w:rsidTr="001670CA">
        <w:tc>
          <w:tcPr>
            <w:tcW w:w="2161" w:type="dxa"/>
            <w:shd w:val="clear" w:color="auto" w:fill="D9D9D9" w:themeFill="background1" w:themeFillShade="D9"/>
            <w:vAlign w:val="center"/>
          </w:tcPr>
          <w:p w:rsidR="00BE4773" w:rsidRPr="00DD1E62" w:rsidRDefault="00BE4773" w:rsidP="00BE4773">
            <w:pPr>
              <w:spacing w:beforeLines="20" w:before="48" w:afterLines="20" w:after="48"/>
              <w:rPr>
                <w:rFonts w:ascii="Cambria" w:hAnsi="Cambria"/>
                <w:sz w:val="16"/>
                <w:szCs w:val="16"/>
              </w:rPr>
            </w:pPr>
            <w:r w:rsidRPr="00DD1E62">
              <w:rPr>
                <w:rFonts w:ascii="Cambria" w:hAnsi="Cambria"/>
                <w:sz w:val="16"/>
                <w:szCs w:val="16"/>
              </w:rPr>
              <w:t xml:space="preserve">    B</w:t>
            </w:r>
          </w:p>
        </w:tc>
        <w:tc>
          <w:tcPr>
            <w:tcW w:w="1376"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0.7 (0.5-0.9)</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0.6 (0.3-0.9)</w:t>
            </w:r>
          </w:p>
        </w:tc>
        <w:tc>
          <w:tcPr>
            <w:tcW w:w="1377" w:type="dxa"/>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0.7 (0.4-1.0)</w:t>
            </w:r>
          </w:p>
        </w:tc>
        <w:tc>
          <w:tcPr>
            <w:tcW w:w="1377" w:type="dxa"/>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0.5 (0.2-0.8)</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0.6 (0.3-0.9)</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0.5 (0.2-0.8)</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0.7 (0.5-0.9)</w:t>
            </w:r>
          </w:p>
        </w:tc>
        <w:tc>
          <w:tcPr>
            <w:tcW w:w="1377" w:type="dxa"/>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0.6 (0.3-0.9)</w:t>
            </w:r>
          </w:p>
        </w:tc>
      </w:tr>
      <w:tr w:rsidR="00BE4773" w:rsidRPr="00DD1E62" w:rsidTr="001670CA">
        <w:tc>
          <w:tcPr>
            <w:tcW w:w="2161" w:type="dxa"/>
            <w:vAlign w:val="center"/>
          </w:tcPr>
          <w:p w:rsidR="00BE4773" w:rsidRPr="00DD1E62" w:rsidRDefault="00BE4773" w:rsidP="00DA4B60">
            <w:pPr>
              <w:spacing w:beforeLines="20" w:before="48" w:afterLines="20" w:after="48"/>
              <w:rPr>
                <w:rFonts w:ascii="Cambria" w:hAnsi="Cambria"/>
                <w:sz w:val="16"/>
                <w:szCs w:val="16"/>
              </w:rPr>
            </w:pPr>
            <w:r w:rsidRPr="00DD1E62">
              <w:rPr>
                <w:rFonts w:ascii="Cambria" w:hAnsi="Cambria"/>
                <w:sz w:val="16"/>
                <w:szCs w:val="16"/>
              </w:rPr>
              <w:t xml:space="preserve">HIV </w:t>
            </w:r>
          </w:p>
        </w:tc>
        <w:tc>
          <w:tcPr>
            <w:tcW w:w="1376"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1.5 (1.1-2.0)</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1.6 (1.3-1.9)</w:t>
            </w:r>
          </w:p>
        </w:tc>
        <w:tc>
          <w:tcPr>
            <w:tcW w:w="1377" w:type="dxa"/>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1.5 (1.2-1.8)</w:t>
            </w:r>
          </w:p>
        </w:tc>
        <w:tc>
          <w:tcPr>
            <w:tcW w:w="1377" w:type="dxa"/>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1.7 (1.3-2.1)</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1.6 (1.4-1.9)</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1.8 (1.5-2.1)</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1.5 (1.2-1.8)</w:t>
            </w:r>
          </w:p>
        </w:tc>
        <w:tc>
          <w:tcPr>
            <w:tcW w:w="1377" w:type="dxa"/>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1.8 (1.4-2.2)</w:t>
            </w:r>
          </w:p>
        </w:tc>
      </w:tr>
      <w:tr w:rsidR="00BE4773" w:rsidRPr="00DD1E62" w:rsidTr="001670CA">
        <w:tc>
          <w:tcPr>
            <w:tcW w:w="2161" w:type="dxa"/>
            <w:tcBorders>
              <w:bottom w:val="single" w:sz="4" w:space="0" w:color="auto"/>
            </w:tcBorders>
            <w:shd w:val="clear" w:color="auto" w:fill="D9D9D9" w:themeFill="background1" w:themeFillShade="D9"/>
            <w:vAlign w:val="center"/>
          </w:tcPr>
          <w:p w:rsidR="00BE4773" w:rsidRPr="00DD1E62" w:rsidRDefault="00DA4B60" w:rsidP="00BE4773">
            <w:pPr>
              <w:spacing w:beforeLines="20" w:before="48" w:afterLines="20" w:after="48"/>
              <w:rPr>
                <w:rFonts w:ascii="Cambria" w:hAnsi="Cambria"/>
                <w:sz w:val="16"/>
                <w:szCs w:val="16"/>
              </w:rPr>
            </w:pPr>
            <w:r w:rsidRPr="00DD1E62">
              <w:rPr>
                <w:rFonts w:ascii="Cambria" w:hAnsi="Cambria"/>
                <w:sz w:val="16"/>
                <w:szCs w:val="16"/>
              </w:rPr>
              <w:t xml:space="preserve">HAART </w:t>
            </w:r>
          </w:p>
        </w:tc>
        <w:tc>
          <w:tcPr>
            <w:tcW w:w="1376" w:type="dxa"/>
            <w:tcBorders>
              <w:bottom w:val="single" w:sz="4" w:space="0" w:color="auto"/>
            </w:tcBorders>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0.9 (0.8-1.0)</w:t>
            </w:r>
          </w:p>
        </w:tc>
        <w:tc>
          <w:tcPr>
            <w:tcW w:w="1377" w:type="dxa"/>
            <w:tcBorders>
              <w:bottom w:val="single" w:sz="4" w:space="0" w:color="auto"/>
            </w:tcBorders>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(0.7-0.9)</w:t>
            </w:r>
          </w:p>
        </w:tc>
        <w:tc>
          <w:tcPr>
            <w:tcW w:w="1377" w:type="dxa"/>
            <w:tcBorders>
              <w:bottom w:val="single" w:sz="4" w:space="0" w:color="auto"/>
            </w:tcBorders>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0.9 (0.7-1.1)</w:t>
            </w:r>
          </w:p>
        </w:tc>
        <w:tc>
          <w:tcPr>
            <w:tcW w:w="1377" w:type="dxa"/>
            <w:tcBorders>
              <w:bottom w:val="single" w:sz="4" w:space="0" w:color="auto"/>
            </w:tcBorders>
            <w:shd w:val="clear" w:color="auto" w:fill="D9D9D9" w:themeFill="background1" w:themeFillShade="D9"/>
            <w:vAlign w:val="center"/>
          </w:tcPr>
          <w:p w:rsidR="00BE4773" w:rsidRPr="00DD1E62" w:rsidRDefault="00236952" w:rsidP="00BE4773">
            <w:pPr>
              <w:spacing w:beforeLines="20" w:before="48" w:afterLines="20" w:after="48"/>
              <w:jc w:val="center"/>
              <w:rPr>
                <w:rFonts w:ascii="Cambria" w:hAnsi="Cambria"/>
                <w:sz w:val="16"/>
                <w:szCs w:val="16"/>
              </w:rPr>
            </w:pPr>
            <w:r w:rsidRPr="00DD1E62">
              <w:rPr>
                <w:rFonts w:ascii="Cambria" w:hAnsi="Cambria"/>
                <w:sz w:val="16"/>
                <w:szCs w:val="16"/>
              </w:rPr>
              <w:t>0.9 (0.8-1.0)</w:t>
            </w:r>
          </w:p>
        </w:tc>
        <w:tc>
          <w:tcPr>
            <w:tcW w:w="1377" w:type="dxa"/>
            <w:tcBorders>
              <w:bottom w:val="single" w:sz="4" w:space="0" w:color="auto"/>
            </w:tcBorders>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(0.7-0.9)</w:t>
            </w:r>
          </w:p>
        </w:tc>
        <w:tc>
          <w:tcPr>
            <w:tcW w:w="1377" w:type="dxa"/>
            <w:tcBorders>
              <w:bottom w:val="single" w:sz="4" w:space="0" w:color="auto"/>
            </w:tcBorders>
            <w:shd w:val="clear" w:color="auto" w:fill="D9D9D9" w:themeFill="background1" w:themeFillShade="D9"/>
            <w:vAlign w:val="center"/>
          </w:tcPr>
          <w:p w:rsidR="00BE4773" w:rsidRPr="00DD1E62" w:rsidRDefault="00535140" w:rsidP="00BE4773">
            <w:pPr>
              <w:spacing w:beforeLines="20" w:before="48" w:afterLines="20" w:after="48"/>
              <w:jc w:val="center"/>
              <w:rPr>
                <w:rFonts w:ascii="Cambria" w:hAnsi="Cambria"/>
                <w:sz w:val="16"/>
                <w:szCs w:val="16"/>
              </w:rPr>
            </w:pPr>
            <w:r w:rsidRPr="00DD1E62">
              <w:rPr>
                <w:rFonts w:ascii="Cambria" w:hAnsi="Cambria"/>
                <w:sz w:val="16"/>
                <w:szCs w:val="16"/>
              </w:rPr>
              <w:t>0.9 (0.8-1.0</w:t>
            </w:r>
            <w:r w:rsidR="00BE4773" w:rsidRPr="00DD1E62">
              <w:rPr>
                <w:rFonts w:ascii="Cambria" w:hAnsi="Cambria"/>
                <w:sz w:val="16"/>
                <w:szCs w:val="16"/>
              </w:rPr>
              <w:t>)</w:t>
            </w:r>
          </w:p>
        </w:tc>
        <w:tc>
          <w:tcPr>
            <w:tcW w:w="1377" w:type="dxa"/>
            <w:tcBorders>
              <w:bottom w:val="single" w:sz="4" w:space="0" w:color="auto"/>
            </w:tcBorders>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0.8 (0.7-0.9)</w:t>
            </w:r>
          </w:p>
        </w:tc>
        <w:tc>
          <w:tcPr>
            <w:tcW w:w="1377" w:type="dxa"/>
            <w:tcBorders>
              <w:bottom w:val="single" w:sz="4" w:space="0" w:color="auto"/>
            </w:tcBorders>
            <w:shd w:val="clear" w:color="auto" w:fill="D9D9D9" w:themeFill="background1" w:themeFillShade="D9"/>
            <w:vAlign w:val="center"/>
          </w:tcPr>
          <w:p w:rsidR="00BE4773" w:rsidRPr="00DD1E62" w:rsidRDefault="00BE4773" w:rsidP="00BE4773">
            <w:pPr>
              <w:spacing w:beforeLines="20" w:before="48" w:afterLines="20" w:after="48"/>
              <w:jc w:val="center"/>
              <w:rPr>
                <w:rFonts w:ascii="Cambria" w:hAnsi="Cambria"/>
                <w:sz w:val="16"/>
                <w:szCs w:val="16"/>
              </w:rPr>
            </w:pPr>
            <w:r w:rsidRPr="00DD1E62">
              <w:rPr>
                <w:rFonts w:ascii="Cambria" w:hAnsi="Cambria"/>
                <w:sz w:val="16"/>
                <w:szCs w:val="16"/>
              </w:rPr>
              <w:t>0.9 (0.7-1.1)</w:t>
            </w:r>
          </w:p>
        </w:tc>
      </w:tr>
    </w:tbl>
    <w:p w:rsidR="001670CA" w:rsidRPr="000929D8" w:rsidRDefault="001670CA" w:rsidP="001670CA">
      <w:pPr>
        <w:rPr>
          <w:rFonts w:ascii="Cambria" w:hAnsi="Cambria"/>
          <w:sz w:val="20"/>
          <w:szCs w:val="20"/>
        </w:rPr>
      </w:pPr>
      <w:r w:rsidRPr="00DD1E62">
        <w:rPr>
          <w:rFonts w:ascii="Cambria" w:hAnsi="Cambria"/>
          <w:sz w:val="20"/>
          <w:szCs w:val="20"/>
        </w:rPr>
        <w:t>Abbreviations: P&amp;I: pneumonia and influenza; CI: confidence intervals; HIV: human immunodeficiency virus; HAART</w:t>
      </w:r>
      <w:r w:rsidR="00561FE8" w:rsidRPr="00DD1E62">
        <w:rPr>
          <w:rFonts w:ascii="Cambria" w:hAnsi="Cambria"/>
          <w:sz w:val="20"/>
          <w:szCs w:val="20"/>
        </w:rPr>
        <w:t>:</w:t>
      </w:r>
      <w:r w:rsidRPr="00DD1E62">
        <w:rPr>
          <w:rFonts w:ascii="Cambria" w:hAnsi="Cambria"/>
          <w:sz w:val="20"/>
          <w:szCs w:val="20"/>
        </w:rPr>
        <w:t xml:space="preserve"> highly active antiretroviral treatment.</w:t>
      </w:r>
      <w:bookmarkStart w:id="6" w:name="_GoBack"/>
      <w:bookmarkEnd w:id="6"/>
    </w:p>
    <w:p w:rsidR="00D43578" w:rsidRDefault="00D43578" w:rsidP="000B419F">
      <w:pPr>
        <w:spacing w:after="160" w:line="259" w:lineRule="auto"/>
        <w:rPr>
          <w:rFonts w:ascii="Cambria" w:hAnsi="Cambria"/>
        </w:rPr>
      </w:pPr>
    </w:p>
    <w:p w:rsidR="00D43578" w:rsidRDefault="00D43578" w:rsidP="000B419F">
      <w:pPr>
        <w:spacing w:after="160" w:line="259" w:lineRule="auto"/>
        <w:rPr>
          <w:rFonts w:ascii="Cambria" w:hAnsi="Cambria"/>
        </w:rPr>
      </w:pPr>
    </w:p>
    <w:p w:rsidR="00D43578" w:rsidRDefault="00D43578" w:rsidP="000B419F">
      <w:pPr>
        <w:spacing w:after="160" w:line="259" w:lineRule="auto"/>
        <w:rPr>
          <w:rFonts w:ascii="Cambria" w:hAnsi="Cambria"/>
        </w:rPr>
        <w:sectPr w:rsidR="00D43578" w:rsidSect="00D43578">
          <w:endnotePr>
            <w:numFmt w:val="decimal"/>
          </w:endnotePr>
          <w:pgSz w:w="15840" w:h="12240" w:orient="landscape"/>
          <w:pgMar w:top="1440" w:right="1440" w:bottom="1440" w:left="1440" w:header="720" w:footer="720" w:gutter="0"/>
          <w:cols w:space="720"/>
          <w:docGrid w:linePitch="360"/>
        </w:sectPr>
      </w:pPr>
    </w:p>
    <w:p w:rsidR="008F5B4B" w:rsidRPr="003D140A" w:rsidRDefault="00341BB2" w:rsidP="00341BB2">
      <w:pPr>
        <w:jc w:val="both"/>
        <w:rPr>
          <w:rFonts w:ascii="Cambria" w:hAnsi="Cambria"/>
          <w:b/>
          <w:color w:val="1F4E79" w:themeColor="accent1" w:themeShade="80"/>
        </w:rPr>
      </w:pPr>
      <w:r w:rsidRPr="003D140A">
        <w:rPr>
          <w:rFonts w:ascii="Cambria" w:hAnsi="Cambria"/>
          <w:b/>
          <w:color w:val="1F4E79" w:themeColor="accent1" w:themeShade="80"/>
        </w:rPr>
        <w:lastRenderedPageBreak/>
        <w:t>REFERENCES </w:t>
      </w:r>
    </w:p>
    <w:sectPr w:rsidR="008F5B4B" w:rsidRPr="003D140A" w:rsidSect="00D4357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9F" w:rsidRDefault="00C9329F" w:rsidP="00341BB2">
      <w:r>
        <w:separator/>
      </w:r>
    </w:p>
  </w:endnote>
  <w:endnote w:type="continuationSeparator" w:id="0">
    <w:p w:rsidR="00C9329F" w:rsidRDefault="00C9329F" w:rsidP="00341BB2">
      <w:r>
        <w:continuationSeparator/>
      </w:r>
    </w:p>
  </w:endnote>
  <w:endnote w:id="1">
    <w:p w:rsidR="00012F25" w:rsidRPr="00CE59C4" w:rsidRDefault="00012F25" w:rsidP="00012F25">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Tempia S, Walaza S, Viboud C, et al. Mortality associated with seasonal and pandemic influenza and respiratory syncytial virus among children &lt;5 years of age in a high HIV prevalence setting—South Africa, 1998-2009. Clin Infect Dis, </w:t>
      </w:r>
      <w:r w:rsidRPr="00CE59C4">
        <w:rPr>
          <w:rFonts w:ascii="Cambria" w:hAnsi="Cambria"/>
          <w:b/>
        </w:rPr>
        <w:t>2014</w:t>
      </w:r>
      <w:r w:rsidRPr="00CE59C4">
        <w:rPr>
          <w:rFonts w:ascii="Cambria" w:hAnsi="Cambria"/>
        </w:rPr>
        <w:t>; 58(9):1241-9.</w:t>
      </w:r>
    </w:p>
  </w:endnote>
  <w:endnote w:id="2">
    <w:p w:rsidR="00012F25" w:rsidRPr="00CE59C4" w:rsidRDefault="00012F25" w:rsidP="00012F25">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r>
      <w:r w:rsidR="00CC7CFC" w:rsidRPr="008617AD">
        <w:rPr>
          <w:rFonts w:ascii="Cambria" w:hAnsi="Cambria"/>
        </w:rPr>
        <w:t xml:space="preserve">Tempia S, Walaza S, Viboud C, et al. </w:t>
      </w:r>
      <w:r w:rsidR="00CC7CFC">
        <w:rPr>
          <w:rFonts w:ascii="Cambria" w:hAnsi="Cambria"/>
        </w:rPr>
        <w:t>Deaths associated with respiratory syncytial and influenza viruses among persons ≥5 years of age in HIV-prevalent area, South Africa, 1998-2009</w:t>
      </w:r>
      <w:r w:rsidR="00CC7CFC" w:rsidRPr="008617AD">
        <w:rPr>
          <w:rFonts w:ascii="Cambria" w:hAnsi="Cambria"/>
        </w:rPr>
        <w:t>.</w:t>
      </w:r>
      <w:r w:rsidR="00CC7CFC">
        <w:rPr>
          <w:rFonts w:ascii="Cambria" w:hAnsi="Cambria"/>
        </w:rPr>
        <w:t xml:space="preserve"> Emerg Infect Dis 2015; 21(4):600-8.</w:t>
      </w:r>
    </w:p>
  </w:endnote>
  <w:endnote w:id="3">
    <w:p w:rsidR="00422194" w:rsidRPr="00CE59C4" w:rsidRDefault="00422194" w:rsidP="00341BB2">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Gay NJ, Andrews NJ, Trotter CL, et al. Estimating deaths due to influenza and respiratory syncytial virus. JAMA, </w:t>
      </w:r>
      <w:r w:rsidRPr="00CE59C4">
        <w:rPr>
          <w:rFonts w:ascii="Cambria" w:hAnsi="Cambria"/>
          <w:b/>
        </w:rPr>
        <w:t>2003</w:t>
      </w:r>
      <w:r w:rsidRPr="00CE59C4">
        <w:rPr>
          <w:rFonts w:ascii="Cambria" w:hAnsi="Cambria"/>
        </w:rPr>
        <w:t>; 289(19):2499; author reply 2500-2.</w:t>
      </w:r>
    </w:p>
  </w:endnote>
  <w:endnote w:id="4">
    <w:p w:rsidR="00422194" w:rsidRPr="00CE59C4" w:rsidRDefault="00422194" w:rsidP="00341BB2">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Simonsen L, Blackwelder WC, Reichert TA, et al. Estimating deaths due to influenza and respiratory syncytial virus. JAMA, </w:t>
      </w:r>
      <w:r w:rsidRPr="00CE59C4">
        <w:rPr>
          <w:rFonts w:ascii="Cambria" w:hAnsi="Cambria"/>
          <w:b/>
        </w:rPr>
        <w:t>2003</w:t>
      </w:r>
      <w:r w:rsidRPr="00CE59C4">
        <w:rPr>
          <w:rFonts w:ascii="Cambria" w:hAnsi="Cambria"/>
        </w:rPr>
        <w:t>; 289(19):2499-500; author reply 2500-2.</w:t>
      </w:r>
    </w:p>
  </w:endnote>
  <w:endnote w:id="5">
    <w:p w:rsidR="00422194" w:rsidRPr="00CE59C4" w:rsidRDefault="00422194" w:rsidP="00341BB2">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Glezen WP, Couch RB. Estimating deaths due to influenza and respiratory syncytial virus. JAMA, </w:t>
      </w:r>
      <w:r w:rsidRPr="00CE59C4">
        <w:rPr>
          <w:rFonts w:ascii="Cambria" w:hAnsi="Cambria"/>
          <w:b/>
        </w:rPr>
        <w:t>2003</w:t>
      </w:r>
      <w:r w:rsidRPr="00CE59C4">
        <w:rPr>
          <w:rFonts w:ascii="Cambria" w:hAnsi="Cambria"/>
        </w:rPr>
        <w:t>; 289(19):2500; author reply 2500-2.</w:t>
      </w:r>
    </w:p>
  </w:endnote>
  <w:endnote w:id="6">
    <w:p w:rsidR="00422194" w:rsidRPr="00CE59C4" w:rsidRDefault="00422194" w:rsidP="00341BB2">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Goldstein E, Viboud C, Charu V, et al. Improving the estimation of influenza-related mortality over a seasonal baseline. Epidemiology, </w:t>
      </w:r>
      <w:r w:rsidRPr="00CE59C4">
        <w:rPr>
          <w:rFonts w:ascii="Cambria" w:hAnsi="Cambria"/>
          <w:b/>
        </w:rPr>
        <w:t>2012</w:t>
      </w:r>
      <w:r w:rsidRPr="00CE59C4">
        <w:rPr>
          <w:rFonts w:ascii="Cambria" w:hAnsi="Cambria"/>
        </w:rPr>
        <w:t>; 23(6):829-38.</w:t>
      </w:r>
    </w:p>
  </w:endnote>
  <w:endnote w:id="7">
    <w:p w:rsidR="00C47262" w:rsidRPr="00CE59C4" w:rsidRDefault="00C47262" w:rsidP="00C47262">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Zhou H, Thompson WW, Viboud CG, et al. Hospitalization associated with influenza and respiratory syncytial virus in the United States, 1993-2008. Clin Infect Dis </w:t>
      </w:r>
      <w:r w:rsidRPr="00CE59C4">
        <w:rPr>
          <w:rFonts w:ascii="Cambria" w:hAnsi="Cambria"/>
          <w:b/>
        </w:rPr>
        <w:t>2012</w:t>
      </w:r>
      <w:r w:rsidRPr="00CE59C4">
        <w:rPr>
          <w:rFonts w:ascii="Cambria" w:hAnsi="Cambria"/>
        </w:rPr>
        <w:t>; 54(10):1427-36.</w:t>
      </w:r>
    </w:p>
  </w:endnote>
  <w:endnote w:id="8">
    <w:p w:rsidR="00012F25" w:rsidRPr="00CE59C4" w:rsidRDefault="00012F25" w:rsidP="00012F25">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Cohen C, Simonsen L, Sample J, et al. Influenza-related mortality among adults aged 25-54 years with AIDS in South Africa and the United States of America. Clin Infect Dis, </w:t>
      </w:r>
      <w:r w:rsidRPr="00CE59C4">
        <w:rPr>
          <w:rFonts w:ascii="Cambria" w:hAnsi="Cambria"/>
          <w:b/>
        </w:rPr>
        <w:t>2012</w:t>
      </w:r>
      <w:r w:rsidRPr="00CE59C4">
        <w:rPr>
          <w:rFonts w:ascii="Cambria" w:hAnsi="Cambria"/>
        </w:rPr>
        <w:t>; 55(7):996-1003.</w:t>
      </w:r>
    </w:p>
  </w:endnote>
  <w:endnote w:id="9">
    <w:p w:rsidR="00012F25" w:rsidRPr="00CE59C4" w:rsidRDefault="00012F25" w:rsidP="00012F25">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Dushoff J, Ploykin JB, Viboud C, et al. Mortality due to influenza in the United States – an annualized regression approach using multiple-cause mortality data. Am J Epidemiol </w:t>
      </w:r>
      <w:r w:rsidRPr="00CE59C4">
        <w:rPr>
          <w:rFonts w:ascii="Cambria" w:hAnsi="Cambria"/>
          <w:b/>
        </w:rPr>
        <w:t>2006</w:t>
      </w:r>
      <w:r w:rsidRPr="00CE59C4">
        <w:rPr>
          <w:rFonts w:ascii="Cambria" w:hAnsi="Cambria"/>
        </w:rPr>
        <w:t>; 163(2):181-7.</w:t>
      </w:r>
    </w:p>
  </w:endnote>
  <w:endnote w:id="10">
    <w:p w:rsidR="00422194" w:rsidRPr="00CE59C4" w:rsidRDefault="00422194" w:rsidP="00117F43">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Weinberger DM, Simonsen L, Jordan R, et al. Impact of the 2009 influenza pandemic in pneumococcal pneumonia hospitalizations in the United States. J Infect Dis, </w:t>
      </w:r>
      <w:r w:rsidRPr="00CE59C4">
        <w:rPr>
          <w:rFonts w:ascii="Cambria" w:hAnsi="Cambria"/>
          <w:b/>
        </w:rPr>
        <w:t>2012</w:t>
      </w:r>
      <w:r w:rsidRPr="00CE59C4">
        <w:rPr>
          <w:rFonts w:ascii="Cambria" w:hAnsi="Cambria"/>
        </w:rPr>
        <w:t>; 205:458-65.</w:t>
      </w:r>
    </w:p>
  </w:endnote>
  <w:endnote w:id="11">
    <w:p w:rsidR="007A7268" w:rsidRPr="00CE59C4" w:rsidRDefault="007A7268" w:rsidP="007A7268">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 xml:space="preserve">Statistics South Africa. Mortality and cause of death in South Africa, 1999 through 2009. </w:t>
      </w:r>
      <w:smartTag w:uri="urn:schemas-microsoft-com:office:smarttags" w:element="City">
        <w:r w:rsidRPr="00CE59C4">
          <w:rPr>
            <w:rFonts w:ascii="Cambria" w:hAnsi="Cambria"/>
          </w:rPr>
          <w:t>Pretoria</w:t>
        </w:r>
      </w:smartTag>
      <w:r w:rsidRPr="00CE59C4">
        <w:rPr>
          <w:rFonts w:ascii="Cambria" w:hAnsi="Cambria"/>
        </w:rPr>
        <w:t xml:space="preserve">, Statistics </w:t>
      </w:r>
      <w:smartTag w:uri="urn:schemas-microsoft-com:office:smarttags" w:element="place">
        <w:smartTag w:uri="urn:schemas-microsoft-com:office:smarttags" w:element="country-region">
          <w:r w:rsidRPr="00CE59C4">
            <w:rPr>
              <w:rFonts w:ascii="Cambria" w:hAnsi="Cambria"/>
            </w:rPr>
            <w:t>South Africa</w:t>
          </w:r>
        </w:smartTag>
      </w:smartTag>
      <w:r w:rsidRPr="00CE59C4">
        <w:rPr>
          <w:rFonts w:ascii="Cambria" w:hAnsi="Cambria"/>
        </w:rPr>
        <w:t xml:space="preserve">, </w:t>
      </w:r>
      <w:r w:rsidRPr="00CE59C4">
        <w:rPr>
          <w:rFonts w:ascii="Cambria" w:hAnsi="Cambria"/>
          <w:b/>
        </w:rPr>
        <w:t>2009</w:t>
      </w:r>
      <w:r w:rsidRPr="00CE59C4">
        <w:rPr>
          <w:rFonts w:ascii="Cambria" w:hAnsi="Cambria"/>
        </w:rPr>
        <w:t>.</w:t>
      </w:r>
    </w:p>
  </w:endnote>
  <w:endnote w:id="12">
    <w:p w:rsidR="007A7268" w:rsidRPr="00CE59C4" w:rsidRDefault="007A7268" w:rsidP="007A7268">
      <w:pPr>
        <w:pStyle w:val="EndnoteText"/>
        <w:spacing w:after="120"/>
        <w:ind w:left="720" w:hanging="720"/>
        <w:jc w:val="both"/>
        <w:rPr>
          <w:rFonts w:ascii="Cambria" w:hAnsi="Cambria"/>
        </w:rPr>
      </w:pPr>
      <w:r w:rsidRPr="00CE59C4">
        <w:rPr>
          <w:rFonts w:ascii="Cambria" w:hAnsi="Cambria"/>
        </w:rPr>
        <w:endnoteRef/>
      </w:r>
      <w:r w:rsidRPr="00CE59C4">
        <w:rPr>
          <w:rFonts w:ascii="Cambria" w:hAnsi="Cambria"/>
        </w:rPr>
        <w:t xml:space="preserve"> </w:t>
      </w:r>
      <w:r w:rsidRPr="00CE59C4">
        <w:rPr>
          <w:rFonts w:ascii="Cambria" w:hAnsi="Cambria"/>
        </w:rPr>
        <w:tab/>
        <w:t>Thompson WW, Shay DK, Weintraub E, et al. Mortality associated with influenza and respiratory syncytial virus in the United States. JAMA 2003 January 8; 289(2): 179-186.</w:t>
      </w:r>
    </w:p>
  </w:endnote>
  <w:endnote w:id="13">
    <w:p w:rsidR="00422194" w:rsidRDefault="00422194" w:rsidP="00341BB2">
      <w:pPr>
        <w:pStyle w:val="EndnoteText"/>
        <w:spacing w:after="120"/>
        <w:ind w:left="720" w:hanging="720"/>
        <w:jc w:val="both"/>
      </w:pPr>
      <w:r w:rsidRPr="00CE59C4">
        <w:rPr>
          <w:rFonts w:ascii="Cambria" w:hAnsi="Cambria"/>
        </w:rPr>
        <w:endnoteRef/>
      </w:r>
      <w:r w:rsidRPr="00CE59C4">
        <w:rPr>
          <w:rFonts w:ascii="Cambria" w:hAnsi="Cambria"/>
        </w:rPr>
        <w:t xml:space="preserve"> </w:t>
      </w:r>
      <w:r w:rsidRPr="00CE59C4">
        <w:rPr>
          <w:rFonts w:ascii="Cambria" w:hAnsi="Cambria"/>
        </w:rPr>
        <w:tab/>
        <w:t xml:space="preserve">Fleiss JL, Levine B, Cho Paik M, et al. Statistical methods for rates and proportions, third edition. Wiley Series in Probability and Statistics </w:t>
      </w:r>
      <w:r w:rsidRPr="00CE59C4">
        <w:rPr>
          <w:rFonts w:ascii="Cambria" w:hAnsi="Cambria"/>
          <w:b/>
        </w:rPr>
        <w:t>2003</w:t>
      </w:r>
      <w:r w:rsidRPr="00CE59C4">
        <w:rPr>
          <w:rFonts w:ascii="Cambria" w:hAnsi="Cambria"/>
        </w:rPr>
        <w:t>. ISBN: 978-0-471-52629-2.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30379"/>
      <w:docPartObj>
        <w:docPartGallery w:val="Page Numbers (Bottom of Page)"/>
        <w:docPartUnique/>
      </w:docPartObj>
    </w:sdtPr>
    <w:sdtEndPr>
      <w:rPr>
        <w:rFonts w:ascii="Cambria" w:hAnsi="Cambria"/>
        <w:noProof/>
      </w:rPr>
    </w:sdtEndPr>
    <w:sdtContent>
      <w:p w:rsidR="00C47262" w:rsidRPr="00DA7363" w:rsidRDefault="00C47262" w:rsidP="007450DB">
        <w:pPr>
          <w:pStyle w:val="Footer"/>
          <w:jc w:val="center"/>
          <w:rPr>
            <w:rFonts w:ascii="Cambria" w:hAnsi="Cambria"/>
          </w:rPr>
        </w:pPr>
        <w:r w:rsidRPr="00DA7363">
          <w:rPr>
            <w:rFonts w:ascii="Cambria" w:hAnsi="Cambria"/>
          </w:rPr>
          <w:fldChar w:fldCharType="begin"/>
        </w:r>
        <w:r w:rsidRPr="00DA7363">
          <w:rPr>
            <w:rFonts w:ascii="Cambria" w:hAnsi="Cambria"/>
          </w:rPr>
          <w:instrText xml:space="preserve"> PAGE   \* MERGEFORMAT </w:instrText>
        </w:r>
        <w:r w:rsidRPr="00DA7363">
          <w:rPr>
            <w:rFonts w:ascii="Cambria" w:hAnsi="Cambria"/>
          </w:rPr>
          <w:fldChar w:fldCharType="separate"/>
        </w:r>
        <w:r w:rsidR="00DD1E62">
          <w:rPr>
            <w:rFonts w:ascii="Cambria" w:hAnsi="Cambria"/>
            <w:noProof/>
          </w:rPr>
          <w:t>1</w:t>
        </w:r>
        <w:r w:rsidRPr="00DA7363">
          <w:rPr>
            <w:rFonts w:ascii="Cambria" w:hAnsi="Cambria"/>
            <w:noProof/>
          </w:rPr>
          <w:fldChar w:fldCharType="end"/>
        </w:r>
      </w:p>
    </w:sdtContent>
  </w:sdt>
  <w:p w:rsidR="00C47262" w:rsidRDefault="00C47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36587"/>
      <w:docPartObj>
        <w:docPartGallery w:val="Page Numbers (Bottom of Page)"/>
        <w:docPartUnique/>
      </w:docPartObj>
    </w:sdtPr>
    <w:sdtEndPr>
      <w:rPr>
        <w:noProof/>
      </w:rPr>
    </w:sdtEndPr>
    <w:sdtContent>
      <w:p w:rsidR="00F02B1F" w:rsidRDefault="00F02B1F">
        <w:pPr>
          <w:pStyle w:val="Footer"/>
          <w:jc w:val="center"/>
        </w:pPr>
        <w:r>
          <w:fldChar w:fldCharType="begin"/>
        </w:r>
        <w:r>
          <w:instrText xml:space="preserve"> PAGE   \* MERGEFORMAT </w:instrText>
        </w:r>
        <w:r>
          <w:fldChar w:fldCharType="separate"/>
        </w:r>
        <w:r w:rsidR="00DD1E62">
          <w:rPr>
            <w:noProof/>
          </w:rPr>
          <w:t>6</w:t>
        </w:r>
        <w:r>
          <w:rPr>
            <w:noProof/>
          </w:rPr>
          <w:fldChar w:fldCharType="end"/>
        </w:r>
      </w:p>
    </w:sdtContent>
  </w:sdt>
  <w:p w:rsidR="00F02B1F" w:rsidRDefault="00F02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9F" w:rsidRDefault="00C9329F" w:rsidP="00341BB2">
      <w:r>
        <w:separator/>
      </w:r>
    </w:p>
  </w:footnote>
  <w:footnote w:type="continuationSeparator" w:id="0">
    <w:p w:rsidR="00C9329F" w:rsidRDefault="00C9329F" w:rsidP="0034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B2"/>
    <w:rsid w:val="00001323"/>
    <w:rsid w:val="00003F67"/>
    <w:rsid w:val="0000548F"/>
    <w:rsid w:val="00010278"/>
    <w:rsid w:val="00010DCC"/>
    <w:rsid w:val="000113E4"/>
    <w:rsid w:val="00012D02"/>
    <w:rsid w:val="00012F25"/>
    <w:rsid w:val="000130CF"/>
    <w:rsid w:val="000135BB"/>
    <w:rsid w:val="00014558"/>
    <w:rsid w:val="000165F7"/>
    <w:rsid w:val="00021202"/>
    <w:rsid w:val="000229AF"/>
    <w:rsid w:val="00022DF7"/>
    <w:rsid w:val="0002326A"/>
    <w:rsid w:val="0002352A"/>
    <w:rsid w:val="00023CF0"/>
    <w:rsid w:val="00024384"/>
    <w:rsid w:val="000248CD"/>
    <w:rsid w:val="000255E3"/>
    <w:rsid w:val="000269CA"/>
    <w:rsid w:val="00027732"/>
    <w:rsid w:val="000278E2"/>
    <w:rsid w:val="000304E7"/>
    <w:rsid w:val="0003064B"/>
    <w:rsid w:val="00030A21"/>
    <w:rsid w:val="000317E6"/>
    <w:rsid w:val="00031A9C"/>
    <w:rsid w:val="00031BB3"/>
    <w:rsid w:val="0003240F"/>
    <w:rsid w:val="00032FE2"/>
    <w:rsid w:val="00033103"/>
    <w:rsid w:val="00035EE3"/>
    <w:rsid w:val="00036F40"/>
    <w:rsid w:val="00037982"/>
    <w:rsid w:val="00041904"/>
    <w:rsid w:val="0004589C"/>
    <w:rsid w:val="0004659B"/>
    <w:rsid w:val="00046D70"/>
    <w:rsid w:val="00047931"/>
    <w:rsid w:val="00054418"/>
    <w:rsid w:val="000578FA"/>
    <w:rsid w:val="00057D16"/>
    <w:rsid w:val="00060EA7"/>
    <w:rsid w:val="00060F6D"/>
    <w:rsid w:val="00061BB6"/>
    <w:rsid w:val="000649C6"/>
    <w:rsid w:val="000661AB"/>
    <w:rsid w:val="00066461"/>
    <w:rsid w:val="00067D03"/>
    <w:rsid w:val="0007044B"/>
    <w:rsid w:val="00070979"/>
    <w:rsid w:val="000732EE"/>
    <w:rsid w:val="00073A74"/>
    <w:rsid w:val="00073CBC"/>
    <w:rsid w:val="0007445F"/>
    <w:rsid w:val="000774D9"/>
    <w:rsid w:val="00080C99"/>
    <w:rsid w:val="00082AE0"/>
    <w:rsid w:val="00084B62"/>
    <w:rsid w:val="00092870"/>
    <w:rsid w:val="00093955"/>
    <w:rsid w:val="000945B1"/>
    <w:rsid w:val="000959D1"/>
    <w:rsid w:val="00095AAD"/>
    <w:rsid w:val="000962D8"/>
    <w:rsid w:val="00096F85"/>
    <w:rsid w:val="00097666"/>
    <w:rsid w:val="000977F7"/>
    <w:rsid w:val="000A14D2"/>
    <w:rsid w:val="000A1587"/>
    <w:rsid w:val="000A1C9E"/>
    <w:rsid w:val="000A1DB9"/>
    <w:rsid w:val="000A223A"/>
    <w:rsid w:val="000A242B"/>
    <w:rsid w:val="000A4789"/>
    <w:rsid w:val="000A5C21"/>
    <w:rsid w:val="000A6FE7"/>
    <w:rsid w:val="000A7034"/>
    <w:rsid w:val="000A7653"/>
    <w:rsid w:val="000B011B"/>
    <w:rsid w:val="000B1991"/>
    <w:rsid w:val="000B2457"/>
    <w:rsid w:val="000B24C9"/>
    <w:rsid w:val="000B34C9"/>
    <w:rsid w:val="000B419F"/>
    <w:rsid w:val="000B44D4"/>
    <w:rsid w:val="000B6B85"/>
    <w:rsid w:val="000B72C4"/>
    <w:rsid w:val="000B7355"/>
    <w:rsid w:val="000B7D70"/>
    <w:rsid w:val="000C0C31"/>
    <w:rsid w:val="000C12C4"/>
    <w:rsid w:val="000C2BC0"/>
    <w:rsid w:val="000C306A"/>
    <w:rsid w:val="000C30A0"/>
    <w:rsid w:val="000C3951"/>
    <w:rsid w:val="000C3B0D"/>
    <w:rsid w:val="000C40E3"/>
    <w:rsid w:val="000C4AEE"/>
    <w:rsid w:val="000C5595"/>
    <w:rsid w:val="000C62D8"/>
    <w:rsid w:val="000D03BE"/>
    <w:rsid w:val="000D0ABA"/>
    <w:rsid w:val="000D1406"/>
    <w:rsid w:val="000D3366"/>
    <w:rsid w:val="000D3594"/>
    <w:rsid w:val="000D3C41"/>
    <w:rsid w:val="000D6633"/>
    <w:rsid w:val="000E0014"/>
    <w:rsid w:val="000E0D39"/>
    <w:rsid w:val="000E2DB8"/>
    <w:rsid w:val="000E3A57"/>
    <w:rsid w:val="000E4812"/>
    <w:rsid w:val="000E4A5D"/>
    <w:rsid w:val="000E7507"/>
    <w:rsid w:val="000F0F74"/>
    <w:rsid w:val="000F1001"/>
    <w:rsid w:val="000F2FA9"/>
    <w:rsid w:val="000F45C1"/>
    <w:rsid w:val="000F5B1B"/>
    <w:rsid w:val="000F678A"/>
    <w:rsid w:val="000F794F"/>
    <w:rsid w:val="000F7A7D"/>
    <w:rsid w:val="00100C5E"/>
    <w:rsid w:val="001016A6"/>
    <w:rsid w:val="00106CB2"/>
    <w:rsid w:val="001075EF"/>
    <w:rsid w:val="001132BE"/>
    <w:rsid w:val="0011374D"/>
    <w:rsid w:val="0011555F"/>
    <w:rsid w:val="00115679"/>
    <w:rsid w:val="00115930"/>
    <w:rsid w:val="00115E33"/>
    <w:rsid w:val="00117F43"/>
    <w:rsid w:val="00120B60"/>
    <w:rsid w:val="00120BB4"/>
    <w:rsid w:val="001227F4"/>
    <w:rsid w:val="00123913"/>
    <w:rsid w:val="00123C72"/>
    <w:rsid w:val="00125C89"/>
    <w:rsid w:val="00130EA1"/>
    <w:rsid w:val="00133B80"/>
    <w:rsid w:val="00135E65"/>
    <w:rsid w:val="00137234"/>
    <w:rsid w:val="00137C41"/>
    <w:rsid w:val="00137DA6"/>
    <w:rsid w:val="00143821"/>
    <w:rsid w:val="00143C2B"/>
    <w:rsid w:val="0014452B"/>
    <w:rsid w:val="0014472C"/>
    <w:rsid w:val="00146F1F"/>
    <w:rsid w:val="001510C3"/>
    <w:rsid w:val="00152B3D"/>
    <w:rsid w:val="00154160"/>
    <w:rsid w:val="001544E1"/>
    <w:rsid w:val="0015468A"/>
    <w:rsid w:val="00155402"/>
    <w:rsid w:val="00160C43"/>
    <w:rsid w:val="0016130A"/>
    <w:rsid w:val="00161B7C"/>
    <w:rsid w:val="0016339E"/>
    <w:rsid w:val="0016486E"/>
    <w:rsid w:val="00166D45"/>
    <w:rsid w:val="001670CA"/>
    <w:rsid w:val="00170C16"/>
    <w:rsid w:val="001716E9"/>
    <w:rsid w:val="001730B0"/>
    <w:rsid w:val="00173DF8"/>
    <w:rsid w:val="00174B46"/>
    <w:rsid w:val="001769C7"/>
    <w:rsid w:val="001774A9"/>
    <w:rsid w:val="001817D2"/>
    <w:rsid w:val="0018217A"/>
    <w:rsid w:val="001824D3"/>
    <w:rsid w:val="00182644"/>
    <w:rsid w:val="001826AD"/>
    <w:rsid w:val="0018296D"/>
    <w:rsid w:val="00183001"/>
    <w:rsid w:val="00183602"/>
    <w:rsid w:val="00184CF9"/>
    <w:rsid w:val="00184D36"/>
    <w:rsid w:val="001855A5"/>
    <w:rsid w:val="00185EC9"/>
    <w:rsid w:val="0019021F"/>
    <w:rsid w:val="00190B68"/>
    <w:rsid w:val="00191A7B"/>
    <w:rsid w:val="00192A58"/>
    <w:rsid w:val="00193241"/>
    <w:rsid w:val="00193CBF"/>
    <w:rsid w:val="00195213"/>
    <w:rsid w:val="0019634F"/>
    <w:rsid w:val="00197401"/>
    <w:rsid w:val="00197668"/>
    <w:rsid w:val="00197BB8"/>
    <w:rsid w:val="001A25EB"/>
    <w:rsid w:val="001A351B"/>
    <w:rsid w:val="001A7780"/>
    <w:rsid w:val="001B055B"/>
    <w:rsid w:val="001B52D1"/>
    <w:rsid w:val="001B53CA"/>
    <w:rsid w:val="001B6D2D"/>
    <w:rsid w:val="001B70C6"/>
    <w:rsid w:val="001B7D21"/>
    <w:rsid w:val="001C20B6"/>
    <w:rsid w:val="001C64DB"/>
    <w:rsid w:val="001C6916"/>
    <w:rsid w:val="001C699D"/>
    <w:rsid w:val="001C754E"/>
    <w:rsid w:val="001D32E1"/>
    <w:rsid w:val="001D40E1"/>
    <w:rsid w:val="001D4868"/>
    <w:rsid w:val="001D5A6C"/>
    <w:rsid w:val="001D7D71"/>
    <w:rsid w:val="001E131C"/>
    <w:rsid w:val="001E1EB8"/>
    <w:rsid w:val="001E28BE"/>
    <w:rsid w:val="001E2D60"/>
    <w:rsid w:val="001E37B0"/>
    <w:rsid w:val="001E3B16"/>
    <w:rsid w:val="001E523C"/>
    <w:rsid w:val="001E647C"/>
    <w:rsid w:val="001E6D73"/>
    <w:rsid w:val="001E7F57"/>
    <w:rsid w:val="001F0B18"/>
    <w:rsid w:val="001F0C86"/>
    <w:rsid w:val="001F14FD"/>
    <w:rsid w:val="001F30F5"/>
    <w:rsid w:val="001F346C"/>
    <w:rsid w:val="001F3982"/>
    <w:rsid w:val="001F4C35"/>
    <w:rsid w:val="001F5916"/>
    <w:rsid w:val="001F5980"/>
    <w:rsid w:val="001F6326"/>
    <w:rsid w:val="001F6A87"/>
    <w:rsid w:val="001F72DB"/>
    <w:rsid w:val="0020000F"/>
    <w:rsid w:val="00200A33"/>
    <w:rsid w:val="00200F80"/>
    <w:rsid w:val="002020DC"/>
    <w:rsid w:val="00202360"/>
    <w:rsid w:val="00203A1D"/>
    <w:rsid w:val="00204095"/>
    <w:rsid w:val="002044A3"/>
    <w:rsid w:val="00205BB6"/>
    <w:rsid w:val="00205D2E"/>
    <w:rsid w:val="00211FF2"/>
    <w:rsid w:val="00213DAD"/>
    <w:rsid w:val="0021497C"/>
    <w:rsid w:val="00214D74"/>
    <w:rsid w:val="00215ECF"/>
    <w:rsid w:val="002163FB"/>
    <w:rsid w:val="002164C4"/>
    <w:rsid w:val="00216B41"/>
    <w:rsid w:val="00216C11"/>
    <w:rsid w:val="00217B70"/>
    <w:rsid w:val="00220530"/>
    <w:rsid w:val="00222C99"/>
    <w:rsid w:val="00226166"/>
    <w:rsid w:val="0023071F"/>
    <w:rsid w:val="00231499"/>
    <w:rsid w:val="002324C9"/>
    <w:rsid w:val="00235023"/>
    <w:rsid w:val="0023514B"/>
    <w:rsid w:val="00235394"/>
    <w:rsid w:val="00236952"/>
    <w:rsid w:val="00236FDF"/>
    <w:rsid w:val="00237BA4"/>
    <w:rsid w:val="00237C0B"/>
    <w:rsid w:val="00240E91"/>
    <w:rsid w:val="00241B6B"/>
    <w:rsid w:val="00242610"/>
    <w:rsid w:val="00243DD4"/>
    <w:rsid w:val="00244631"/>
    <w:rsid w:val="002447FC"/>
    <w:rsid w:val="00244FD3"/>
    <w:rsid w:val="00247387"/>
    <w:rsid w:val="002478E9"/>
    <w:rsid w:val="00250630"/>
    <w:rsid w:val="00251211"/>
    <w:rsid w:val="0025271B"/>
    <w:rsid w:val="00255A7A"/>
    <w:rsid w:val="002561B7"/>
    <w:rsid w:val="002564C3"/>
    <w:rsid w:val="0025713C"/>
    <w:rsid w:val="002579D1"/>
    <w:rsid w:val="00261EAF"/>
    <w:rsid w:val="00262130"/>
    <w:rsid w:val="0026363E"/>
    <w:rsid w:val="0026416A"/>
    <w:rsid w:val="00265D1E"/>
    <w:rsid w:val="00266FAA"/>
    <w:rsid w:val="002672C5"/>
    <w:rsid w:val="00267AA1"/>
    <w:rsid w:val="002727CA"/>
    <w:rsid w:val="00275811"/>
    <w:rsid w:val="002766D1"/>
    <w:rsid w:val="00276C21"/>
    <w:rsid w:val="00276D21"/>
    <w:rsid w:val="00280F69"/>
    <w:rsid w:val="0028223C"/>
    <w:rsid w:val="00283653"/>
    <w:rsid w:val="00283E04"/>
    <w:rsid w:val="002842F8"/>
    <w:rsid w:val="0028438B"/>
    <w:rsid w:val="00284C61"/>
    <w:rsid w:val="00291D93"/>
    <w:rsid w:val="00292717"/>
    <w:rsid w:val="00294C52"/>
    <w:rsid w:val="0029603D"/>
    <w:rsid w:val="002962EA"/>
    <w:rsid w:val="00297D01"/>
    <w:rsid w:val="002A033E"/>
    <w:rsid w:val="002A0D85"/>
    <w:rsid w:val="002A49F2"/>
    <w:rsid w:val="002A646D"/>
    <w:rsid w:val="002A7FDA"/>
    <w:rsid w:val="002B070C"/>
    <w:rsid w:val="002B1E3A"/>
    <w:rsid w:val="002B460C"/>
    <w:rsid w:val="002B5BDB"/>
    <w:rsid w:val="002B5FE7"/>
    <w:rsid w:val="002C05B9"/>
    <w:rsid w:val="002C139E"/>
    <w:rsid w:val="002C4768"/>
    <w:rsid w:val="002C678C"/>
    <w:rsid w:val="002C739C"/>
    <w:rsid w:val="002D28FA"/>
    <w:rsid w:val="002D2F35"/>
    <w:rsid w:val="002D31F8"/>
    <w:rsid w:val="002D3802"/>
    <w:rsid w:val="002D4B66"/>
    <w:rsid w:val="002D4F37"/>
    <w:rsid w:val="002D5529"/>
    <w:rsid w:val="002D5D51"/>
    <w:rsid w:val="002D5FA6"/>
    <w:rsid w:val="002D7F24"/>
    <w:rsid w:val="002D7F78"/>
    <w:rsid w:val="002E03B3"/>
    <w:rsid w:val="002E29B4"/>
    <w:rsid w:val="002E2FBD"/>
    <w:rsid w:val="002E4172"/>
    <w:rsid w:val="002E450D"/>
    <w:rsid w:val="002E4A4F"/>
    <w:rsid w:val="002E5152"/>
    <w:rsid w:val="002E52A6"/>
    <w:rsid w:val="002E6FA1"/>
    <w:rsid w:val="002E76F6"/>
    <w:rsid w:val="002E791A"/>
    <w:rsid w:val="002F093D"/>
    <w:rsid w:val="002F1EFE"/>
    <w:rsid w:val="002F26C1"/>
    <w:rsid w:val="002F30A9"/>
    <w:rsid w:val="002F4032"/>
    <w:rsid w:val="002F47D3"/>
    <w:rsid w:val="00300766"/>
    <w:rsid w:val="00303DC8"/>
    <w:rsid w:val="0030741E"/>
    <w:rsid w:val="00312C2D"/>
    <w:rsid w:val="0031316B"/>
    <w:rsid w:val="0031450F"/>
    <w:rsid w:val="00314C0F"/>
    <w:rsid w:val="00317BAA"/>
    <w:rsid w:val="003209B7"/>
    <w:rsid w:val="00320B34"/>
    <w:rsid w:val="00322B4A"/>
    <w:rsid w:val="003234B5"/>
    <w:rsid w:val="0032365B"/>
    <w:rsid w:val="00323BA2"/>
    <w:rsid w:val="00330821"/>
    <w:rsid w:val="003321DC"/>
    <w:rsid w:val="00334002"/>
    <w:rsid w:val="0033411A"/>
    <w:rsid w:val="00334FE7"/>
    <w:rsid w:val="00336468"/>
    <w:rsid w:val="00340845"/>
    <w:rsid w:val="00341630"/>
    <w:rsid w:val="00341BB2"/>
    <w:rsid w:val="003429E6"/>
    <w:rsid w:val="00342DDC"/>
    <w:rsid w:val="0034451E"/>
    <w:rsid w:val="00344809"/>
    <w:rsid w:val="00345295"/>
    <w:rsid w:val="003459C1"/>
    <w:rsid w:val="00346C34"/>
    <w:rsid w:val="0035117C"/>
    <w:rsid w:val="0035254A"/>
    <w:rsid w:val="00353537"/>
    <w:rsid w:val="003538F1"/>
    <w:rsid w:val="003557B8"/>
    <w:rsid w:val="00355F6F"/>
    <w:rsid w:val="00357D57"/>
    <w:rsid w:val="003611E7"/>
    <w:rsid w:val="0036183B"/>
    <w:rsid w:val="00361F87"/>
    <w:rsid w:val="00365845"/>
    <w:rsid w:val="00365E18"/>
    <w:rsid w:val="00375701"/>
    <w:rsid w:val="003762B0"/>
    <w:rsid w:val="00376529"/>
    <w:rsid w:val="00376D1D"/>
    <w:rsid w:val="00376D9C"/>
    <w:rsid w:val="003803D9"/>
    <w:rsid w:val="00383544"/>
    <w:rsid w:val="00384448"/>
    <w:rsid w:val="003848B2"/>
    <w:rsid w:val="00387918"/>
    <w:rsid w:val="00390CFF"/>
    <w:rsid w:val="00390E47"/>
    <w:rsid w:val="00392ECA"/>
    <w:rsid w:val="003933F6"/>
    <w:rsid w:val="0039445A"/>
    <w:rsid w:val="00394656"/>
    <w:rsid w:val="00395D62"/>
    <w:rsid w:val="003967FD"/>
    <w:rsid w:val="00396872"/>
    <w:rsid w:val="00397DD3"/>
    <w:rsid w:val="003A0163"/>
    <w:rsid w:val="003A051F"/>
    <w:rsid w:val="003A3BD3"/>
    <w:rsid w:val="003A4166"/>
    <w:rsid w:val="003A4481"/>
    <w:rsid w:val="003A52ED"/>
    <w:rsid w:val="003A5EEE"/>
    <w:rsid w:val="003A66C3"/>
    <w:rsid w:val="003A670E"/>
    <w:rsid w:val="003A7633"/>
    <w:rsid w:val="003A7B1C"/>
    <w:rsid w:val="003A7F54"/>
    <w:rsid w:val="003A7F6E"/>
    <w:rsid w:val="003B1276"/>
    <w:rsid w:val="003B33FC"/>
    <w:rsid w:val="003B34DC"/>
    <w:rsid w:val="003B5B25"/>
    <w:rsid w:val="003C04C1"/>
    <w:rsid w:val="003C0D10"/>
    <w:rsid w:val="003C26C7"/>
    <w:rsid w:val="003C351B"/>
    <w:rsid w:val="003C3DC4"/>
    <w:rsid w:val="003C545B"/>
    <w:rsid w:val="003C56C6"/>
    <w:rsid w:val="003C69F8"/>
    <w:rsid w:val="003D0301"/>
    <w:rsid w:val="003D071D"/>
    <w:rsid w:val="003D140A"/>
    <w:rsid w:val="003D15FC"/>
    <w:rsid w:val="003D2D38"/>
    <w:rsid w:val="003D2F76"/>
    <w:rsid w:val="003D317E"/>
    <w:rsid w:val="003D3EF7"/>
    <w:rsid w:val="003D4E00"/>
    <w:rsid w:val="003D52CB"/>
    <w:rsid w:val="003D5D5D"/>
    <w:rsid w:val="003D6E37"/>
    <w:rsid w:val="003D6E9F"/>
    <w:rsid w:val="003D7BA3"/>
    <w:rsid w:val="003E1570"/>
    <w:rsid w:val="003E1AEA"/>
    <w:rsid w:val="003E343E"/>
    <w:rsid w:val="003E35C4"/>
    <w:rsid w:val="003E4AE9"/>
    <w:rsid w:val="003E5500"/>
    <w:rsid w:val="003E5BB2"/>
    <w:rsid w:val="003E637C"/>
    <w:rsid w:val="003E707E"/>
    <w:rsid w:val="003E730C"/>
    <w:rsid w:val="003E7698"/>
    <w:rsid w:val="003F23B8"/>
    <w:rsid w:val="003F29E4"/>
    <w:rsid w:val="003F2EB9"/>
    <w:rsid w:val="003F51F1"/>
    <w:rsid w:val="003F57A7"/>
    <w:rsid w:val="00400BC4"/>
    <w:rsid w:val="00400F2C"/>
    <w:rsid w:val="00401977"/>
    <w:rsid w:val="00403118"/>
    <w:rsid w:val="00407772"/>
    <w:rsid w:val="00411A15"/>
    <w:rsid w:val="00411EF1"/>
    <w:rsid w:val="00412E6C"/>
    <w:rsid w:val="00414A21"/>
    <w:rsid w:val="00417535"/>
    <w:rsid w:val="00420FF9"/>
    <w:rsid w:val="004218ED"/>
    <w:rsid w:val="00421B06"/>
    <w:rsid w:val="00422194"/>
    <w:rsid w:val="00422622"/>
    <w:rsid w:val="004253A6"/>
    <w:rsid w:val="0042795E"/>
    <w:rsid w:val="00427BAA"/>
    <w:rsid w:val="00430176"/>
    <w:rsid w:val="00430DC7"/>
    <w:rsid w:val="00431387"/>
    <w:rsid w:val="004346DA"/>
    <w:rsid w:val="00434BEE"/>
    <w:rsid w:val="00436DEA"/>
    <w:rsid w:val="00437736"/>
    <w:rsid w:val="00440C27"/>
    <w:rsid w:val="00441702"/>
    <w:rsid w:val="00441721"/>
    <w:rsid w:val="004423C8"/>
    <w:rsid w:val="0044424D"/>
    <w:rsid w:val="00444827"/>
    <w:rsid w:val="00445902"/>
    <w:rsid w:val="00445D3C"/>
    <w:rsid w:val="0044666B"/>
    <w:rsid w:val="00450C04"/>
    <w:rsid w:val="00451B66"/>
    <w:rsid w:val="004528B6"/>
    <w:rsid w:val="00452A5C"/>
    <w:rsid w:val="00452D53"/>
    <w:rsid w:val="00452FFE"/>
    <w:rsid w:val="00456FE5"/>
    <w:rsid w:val="00460344"/>
    <w:rsid w:val="004611FE"/>
    <w:rsid w:val="00461B1B"/>
    <w:rsid w:val="00461FE2"/>
    <w:rsid w:val="00462060"/>
    <w:rsid w:val="004623FF"/>
    <w:rsid w:val="00462D74"/>
    <w:rsid w:val="004653F8"/>
    <w:rsid w:val="00466C6F"/>
    <w:rsid w:val="004705B1"/>
    <w:rsid w:val="00471F7F"/>
    <w:rsid w:val="00473CA8"/>
    <w:rsid w:val="004742C1"/>
    <w:rsid w:val="00474CD0"/>
    <w:rsid w:val="00475147"/>
    <w:rsid w:val="0047517B"/>
    <w:rsid w:val="00475A66"/>
    <w:rsid w:val="0047785C"/>
    <w:rsid w:val="004810CB"/>
    <w:rsid w:val="00482CA4"/>
    <w:rsid w:val="0048394E"/>
    <w:rsid w:val="00483C72"/>
    <w:rsid w:val="004843B4"/>
    <w:rsid w:val="00484994"/>
    <w:rsid w:val="00485EAB"/>
    <w:rsid w:val="00485EB4"/>
    <w:rsid w:val="00486AF2"/>
    <w:rsid w:val="00486E39"/>
    <w:rsid w:val="00491D32"/>
    <w:rsid w:val="00492067"/>
    <w:rsid w:val="004929FE"/>
    <w:rsid w:val="00492C98"/>
    <w:rsid w:val="00492CB8"/>
    <w:rsid w:val="00493DF8"/>
    <w:rsid w:val="004945F6"/>
    <w:rsid w:val="00494A8E"/>
    <w:rsid w:val="00494C86"/>
    <w:rsid w:val="0049635B"/>
    <w:rsid w:val="00496FFA"/>
    <w:rsid w:val="004A0701"/>
    <w:rsid w:val="004A14CF"/>
    <w:rsid w:val="004A1B0B"/>
    <w:rsid w:val="004A2772"/>
    <w:rsid w:val="004A6A17"/>
    <w:rsid w:val="004A6ECC"/>
    <w:rsid w:val="004A7E2B"/>
    <w:rsid w:val="004B06B6"/>
    <w:rsid w:val="004B1EEE"/>
    <w:rsid w:val="004B56ED"/>
    <w:rsid w:val="004B588C"/>
    <w:rsid w:val="004B5F64"/>
    <w:rsid w:val="004B6F65"/>
    <w:rsid w:val="004C0AAD"/>
    <w:rsid w:val="004C20CB"/>
    <w:rsid w:val="004C3539"/>
    <w:rsid w:val="004C4343"/>
    <w:rsid w:val="004C4FD5"/>
    <w:rsid w:val="004C503E"/>
    <w:rsid w:val="004C68CC"/>
    <w:rsid w:val="004C6BCE"/>
    <w:rsid w:val="004D0F8D"/>
    <w:rsid w:val="004D110E"/>
    <w:rsid w:val="004D3019"/>
    <w:rsid w:val="004D3502"/>
    <w:rsid w:val="004D455B"/>
    <w:rsid w:val="004D4A1C"/>
    <w:rsid w:val="004D52AE"/>
    <w:rsid w:val="004D602E"/>
    <w:rsid w:val="004D6E31"/>
    <w:rsid w:val="004D7684"/>
    <w:rsid w:val="004E025D"/>
    <w:rsid w:val="004E0820"/>
    <w:rsid w:val="004E3591"/>
    <w:rsid w:val="004E64F6"/>
    <w:rsid w:val="004E7D6A"/>
    <w:rsid w:val="004F2D36"/>
    <w:rsid w:val="004F3149"/>
    <w:rsid w:val="004F3260"/>
    <w:rsid w:val="004F5177"/>
    <w:rsid w:val="004F5FBF"/>
    <w:rsid w:val="00501097"/>
    <w:rsid w:val="00502AE4"/>
    <w:rsid w:val="00504379"/>
    <w:rsid w:val="00506E8F"/>
    <w:rsid w:val="005078F8"/>
    <w:rsid w:val="00510147"/>
    <w:rsid w:val="00510224"/>
    <w:rsid w:val="005107BB"/>
    <w:rsid w:val="005109E8"/>
    <w:rsid w:val="005120A0"/>
    <w:rsid w:val="00513517"/>
    <w:rsid w:val="00514CCF"/>
    <w:rsid w:val="00516A59"/>
    <w:rsid w:val="00520767"/>
    <w:rsid w:val="00520E3D"/>
    <w:rsid w:val="005229CF"/>
    <w:rsid w:val="005233A5"/>
    <w:rsid w:val="00523EE3"/>
    <w:rsid w:val="0052746F"/>
    <w:rsid w:val="005275F2"/>
    <w:rsid w:val="00527F41"/>
    <w:rsid w:val="00531C88"/>
    <w:rsid w:val="00532198"/>
    <w:rsid w:val="0053473D"/>
    <w:rsid w:val="00534B90"/>
    <w:rsid w:val="00535140"/>
    <w:rsid w:val="00535DEF"/>
    <w:rsid w:val="00536C89"/>
    <w:rsid w:val="005402B4"/>
    <w:rsid w:val="00540309"/>
    <w:rsid w:val="005404C2"/>
    <w:rsid w:val="00540B88"/>
    <w:rsid w:val="00540E07"/>
    <w:rsid w:val="00542C36"/>
    <w:rsid w:val="00542E32"/>
    <w:rsid w:val="00544D49"/>
    <w:rsid w:val="005452B2"/>
    <w:rsid w:val="00545CFE"/>
    <w:rsid w:val="00545DE6"/>
    <w:rsid w:val="00547588"/>
    <w:rsid w:val="005479F5"/>
    <w:rsid w:val="00550292"/>
    <w:rsid w:val="00550520"/>
    <w:rsid w:val="00552302"/>
    <w:rsid w:val="0055391E"/>
    <w:rsid w:val="00553B33"/>
    <w:rsid w:val="00555177"/>
    <w:rsid w:val="00555956"/>
    <w:rsid w:val="005559D9"/>
    <w:rsid w:val="00557396"/>
    <w:rsid w:val="00561FE8"/>
    <w:rsid w:val="00562D4B"/>
    <w:rsid w:val="00563ED6"/>
    <w:rsid w:val="00563F08"/>
    <w:rsid w:val="0056668B"/>
    <w:rsid w:val="00567A37"/>
    <w:rsid w:val="00570ED8"/>
    <w:rsid w:val="00572FA4"/>
    <w:rsid w:val="0057343E"/>
    <w:rsid w:val="00576D78"/>
    <w:rsid w:val="00577CF4"/>
    <w:rsid w:val="00580AB3"/>
    <w:rsid w:val="0058141B"/>
    <w:rsid w:val="0058171F"/>
    <w:rsid w:val="00582E7D"/>
    <w:rsid w:val="00584379"/>
    <w:rsid w:val="00584974"/>
    <w:rsid w:val="00584C1A"/>
    <w:rsid w:val="0058571A"/>
    <w:rsid w:val="005913BD"/>
    <w:rsid w:val="00592936"/>
    <w:rsid w:val="00592EA6"/>
    <w:rsid w:val="005935A5"/>
    <w:rsid w:val="0059541F"/>
    <w:rsid w:val="00595B22"/>
    <w:rsid w:val="0059602A"/>
    <w:rsid w:val="00597781"/>
    <w:rsid w:val="005A06D0"/>
    <w:rsid w:val="005A260B"/>
    <w:rsid w:val="005A266C"/>
    <w:rsid w:val="005A27A6"/>
    <w:rsid w:val="005A29FD"/>
    <w:rsid w:val="005A42C2"/>
    <w:rsid w:val="005A480E"/>
    <w:rsid w:val="005A57D2"/>
    <w:rsid w:val="005A5B6D"/>
    <w:rsid w:val="005A5B87"/>
    <w:rsid w:val="005A62CB"/>
    <w:rsid w:val="005A7362"/>
    <w:rsid w:val="005A77D9"/>
    <w:rsid w:val="005B0CCA"/>
    <w:rsid w:val="005B10A8"/>
    <w:rsid w:val="005B10BA"/>
    <w:rsid w:val="005B2657"/>
    <w:rsid w:val="005B2AD2"/>
    <w:rsid w:val="005B3B9D"/>
    <w:rsid w:val="005B5117"/>
    <w:rsid w:val="005B5C2E"/>
    <w:rsid w:val="005B6283"/>
    <w:rsid w:val="005B670A"/>
    <w:rsid w:val="005B745D"/>
    <w:rsid w:val="005B7B5E"/>
    <w:rsid w:val="005C037F"/>
    <w:rsid w:val="005C1E29"/>
    <w:rsid w:val="005C2008"/>
    <w:rsid w:val="005C2064"/>
    <w:rsid w:val="005C2CD4"/>
    <w:rsid w:val="005C3713"/>
    <w:rsid w:val="005C4491"/>
    <w:rsid w:val="005C46E2"/>
    <w:rsid w:val="005C4C99"/>
    <w:rsid w:val="005C6A79"/>
    <w:rsid w:val="005D1DB3"/>
    <w:rsid w:val="005D2248"/>
    <w:rsid w:val="005D24D9"/>
    <w:rsid w:val="005D47C9"/>
    <w:rsid w:val="005D6E12"/>
    <w:rsid w:val="005D709E"/>
    <w:rsid w:val="005E09E2"/>
    <w:rsid w:val="005E1199"/>
    <w:rsid w:val="005E1945"/>
    <w:rsid w:val="005E4A42"/>
    <w:rsid w:val="005E7A1F"/>
    <w:rsid w:val="005F03C6"/>
    <w:rsid w:val="005F19EC"/>
    <w:rsid w:val="005F1E84"/>
    <w:rsid w:val="005F2231"/>
    <w:rsid w:val="005F2535"/>
    <w:rsid w:val="005F2928"/>
    <w:rsid w:val="005F2F6E"/>
    <w:rsid w:val="005F47AA"/>
    <w:rsid w:val="005F4C8A"/>
    <w:rsid w:val="005F4D40"/>
    <w:rsid w:val="005F50B6"/>
    <w:rsid w:val="005F5454"/>
    <w:rsid w:val="006032D8"/>
    <w:rsid w:val="00604046"/>
    <w:rsid w:val="00604A5F"/>
    <w:rsid w:val="006056F9"/>
    <w:rsid w:val="006109F1"/>
    <w:rsid w:val="0061149B"/>
    <w:rsid w:val="00612208"/>
    <w:rsid w:val="006136AF"/>
    <w:rsid w:val="00614A43"/>
    <w:rsid w:val="006179C6"/>
    <w:rsid w:val="00620411"/>
    <w:rsid w:val="0062182F"/>
    <w:rsid w:val="006225C3"/>
    <w:rsid w:val="006233E1"/>
    <w:rsid w:val="00624E8B"/>
    <w:rsid w:val="00625581"/>
    <w:rsid w:val="00625AFF"/>
    <w:rsid w:val="00625DA4"/>
    <w:rsid w:val="006269FF"/>
    <w:rsid w:val="00626FD0"/>
    <w:rsid w:val="0063194B"/>
    <w:rsid w:val="00635E87"/>
    <w:rsid w:val="006365B1"/>
    <w:rsid w:val="00637285"/>
    <w:rsid w:val="006373B3"/>
    <w:rsid w:val="0064020F"/>
    <w:rsid w:val="00640FFF"/>
    <w:rsid w:val="006438BE"/>
    <w:rsid w:val="0064404A"/>
    <w:rsid w:val="00645632"/>
    <w:rsid w:val="006523A2"/>
    <w:rsid w:val="006535A3"/>
    <w:rsid w:val="00653E44"/>
    <w:rsid w:val="006541CE"/>
    <w:rsid w:val="00656D48"/>
    <w:rsid w:val="00660B8E"/>
    <w:rsid w:val="00661E8B"/>
    <w:rsid w:val="00662B04"/>
    <w:rsid w:val="006640BD"/>
    <w:rsid w:val="00664483"/>
    <w:rsid w:val="00665034"/>
    <w:rsid w:val="0066557E"/>
    <w:rsid w:val="00667FB0"/>
    <w:rsid w:val="00670929"/>
    <w:rsid w:val="00670B5E"/>
    <w:rsid w:val="00671F96"/>
    <w:rsid w:val="0067422A"/>
    <w:rsid w:val="006801B7"/>
    <w:rsid w:val="00680216"/>
    <w:rsid w:val="0068352B"/>
    <w:rsid w:val="00684A3A"/>
    <w:rsid w:val="00684A50"/>
    <w:rsid w:val="00684C82"/>
    <w:rsid w:val="00685429"/>
    <w:rsid w:val="006857A2"/>
    <w:rsid w:val="006861AB"/>
    <w:rsid w:val="006872AA"/>
    <w:rsid w:val="0069053C"/>
    <w:rsid w:val="00690975"/>
    <w:rsid w:val="00693A44"/>
    <w:rsid w:val="006967DC"/>
    <w:rsid w:val="006A0E6B"/>
    <w:rsid w:val="006A1D43"/>
    <w:rsid w:val="006A3BAF"/>
    <w:rsid w:val="006A5DF9"/>
    <w:rsid w:val="006B2B28"/>
    <w:rsid w:val="006B3B03"/>
    <w:rsid w:val="006B5462"/>
    <w:rsid w:val="006B6D91"/>
    <w:rsid w:val="006B7762"/>
    <w:rsid w:val="006B7B1F"/>
    <w:rsid w:val="006C046F"/>
    <w:rsid w:val="006C0D79"/>
    <w:rsid w:val="006C0EBF"/>
    <w:rsid w:val="006C21A8"/>
    <w:rsid w:val="006C3D06"/>
    <w:rsid w:val="006C41BA"/>
    <w:rsid w:val="006C7DE0"/>
    <w:rsid w:val="006D2A6A"/>
    <w:rsid w:val="006D2B6A"/>
    <w:rsid w:val="006D2D8C"/>
    <w:rsid w:val="006D38D8"/>
    <w:rsid w:val="006D4787"/>
    <w:rsid w:val="006D4B4C"/>
    <w:rsid w:val="006D5AC8"/>
    <w:rsid w:val="006D6718"/>
    <w:rsid w:val="006D781C"/>
    <w:rsid w:val="006E00DE"/>
    <w:rsid w:val="006E1072"/>
    <w:rsid w:val="006E1CB1"/>
    <w:rsid w:val="006E2B02"/>
    <w:rsid w:val="006E46AC"/>
    <w:rsid w:val="006E4CE9"/>
    <w:rsid w:val="006E6898"/>
    <w:rsid w:val="006E7975"/>
    <w:rsid w:val="006F0B27"/>
    <w:rsid w:val="006F2F38"/>
    <w:rsid w:val="006F3327"/>
    <w:rsid w:val="006F5DC9"/>
    <w:rsid w:val="006F5F5D"/>
    <w:rsid w:val="006F7410"/>
    <w:rsid w:val="00701A06"/>
    <w:rsid w:val="00702CC5"/>
    <w:rsid w:val="00703B44"/>
    <w:rsid w:val="00704644"/>
    <w:rsid w:val="00706B79"/>
    <w:rsid w:val="00706B92"/>
    <w:rsid w:val="00707B25"/>
    <w:rsid w:val="00710922"/>
    <w:rsid w:val="00713B5B"/>
    <w:rsid w:val="0071535D"/>
    <w:rsid w:val="007153CC"/>
    <w:rsid w:val="00715669"/>
    <w:rsid w:val="00715CCE"/>
    <w:rsid w:val="007161C8"/>
    <w:rsid w:val="0071665A"/>
    <w:rsid w:val="00717778"/>
    <w:rsid w:val="00720335"/>
    <w:rsid w:val="00720C0C"/>
    <w:rsid w:val="007214E1"/>
    <w:rsid w:val="00721C3F"/>
    <w:rsid w:val="00722FB6"/>
    <w:rsid w:val="0072485E"/>
    <w:rsid w:val="00724CCA"/>
    <w:rsid w:val="007269CB"/>
    <w:rsid w:val="00726A3B"/>
    <w:rsid w:val="00726B07"/>
    <w:rsid w:val="0073034B"/>
    <w:rsid w:val="0073395B"/>
    <w:rsid w:val="00735DC2"/>
    <w:rsid w:val="00736216"/>
    <w:rsid w:val="007372CC"/>
    <w:rsid w:val="00737674"/>
    <w:rsid w:val="00740721"/>
    <w:rsid w:val="007408A1"/>
    <w:rsid w:val="00740CE0"/>
    <w:rsid w:val="00741017"/>
    <w:rsid w:val="007445F6"/>
    <w:rsid w:val="00744815"/>
    <w:rsid w:val="007450DB"/>
    <w:rsid w:val="00745765"/>
    <w:rsid w:val="0074633E"/>
    <w:rsid w:val="00754993"/>
    <w:rsid w:val="00754B89"/>
    <w:rsid w:val="00756940"/>
    <w:rsid w:val="00757D49"/>
    <w:rsid w:val="00763476"/>
    <w:rsid w:val="0076354A"/>
    <w:rsid w:val="007640ED"/>
    <w:rsid w:val="007705A3"/>
    <w:rsid w:val="007727B0"/>
    <w:rsid w:val="00776B3D"/>
    <w:rsid w:val="007779A2"/>
    <w:rsid w:val="00780EC2"/>
    <w:rsid w:val="007812AA"/>
    <w:rsid w:val="00781E7F"/>
    <w:rsid w:val="00782C9B"/>
    <w:rsid w:val="00784936"/>
    <w:rsid w:val="00785DEF"/>
    <w:rsid w:val="00786B16"/>
    <w:rsid w:val="00786C8A"/>
    <w:rsid w:val="00786CF9"/>
    <w:rsid w:val="0078730E"/>
    <w:rsid w:val="007873F7"/>
    <w:rsid w:val="00790240"/>
    <w:rsid w:val="00792868"/>
    <w:rsid w:val="00792A2C"/>
    <w:rsid w:val="007930DB"/>
    <w:rsid w:val="00793805"/>
    <w:rsid w:val="007963EC"/>
    <w:rsid w:val="007A0411"/>
    <w:rsid w:val="007A0907"/>
    <w:rsid w:val="007A1586"/>
    <w:rsid w:val="007A18C0"/>
    <w:rsid w:val="007A3100"/>
    <w:rsid w:val="007A4E93"/>
    <w:rsid w:val="007A5896"/>
    <w:rsid w:val="007A5FA0"/>
    <w:rsid w:val="007A671A"/>
    <w:rsid w:val="007A693D"/>
    <w:rsid w:val="007A7268"/>
    <w:rsid w:val="007A7A88"/>
    <w:rsid w:val="007B017D"/>
    <w:rsid w:val="007B13D9"/>
    <w:rsid w:val="007B1932"/>
    <w:rsid w:val="007B259D"/>
    <w:rsid w:val="007B30B3"/>
    <w:rsid w:val="007B4C74"/>
    <w:rsid w:val="007B6092"/>
    <w:rsid w:val="007B6D2D"/>
    <w:rsid w:val="007C02EE"/>
    <w:rsid w:val="007C23E5"/>
    <w:rsid w:val="007C25B1"/>
    <w:rsid w:val="007C2A4A"/>
    <w:rsid w:val="007C332B"/>
    <w:rsid w:val="007C3DCA"/>
    <w:rsid w:val="007C5A68"/>
    <w:rsid w:val="007C6C97"/>
    <w:rsid w:val="007C743E"/>
    <w:rsid w:val="007D2389"/>
    <w:rsid w:val="007D23D9"/>
    <w:rsid w:val="007D4F1D"/>
    <w:rsid w:val="007D5167"/>
    <w:rsid w:val="007D56E5"/>
    <w:rsid w:val="007D6495"/>
    <w:rsid w:val="007D64F1"/>
    <w:rsid w:val="007D7117"/>
    <w:rsid w:val="007D7302"/>
    <w:rsid w:val="007E1B88"/>
    <w:rsid w:val="007E2613"/>
    <w:rsid w:val="007E6B3E"/>
    <w:rsid w:val="007E71E5"/>
    <w:rsid w:val="007E77F8"/>
    <w:rsid w:val="007E7DC9"/>
    <w:rsid w:val="007E7EF2"/>
    <w:rsid w:val="007E7F71"/>
    <w:rsid w:val="007F13F7"/>
    <w:rsid w:val="007F1ABE"/>
    <w:rsid w:val="007F26E6"/>
    <w:rsid w:val="007F2C92"/>
    <w:rsid w:val="007F3CF6"/>
    <w:rsid w:val="007F447F"/>
    <w:rsid w:val="007F5991"/>
    <w:rsid w:val="007F62FE"/>
    <w:rsid w:val="00800B27"/>
    <w:rsid w:val="00802D48"/>
    <w:rsid w:val="0080315A"/>
    <w:rsid w:val="00803285"/>
    <w:rsid w:val="0080364C"/>
    <w:rsid w:val="00805AE6"/>
    <w:rsid w:val="00810692"/>
    <w:rsid w:val="00810FFD"/>
    <w:rsid w:val="00811411"/>
    <w:rsid w:val="008121BE"/>
    <w:rsid w:val="0081454F"/>
    <w:rsid w:val="008146D9"/>
    <w:rsid w:val="00815477"/>
    <w:rsid w:val="008160F9"/>
    <w:rsid w:val="00816102"/>
    <w:rsid w:val="00816BFE"/>
    <w:rsid w:val="008178D6"/>
    <w:rsid w:val="00817BAA"/>
    <w:rsid w:val="00820209"/>
    <w:rsid w:val="00820692"/>
    <w:rsid w:val="00821788"/>
    <w:rsid w:val="008218F5"/>
    <w:rsid w:val="00822F26"/>
    <w:rsid w:val="008250C1"/>
    <w:rsid w:val="008254A3"/>
    <w:rsid w:val="008254CC"/>
    <w:rsid w:val="00825733"/>
    <w:rsid w:val="00827413"/>
    <w:rsid w:val="008311C4"/>
    <w:rsid w:val="00831297"/>
    <w:rsid w:val="0083270E"/>
    <w:rsid w:val="00832DF4"/>
    <w:rsid w:val="00833703"/>
    <w:rsid w:val="0083579A"/>
    <w:rsid w:val="00835E8A"/>
    <w:rsid w:val="00835F28"/>
    <w:rsid w:val="008366B6"/>
    <w:rsid w:val="008369D1"/>
    <w:rsid w:val="00836E08"/>
    <w:rsid w:val="00837398"/>
    <w:rsid w:val="00840585"/>
    <w:rsid w:val="00840A86"/>
    <w:rsid w:val="0084242E"/>
    <w:rsid w:val="00843AB2"/>
    <w:rsid w:val="00844A7F"/>
    <w:rsid w:val="00844C93"/>
    <w:rsid w:val="008452AA"/>
    <w:rsid w:val="00845C51"/>
    <w:rsid w:val="00846B28"/>
    <w:rsid w:val="00851CCF"/>
    <w:rsid w:val="00851F00"/>
    <w:rsid w:val="008523B0"/>
    <w:rsid w:val="00852F7F"/>
    <w:rsid w:val="0085449D"/>
    <w:rsid w:val="00855C7D"/>
    <w:rsid w:val="008576AF"/>
    <w:rsid w:val="008577F7"/>
    <w:rsid w:val="00860EE9"/>
    <w:rsid w:val="008614C0"/>
    <w:rsid w:val="00861DB5"/>
    <w:rsid w:val="00864085"/>
    <w:rsid w:val="00864242"/>
    <w:rsid w:val="00864570"/>
    <w:rsid w:val="00864AB1"/>
    <w:rsid w:val="00864EFF"/>
    <w:rsid w:val="00865F70"/>
    <w:rsid w:val="00866B74"/>
    <w:rsid w:val="00870973"/>
    <w:rsid w:val="00870A83"/>
    <w:rsid w:val="00873E56"/>
    <w:rsid w:val="00874DF4"/>
    <w:rsid w:val="008769BE"/>
    <w:rsid w:val="00877DA0"/>
    <w:rsid w:val="008805D7"/>
    <w:rsid w:val="00880F9B"/>
    <w:rsid w:val="00884B1E"/>
    <w:rsid w:val="00885F27"/>
    <w:rsid w:val="00886A5A"/>
    <w:rsid w:val="00887869"/>
    <w:rsid w:val="00890CF7"/>
    <w:rsid w:val="00891BBC"/>
    <w:rsid w:val="00893268"/>
    <w:rsid w:val="00894316"/>
    <w:rsid w:val="00894462"/>
    <w:rsid w:val="008957DF"/>
    <w:rsid w:val="00897454"/>
    <w:rsid w:val="008A0890"/>
    <w:rsid w:val="008A1378"/>
    <w:rsid w:val="008A303E"/>
    <w:rsid w:val="008A3F7E"/>
    <w:rsid w:val="008A436F"/>
    <w:rsid w:val="008A51D1"/>
    <w:rsid w:val="008A5286"/>
    <w:rsid w:val="008A55AA"/>
    <w:rsid w:val="008A6C55"/>
    <w:rsid w:val="008A7A47"/>
    <w:rsid w:val="008B06BC"/>
    <w:rsid w:val="008B3104"/>
    <w:rsid w:val="008B3D3B"/>
    <w:rsid w:val="008B3EF0"/>
    <w:rsid w:val="008B7164"/>
    <w:rsid w:val="008C1206"/>
    <w:rsid w:val="008C1F4E"/>
    <w:rsid w:val="008C2AED"/>
    <w:rsid w:val="008C39C3"/>
    <w:rsid w:val="008C4410"/>
    <w:rsid w:val="008C4843"/>
    <w:rsid w:val="008C4F5A"/>
    <w:rsid w:val="008C5645"/>
    <w:rsid w:val="008C593C"/>
    <w:rsid w:val="008C5BA3"/>
    <w:rsid w:val="008C6956"/>
    <w:rsid w:val="008C78B1"/>
    <w:rsid w:val="008D06C4"/>
    <w:rsid w:val="008D0A2C"/>
    <w:rsid w:val="008D2145"/>
    <w:rsid w:val="008D2677"/>
    <w:rsid w:val="008D28B3"/>
    <w:rsid w:val="008D328A"/>
    <w:rsid w:val="008D32BC"/>
    <w:rsid w:val="008D33DA"/>
    <w:rsid w:val="008D387A"/>
    <w:rsid w:val="008D3C39"/>
    <w:rsid w:val="008D4184"/>
    <w:rsid w:val="008D501C"/>
    <w:rsid w:val="008D5AB8"/>
    <w:rsid w:val="008E05AB"/>
    <w:rsid w:val="008E0B38"/>
    <w:rsid w:val="008E0E38"/>
    <w:rsid w:val="008E14EF"/>
    <w:rsid w:val="008E1F55"/>
    <w:rsid w:val="008E2F08"/>
    <w:rsid w:val="008E49EF"/>
    <w:rsid w:val="008E7FED"/>
    <w:rsid w:val="008F0FD5"/>
    <w:rsid w:val="008F2EEB"/>
    <w:rsid w:val="008F5B4B"/>
    <w:rsid w:val="008F5F6F"/>
    <w:rsid w:val="008F6D24"/>
    <w:rsid w:val="008F732F"/>
    <w:rsid w:val="00900719"/>
    <w:rsid w:val="009028B2"/>
    <w:rsid w:val="009028C2"/>
    <w:rsid w:val="00903925"/>
    <w:rsid w:val="00904710"/>
    <w:rsid w:val="0090771D"/>
    <w:rsid w:val="00910119"/>
    <w:rsid w:val="009101CB"/>
    <w:rsid w:val="0091379D"/>
    <w:rsid w:val="00914C3F"/>
    <w:rsid w:val="00915468"/>
    <w:rsid w:val="00916EF5"/>
    <w:rsid w:val="00917151"/>
    <w:rsid w:val="00920B93"/>
    <w:rsid w:val="00922385"/>
    <w:rsid w:val="00923445"/>
    <w:rsid w:val="009256C3"/>
    <w:rsid w:val="009266F6"/>
    <w:rsid w:val="00926AF3"/>
    <w:rsid w:val="00926D44"/>
    <w:rsid w:val="009275DE"/>
    <w:rsid w:val="009304D1"/>
    <w:rsid w:val="00930B08"/>
    <w:rsid w:val="009315E2"/>
    <w:rsid w:val="009319FE"/>
    <w:rsid w:val="00931B8F"/>
    <w:rsid w:val="00933556"/>
    <w:rsid w:val="0093539E"/>
    <w:rsid w:val="00935637"/>
    <w:rsid w:val="009361AA"/>
    <w:rsid w:val="00937847"/>
    <w:rsid w:val="0094183D"/>
    <w:rsid w:val="0094234F"/>
    <w:rsid w:val="00945234"/>
    <w:rsid w:val="009455FB"/>
    <w:rsid w:val="009460C1"/>
    <w:rsid w:val="00946742"/>
    <w:rsid w:val="00952637"/>
    <w:rsid w:val="00954BFC"/>
    <w:rsid w:val="00956F85"/>
    <w:rsid w:val="00957000"/>
    <w:rsid w:val="009573FC"/>
    <w:rsid w:val="00957469"/>
    <w:rsid w:val="009576B6"/>
    <w:rsid w:val="00964E82"/>
    <w:rsid w:val="00965D19"/>
    <w:rsid w:val="00967E93"/>
    <w:rsid w:val="0097111E"/>
    <w:rsid w:val="009713DE"/>
    <w:rsid w:val="00971D28"/>
    <w:rsid w:val="00972B66"/>
    <w:rsid w:val="009731B8"/>
    <w:rsid w:val="00973393"/>
    <w:rsid w:val="009739C5"/>
    <w:rsid w:val="00973AA2"/>
    <w:rsid w:val="00974212"/>
    <w:rsid w:val="00974EF7"/>
    <w:rsid w:val="00975580"/>
    <w:rsid w:val="009813DC"/>
    <w:rsid w:val="00983F2C"/>
    <w:rsid w:val="0098402B"/>
    <w:rsid w:val="0098542A"/>
    <w:rsid w:val="0098576E"/>
    <w:rsid w:val="00985AB7"/>
    <w:rsid w:val="00986710"/>
    <w:rsid w:val="00987BFA"/>
    <w:rsid w:val="009902D5"/>
    <w:rsid w:val="0099155E"/>
    <w:rsid w:val="00991DC8"/>
    <w:rsid w:val="00993CF9"/>
    <w:rsid w:val="00993FBC"/>
    <w:rsid w:val="009948A0"/>
    <w:rsid w:val="00995150"/>
    <w:rsid w:val="00995B34"/>
    <w:rsid w:val="009A168F"/>
    <w:rsid w:val="009A16D0"/>
    <w:rsid w:val="009A270F"/>
    <w:rsid w:val="009A458A"/>
    <w:rsid w:val="009A66D2"/>
    <w:rsid w:val="009B1332"/>
    <w:rsid w:val="009B35C2"/>
    <w:rsid w:val="009B3A53"/>
    <w:rsid w:val="009B42B7"/>
    <w:rsid w:val="009B4947"/>
    <w:rsid w:val="009B4E86"/>
    <w:rsid w:val="009B51B3"/>
    <w:rsid w:val="009B547A"/>
    <w:rsid w:val="009B5608"/>
    <w:rsid w:val="009B5B07"/>
    <w:rsid w:val="009C13BA"/>
    <w:rsid w:val="009C28BB"/>
    <w:rsid w:val="009C3946"/>
    <w:rsid w:val="009C3E29"/>
    <w:rsid w:val="009C3EC9"/>
    <w:rsid w:val="009C476C"/>
    <w:rsid w:val="009C4911"/>
    <w:rsid w:val="009C53FF"/>
    <w:rsid w:val="009C5ED8"/>
    <w:rsid w:val="009D0F63"/>
    <w:rsid w:val="009D1D31"/>
    <w:rsid w:val="009D1E63"/>
    <w:rsid w:val="009D3212"/>
    <w:rsid w:val="009D4DAE"/>
    <w:rsid w:val="009D54BF"/>
    <w:rsid w:val="009E16AF"/>
    <w:rsid w:val="009E1D62"/>
    <w:rsid w:val="009E2CF8"/>
    <w:rsid w:val="009E5A04"/>
    <w:rsid w:val="009E71F5"/>
    <w:rsid w:val="009E77C4"/>
    <w:rsid w:val="009F0887"/>
    <w:rsid w:val="009F08EC"/>
    <w:rsid w:val="009F0DEB"/>
    <w:rsid w:val="009F51BA"/>
    <w:rsid w:val="009F57FD"/>
    <w:rsid w:val="009F5A11"/>
    <w:rsid w:val="009F6239"/>
    <w:rsid w:val="009F72E6"/>
    <w:rsid w:val="00A0011D"/>
    <w:rsid w:val="00A002EF"/>
    <w:rsid w:val="00A003C7"/>
    <w:rsid w:val="00A0156C"/>
    <w:rsid w:val="00A02D3F"/>
    <w:rsid w:val="00A03D84"/>
    <w:rsid w:val="00A04F09"/>
    <w:rsid w:val="00A04FBF"/>
    <w:rsid w:val="00A05737"/>
    <w:rsid w:val="00A05F0E"/>
    <w:rsid w:val="00A0737E"/>
    <w:rsid w:val="00A102C4"/>
    <w:rsid w:val="00A11336"/>
    <w:rsid w:val="00A141D4"/>
    <w:rsid w:val="00A157FD"/>
    <w:rsid w:val="00A17684"/>
    <w:rsid w:val="00A17FE2"/>
    <w:rsid w:val="00A23490"/>
    <w:rsid w:val="00A2458C"/>
    <w:rsid w:val="00A245DE"/>
    <w:rsid w:val="00A24A29"/>
    <w:rsid w:val="00A24ED4"/>
    <w:rsid w:val="00A25C82"/>
    <w:rsid w:val="00A26263"/>
    <w:rsid w:val="00A26DF7"/>
    <w:rsid w:val="00A27B0D"/>
    <w:rsid w:val="00A301F6"/>
    <w:rsid w:val="00A30381"/>
    <w:rsid w:val="00A3159C"/>
    <w:rsid w:val="00A31ED4"/>
    <w:rsid w:val="00A33FA8"/>
    <w:rsid w:val="00A347A6"/>
    <w:rsid w:val="00A353A3"/>
    <w:rsid w:val="00A354D8"/>
    <w:rsid w:val="00A37CCB"/>
    <w:rsid w:val="00A40135"/>
    <w:rsid w:val="00A409A8"/>
    <w:rsid w:val="00A4100B"/>
    <w:rsid w:val="00A41665"/>
    <w:rsid w:val="00A41E31"/>
    <w:rsid w:val="00A44908"/>
    <w:rsid w:val="00A44932"/>
    <w:rsid w:val="00A52AA1"/>
    <w:rsid w:val="00A52AD0"/>
    <w:rsid w:val="00A52EF9"/>
    <w:rsid w:val="00A53D0C"/>
    <w:rsid w:val="00A54BFA"/>
    <w:rsid w:val="00A55741"/>
    <w:rsid w:val="00A55886"/>
    <w:rsid w:val="00A55FF4"/>
    <w:rsid w:val="00A56305"/>
    <w:rsid w:val="00A576B8"/>
    <w:rsid w:val="00A60285"/>
    <w:rsid w:val="00A60A2C"/>
    <w:rsid w:val="00A61E17"/>
    <w:rsid w:val="00A62BF0"/>
    <w:rsid w:val="00A62E64"/>
    <w:rsid w:val="00A636E9"/>
    <w:rsid w:val="00A647FB"/>
    <w:rsid w:val="00A64918"/>
    <w:rsid w:val="00A64BAA"/>
    <w:rsid w:val="00A65ABB"/>
    <w:rsid w:val="00A66CEA"/>
    <w:rsid w:val="00A71D8C"/>
    <w:rsid w:val="00A72B01"/>
    <w:rsid w:val="00A732D3"/>
    <w:rsid w:val="00A73702"/>
    <w:rsid w:val="00A76076"/>
    <w:rsid w:val="00A807DA"/>
    <w:rsid w:val="00A80F80"/>
    <w:rsid w:val="00A81CB8"/>
    <w:rsid w:val="00A82E35"/>
    <w:rsid w:val="00A859BB"/>
    <w:rsid w:val="00A86EBB"/>
    <w:rsid w:val="00A875F9"/>
    <w:rsid w:val="00A87836"/>
    <w:rsid w:val="00A87EFA"/>
    <w:rsid w:val="00A87FB3"/>
    <w:rsid w:val="00A90EE9"/>
    <w:rsid w:val="00A932C6"/>
    <w:rsid w:val="00A94F3E"/>
    <w:rsid w:val="00A95D26"/>
    <w:rsid w:val="00A96851"/>
    <w:rsid w:val="00A968F9"/>
    <w:rsid w:val="00A96A32"/>
    <w:rsid w:val="00A96FB6"/>
    <w:rsid w:val="00A979F0"/>
    <w:rsid w:val="00AA1D3E"/>
    <w:rsid w:val="00AA2205"/>
    <w:rsid w:val="00AA2606"/>
    <w:rsid w:val="00AA2983"/>
    <w:rsid w:val="00AA2D53"/>
    <w:rsid w:val="00AA4050"/>
    <w:rsid w:val="00AA406E"/>
    <w:rsid w:val="00AA5E26"/>
    <w:rsid w:val="00AA60A7"/>
    <w:rsid w:val="00AA784E"/>
    <w:rsid w:val="00AB128F"/>
    <w:rsid w:val="00AB1546"/>
    <w:rsid w:val="00AB154A"/>
    <w:rsid w:val="00AB3259"/>
    <w:rsid w:val="00AB4E67"/>
    <w:rsid w:val="00AB5AFD"/>
    <w:rsid w:val="00AB5D8C"/>
    <w:rsid w:val="00AC1852"/>
    <w:rsid w:val="00AC18CE"/>
    <w:rsid w:val="00AC23F1"/>
    <w:rsid w:val="00AC3F7A"/>
    <w:rsid w:val="00AC5A25"/>
    <w:rsid w:val="00AC6BAA"/>
    <w:rsid w:val="00AC78E3"/>
    <w:rsid w:val="00AD1F0D"/>
    <w:rsid w:val="00AD25CD"/>
    <w:rsid w:val="00AD583E"/>
    <w:rsid w:val="00AD5E41"/>
    <w:rsid w:val="00AD6B5D"/>
    <w:rsid w:val="00AD75F3"/>
    <w:rsid w:val="00AD7916"/>
    <w:rsid w:val="00AD7DF1"/>
    <w:rsid w:val="00AE0881"/>
    <w:rsid w:val="00AE3EE3"/>
    <w:rsid w:val="00AE54F5"/>
    <w:rsid w:val="00AE698E"/>
    <w:rsid w:val="00AF2447"/>
    <w:rsid w:val="00AF2904"/>
    <w:rsid w:val="00AF4A55"/>
    <w:rsid w:val="00B01792"/>
    <w:rsid w:val="00B03956"/>
    <w:rsid w:val="00B071A5"/>
    <w:rsid w:val="00B10760"/>
    <w:rsid w:val="00B10BDD"/>
    <w:rsid w:val="00B1280A"/>
    <w:rsid w:val="00B12BE0"/>
    <w:rsid w:val="00B1402F"/>
    <w:rsid w:val="00B1412A"/>
    <w:rsid w:val="00B14478"/>
    <w:rsid w:val="00B15655"/>
    <w:rsid w:val="00B164F6"/>
    <w:rsid w:val="00B16B0E"/>
    <w:rsid w:val="00B2084F"/>
    <w:rsid w:val="00B20A7D"/>
    <w:rsid w:val="00B23AAC"/>
    <w:rsid w:val="00B305D8"/>
    <w:rsid w:val="00B3212F"/>
    <w:rsid w:val="00B33395"/>
    <w:rsid w:val="00B34A76"/>
    <w:rsid w:val="00B3501E"/>
    <w:rsid w:val="00B355CD"/>
    <w:rsid w:val="00B35964"/>
    <w:rsid w:val="00B36FEB"/>
    <w:rsid w:val="00B371E2"/>
    <w:rsid w:val="00B406C9"/>
    <w:rsid w:val="00B40B32"/>
    <w:rsid w:val="00B414B6"/>
    <w:rsid w:val="00B4387A"/>
    <w:rsid w:val="00B43DAE"/>
    <w:rsid w:val="00B44424"/>
    <w:rsid w:val="00B44F8D"/>
    <w:rsid w:val="00B45C00"/>
    <w:rsid w:val="00B46B2C"/>
    <w:rsid w:val="00B474C3"/>
    <w:rsid w:val="00B47CA0"/>
    <w:rsid w:val="00B50736"/>
    <w:rsid w:val="00B5079E"/>
    <w:rsid w:val="00B50F76"/>
    <w:rsid w:val="00B514A6"/>
    <w:rsid w:val="00B514B3"/>
    <w:rsid w:val="00B51CCD"/>
    <w:rsid w:val="00B5354C"/>
    <w:rsid w:val="00B53EE3"/>
    <w:rsid w:val="00B542F6"/>
    <w:rsid w:val="00B56806"/>
    <w:rsid w:val="00B575E0"/>
    <w:rsid w:val="00B57876"/>
    <w:rsid w:val="00B61492"/>
    <w:rsid w:val="00B61A5C"/>
    <w:rsid w:val="00B62B12"/>
    <w:rsid w:val="00B62E34"/>
    <w:rsid w:val="00B63412"/>
    <w:rsid w:val="00B63CFA"/>
    <w:rsid w:val="00B63F68"/>
    <w:rsid w:val="00B643A5"/>
    <w:rsid w:val="00B64E3E"/>
    <w:rsid w:val="00B6600C"/>
    <w:rsid w:val="00B66DA1"/>
    <w:rsid w:val="00B72D87"/>
    <w:rsid w:val="00B7395A"/>
    <w:rsid w:val="00B74F87"/>
    <w:rsid w:val="00B74FE4"/>
    <w:rsid w:val="00B7600B"/>
    <w:rsid w:val="00B77322"/>
    <w:rsid w:val="00B80C46"/>
    <w:rsid w:val="00B82136"/>
    <w:rsid w:val="00B82297"/>
    <w:rsid w:val="00B83E89"/>
    <w:rsid w:val="00B84760"/>
    <w:rsid w:val="00B86BE2"/>
    <w:rsid w:val="00B87E21"/>
    <w:rsid w:val="00B901FD"/>
    <w:rsid w:val="00B90865"/>
    <w:rsid w:val="00B910C0"/>
    <w:rsid w:val="00B91C73"/>
    <w:rsid w:val="00B91E0A"/>
    <w:rsid w:val="00B9214F"/>
    <w:rsid w:val="00B9351D"/>
    <w:rsid w:val="00B93882"/>
    <w:rsid w:val="00B93ED5"/>
    <w:rsid w:val="00B949AA"/>
    <w:rsid w:val="00B94C79"/>
    <w:rsid w:val="00B9647D"/>
    <w:rsid w:val="00B96DAD"/>
    <w:rsid w:val="00B97382"/>
    <w:rsid w:val="00B97584"/>
    <w:rsid w:val="00BA3FAF"/>
    <w:rsid w:val="00BA41EE"/>
    <w:rsid w:val="00BA4266"/>
    <w:rsid w:val="00BA4546"/>
    <w:rsid w:val="00BA500D"/>
    <w:rsid w:val="00BA68C7"/>
    <w:rsid w:val="00BB2A5D"/>
    <w:rsid w:val="00BB31BB"/>
    <w:rsid w:val="00BB4D34"/>
    <w:rsid w:val="00BB5372"/>
    <w:rsid w:val="00BB6EE2"/>
    <w:rsid w:val="00BB6F29"/>
    <w:rsid w:val="00BB7790"/>
    <w:rsid w:val="00BB7802"/>
    <w:rsid w:val="00BB7DE3"/>
    <w:rsid w:val="00BC20AD"/>
    <w:rsid w:val="00BC3951"/>
    <w:rsid w:val="00BC500B"/>
    <w:rsid w:val="00BC5FA4"/>
    <w:rsid w:val="00BC7272"/>
    <w:rsid w:val="00BC7B0E"/>
    <w:rsid w:val="00BD0947"/>
    <w:rsid w:val="00BD1FC4"/>
    <w:rsid w:val="00BD2D1E"/>
    <w:rsid w:val="00BD39A6"/>
    <w:rsid w:val="00BD4B10"/>
    <w:rsid w:val="00BD65EB"/>
    <w:rsid w:val="00BD761F"/>
    <w:rsid w:val="00BD7AD5"/>
    <w:rsid w:val="00BE09C2"/>
    <w:rsid w:val="00BE251D"/>
    <w:rsid w:val="00BE328C"/>
    <w:rsid w:val="00BE3BA6"/>
    <w:rsid w:val="00BE3CAB"/>
    <w:rsid w:val="00BE3EC2"/>
    <w:rsid w:val="00BE41E1"/>
    <w:rsid w:val="00BE4773"/>
    <w:rsid w:val="00BE52CB"/>
    <w:rsid w:val="00BE586C"/>
    <w:rsid w:val="00BE62AE"/>
    <w:rsid w:val="00BE74F0"/>
    <w:rsid w:val="00BE7C2A"/>
    <w:rsid w:val="00BF0FD2"/>
    <w:rsid w:val="00BF1DE9"/>
    <w:rsid w:val="00BF2C7F"/>
    <w:rsid w:val="00BF321C"/>
    <w:rsid w:val="00BF322A"/>
    <w:rsid w:val="00BF57D0"/>
    <w:rsid w:val="00BF723D"/>
    <w:rsid w:val="00C0056C"/>
    <w:rsid w:val="00C01CFD"/>
    <w:rsid w:val="00C01FA2"/>
    <w:rsid w:val="00C03512"/>
    <w:rsid w:val="00C03BB8"/>
    <w:rsid w:val="00C03BE1"/>
    <w:rsid w:val="00C04BA6"/>
    <w:rsid w:val="00C04D30"/>
    <w:rsid w:val="00C05F6D"/>
    <w:rsid w:val="00C06787"/>
    <w:rsid w:val="00C07160"/>
    <w:rsid w:val="00C07ED4"/>
    <w:rsid w:val="00C11A02"/>
    <w:rsid w:val="00C140FE"/>
    <w:rsid w:val="00C14206"/>
    <w:rsid w:val="00C14DD0"/>
    <w:rsid w:val="00C153CA"/>
    <w:rsid w:val="00C16481"/>
    <w:rsid w:val="00C20EEF"/>
    <w:rsid w:val="00C21A53"/>
    <w:rsid w:val="00C21F90"/>
    <w:rsid w:val="00C235B9"/>
    <w:rsid w:val="00C23669"/>
    <w:rsid w:val="00C2373E"/>
    <w:rsid w:val="00C23970"/>
    <w:rsid w:val="00C24989"/>
    <w:rsid w:val="00C26CD5"/>
    <w:rsid w:val="00C27E65"/>
    <w:rsid w:val="00C3251C"/>
    <w:rsid w:val="00C32797"/>
    <w:rsid w:val="00C32801"/>
    <w:rsid w:val="00C339BB"/>
    <w:rsid w:val="00C34BAE"/>
    <w:rsid w:val="00C36414"/>
    <w:rsid w:val="00C37E3B"/>
    <w:rsid w:val="00C43303"/>
    <w:rsid w:val="00C442D1"/>
    <w:rsid w:val="00C4463A"/>
    <w:rsid w:val="00C44D84"/>
    <w:rsid w:val="00C47262"/>
    <w:rsid w:val="00C519F4"/>
    <w:rsid w:val="00C57948"/>
    <w:rsid w:val="00C6031B"/>
    <w:rsid w:val="00C6128B"/>
    <w:rsid w:val="00C62A4B"/>
    <w:rsid w:val="00C649D9"/>
    <w:rsid w:val="00C64CFE"/>
    <w:rsid w:val="00C64E14"/>
    <w:rsid w:val="00C65CE0"/>
    <w:rsid w:val="00C72533"/>
    <w:rsid w:val="00C75A28"/>
    <w:rsid w:val="00C76AA3"/>
    <w:rsid w:val="00C77775"/>
    <w:rsid w:val="00C778C6"/>
    <w:rsid w:val="00C77E63"/>
    <w:rsid w:val="00C77EB9"/>
    <w:rsid w:val="00C80A5B"/>
    <w:rsid w:val="00C81073"/>
    <w:rsid w:val="00C824EC"/>
    <w:rsid w:val="00C84251"/>
    <w:rsid w:val="00C84CA0"/>
    <w:rsid w:val="00C853A2"/>
    <w:rsid w:val="00C85594"/>
    <w:rsid w:val="00C87F90"/>
    <w:rsid w:val="00C927DD"/>
    <w:rsid w:val="00C9329F"/>
    <w:rsid w:val="00C94684"/>
    <w:rsid w:val="00C96366"/>
    <w:rsid w:val="00CA0031"/>
    <w:rsid w:val="00CA2120"/>
    <w:rsid w:val="00CA42C4"/>
    <w:rsid w:val="00CA5B83"/>
    <w:rsid w:val="00CA5BB8"/>
    <w:rsid w:val="00CA5F5C"/>
    <w:rsid w:val="00CA7C5D"/>
    <w:rsid w:val="00CB12B7"/>
    <w:rsid w:val="00CB220A"/>
    <w:rsid w:val="00CB225D"/>
    <w:rsid w:val="00CB46CE"/>
    <w:rsid w:val="00CC05C0"/>
    <w:rsid w:val="00CC1052"/>
    <w:rsid w:val="00CC14C4"/>
    <w:rsid w:val="00CC1A43"/>
    <w:rsid w:val="00CC2CF0"/>
    <w:rsid w:val="00CC3BAA"/>
    <w:rsid w:val="00CC54B8"/>
    <w:rsid w:val="00CC7402"/>
    <w:rsid w:val="00CC7CFC"/>
    <w:rsid w:val="00CD1535"/>
    <w:rsid w:val="00CD29FB"/>
    <w:rsid w:val="00CD43D6"/>
    <w:rsid w:val="00CD7BFF"/>
    <w:rsid w:val="00CE33F7"/>
    <w:rsid w:val="00CE379B"/>
    <w:rsid w:val="00CE4EAA"/>
    <w:rsid w:val="00CE59C4"/>
    <w:rsid w:val="00CF03F0"/>
    <w:rsid w:val="00CF3B48"/>
    <w:rsid w:val="00CF47AC"/>
    <w:rsid w:val="00CF6FF7"/>
    <w:rsid w:val="00D02339"/>
    <w:rsid w:val="00D0388C"/>
    <w:rsid w:val="00D0399C"/>
    <w:rsid w:val="00D050D8"/>
    <w:rsid w:val="00D05FC0"/>
    <w:rsid w:val="00D06524"/>
    <w:rsid w:val="00D067C5"/>
    <w:rsid w:val="00D06C72"/>
    <w:rsid w:val="00D110E8"/>
    <w:rsid w:val="00D1343B"/>
    <w:rsid w:val="00D15BAC"/>
    <w:rsid w:val="00D15E31"/>
    <w:rsid w:val="00D16D6B"/>
    <w:rsid w:val="00D176C9"/>
    <w:rsid w:val="00D20898"/>
    <w:rsid w:val="00D20B0A"/>
    <w:rsid w:val="00D2234E"/>
    <w:rsid w:val="00D25399"/>
    <w:rsid w:val="00D25D5D"/>
    <w:rsid w:val="00D2692D"/>
    <w:rsid w:val="00D26965"/>
    <w:rsid w:val="00D26A09"/>
    <w:rsid w:val="00D27611"/>
    <w:rsid w:val="00D2777F"/>
    <w:rsid w:val="00D303C2"/>
    <w:rsid w:val="00D30D41"/>
    <w:rsid w:val="00D30DB4"/>
    <w:rsid w:val="00D30E0A"/>
    <w:rsid w:val="00D316B5"/>
    <w:rsid w:val="00D32580"/>
    <w:rsid w:val="00D338A3"/>
    <w:rsid w:val="00D352C0"/>
    <w:rsid w:val="00D36B10"/>
    <w:rsid w:val="00D36C29"/>
    <w:rsid w:val="00D36E90"/>
    <w:rsid w:val="00D4028B"/>
    <w:rsid w:val="00D407A7"/>
    <w:rsid w:val="00D43578"/>
    <w:rsid w:val="00D43F4A"/>
    <w:rsid w:val="00D474BE"/>
    <w:rsid w:val="00D47B39"/>
    <w:rsid w:val="00D52A71"/>
    <w:rsid w:val="00D5397C"/>
    <w:rsid w:val="00D60E35"/>
    <w:rsid w:val="00D617DF"/>
    <w:rsid w:val="00D6249A"/>
    <w:rsid w:val="00D626E0"/>
    <w:rsid w:val="00D662AE"/>
    <w:rsid w:val="00D66613"/>
    <w:rsid w:val="00D66D6E"/>
    <w:rsid w:val="00D66FA2"/>
    <w:rsid w:val="00D67A78"/>
    <w:rsid w:val="00D7081E"/>
    <w:rsid w:val="00D72160"/>
    <w:rsid w:val="00D72DF4"/>
    <w:rsid w:val="00D732DB"/>
    <w:rsid w:val="00D734DA"/>
    <w:rsid w:val="00D73A0D"/>
    <w:rsid w:val="00D74769"/>
    <w:rsid w:val="00D74FDC"/>
    <w:rsid w:val="00D75E01"/>
    <w:rsid w:val="00D75FD8"/>
    <w:rsid w:val="00D7665D"/>
    <w:rsid w:val="00D80AE4"/>
    <w:rsid w:val="00D83386"/>
    <w:rsid w:val="00D8536B"/>
    <w:rsid w:val="00D8705D"/>
    <w:rsid w:val="00D90A2D"/>
    <w:rsid w:val="00D90C0F"/>
    <w:rsid w:val="00D913E5"/>
    <w:rsid w:val="00D920F4"/>
    <w:rsid w:val="00D92A85"/>
    <w:rsid w:val="00D94553"/>
    <w:rsid w:val="00DA0EBB"/>
    <w:rsid w:val="00DA1B0A"/>
    <w:rsid w:val="00DA4176"/>
    <w:rsid w:val="00DA481E"/>
    <w:rsid w:val="00DA4B60"/>
    <w:rsid w:val="00DA5AF0"/>
    <w:rsid w:val="00DA5CC7"/>
    <w:rsid w:val="00DA612C"/>
    <w:rsid w:val="00DA6FB1"/>
    <w:rsid w:val="00DA7363"/>
    <w:rsid w:val="00DA774A"/>
    <w:rsid w:val="00DB0707"/>
    <w:rsid w:val="00DB0BF4"/>
    <w:rsid w:val="00DB0FA4"/>
    <w:rsid w:val="00DB30BA"/>
    <w:rsid w:val="00DB3499"/>
    <w:rsid w:val="00DB3D27"/>
    <w:rsid w:val="00DB4D85"/>
    <w:rsid w:val="00DB5B5C"/>
    <w:rsid w:val="00DB753D"/>
    <w:rsid w:val="00DB7CB1"/>
    <w:rsid w:val="00DC00DD"/>
    <w:rsid w:val="00DC0A36"/>
    <w:rsid w:val="00DC0E0A"/>
    <w:rsid w:val="00DC2468"/>
    <w:rsid w:val="00DC6712"/>
    <w:rsid w:val="00DD14A3"/>
    <w:rsid w:val="00DD1E62"/>
    <w:rsid w:val="00DD2759"/>
    <w:rsid w:val="00DD3210"/>
    <w:rsid w:val="00DD37B0"/>
    <w:rsid w:val="00DD3B91"/>
    <w:rsid w:val="00DD41BD"/>
    <w:rsid w:val="00DD45EC"/>
    <w:rsid w:val="00DD56B1"/>
    <w:rsid w:val="00DD6050"/>
    <w:rsid w:val="00DD6653"/>
    <w:rsid w:val="00DD788C"/>
    <w:rsid w:val="00DE1631"/>
    <w:rsid w:val="00DE2E22"/>
    <w:rsid w:val="00DE39BE"/>
    <w:rsid w:val="00DE5565"/>
    <w:rsid w:val="00DE5DEA"/>
    <w:rsid w:val="00DE657E"/>
    <w:rsid w:val="00DE6B1A"/>
    <w:rsid w:val="00DE7660"/>
    <w:rsid w:val="00DE7914"/>
    <w:rsid w:val="00DE79BD"/>
    <w:rsid w:val="00DF05D7"/>
    <w:rsid w:val="00DF2AF7"/>
    <w:rsid w:val="00DF3D86"/>
    <w:rsid w:val="00DF4D39"/>
    <w:rsid w:val="00DF790B"/>
    <w:rsid w:val="00E003D4"/>
    <w:rsid w:val="00E005BE"/>
    <w:rsid w:val="00E00A74"/>
    <w:rsid w:val="00E00DDC"/>
    <w:rsid w:val="00E01139"/>
    <w:rsid w:val="00E04349"/>
    <w:rsid w:val="00E0519A"/>
    <w:rsid w:val="00E06DA0"/>
    <w:rsid w:val="00E07A02"/>
    <w:rsid w:val="00E07D8D"/>
    <w:rsid w:val="00E100D1"/>
    <w:rsid w:val="00E10F3B"/>
    <w:rsid w:val="00E10FD5"/>
    <w:rsid w:val="00E12551"/>
    <w:rsid w:val="00E13AE5"/>
    <w:rsid w:val="00E14F56"/>
    <w:rsid w:val="00E14FF0"/>
    <w:rsid w:val="00E168D2"/>
    <w:rsid w:val="00E1769E"/>
    <w:rsid w:val="00E20091"/>
    <w:rsid w:val="00E20712"/>
    <w:rsid w:val="00E2074F"/>
    <w:rsid w:val="00E230A7"/>
    <w:rsid w:val="00E2372D"/>
    <w:rsid w:val="00E24660"/>
    <w:rsid w:val="00E24768"/>
    <w:rsid w:val="00E259A9"/>
    <w:rsid w:val="00E26590"/>
    <w:rsid w:val="00E268A1"/>
    <w:rsid w:val="00E2749D"/>
    <w:rsid w:val="00E2797F"/>
    <w:rsid w:val="00E30A71"/>
    <w:rsid w:val="00E337EA"/>
    <w:rsid w:val="00E33F6E"/>
    <w:rsid w:val="00E34498"/>
    <w:rsid w:val="00E3643B"/>
    <w:rsid w:val="00E401F1"/>
    <w:rsid w:val="00E40A9A"/>
    <w:rsid w:val="00E4283F"/>
    <w:rsid w:val="00E4378E"/>
    <w:rsid w:val="00E44057"/>
    <w:rsid w:val="00E44654"/>
    <w:rsid w:val="00E450D1"/>
    <w:rsid w:val="00E456A4"/>
    <w:rsid w:val="00E47874"/>
    <w:rsid w:val="00E521C0"/>
    <w:rsid w:val="00E52EAD"/>
    <w:rsid w:val="00E5445F"/>
    <w:rsid w:val="00E57ADE"/>
    <w:rsid w:val="00E6031D"/>
    <w:rsid w:val="00E622E0"/>
    <w:rsid w:val="00E63E99"/>
    <w:rsid w:val="00E646B4"/>
    <w:rsid w:val="00E6476F"/>
    <w:rsid w:val="00E65BBF"/>
    <w:rsid w:val="00E6691A"/>
    <w:rsid w:val="00E676B8"/>
    <w:rsid w:val="00E67BC4"/>
    <w:rsid w:val="00E70F87"/>
    <w:rsid w:val="00E720A7"/>
    <w:rsid w:val="00E736F1"/>
    <w:rsid w:val="00E73DC8"/>
    <w:rsid w:val="00E73FDA"/>
    <w:rsid w:val="00E74092"/>
    <w:rsid w:val="00E746E8"/>
    <w:rsid w:val="00E761D7"/>
    <w:rsid w:val="00E7623B"/>
    <w:rsid w:val="00E76AA7"/>
    <w:rsid w:val="00E77285"/>
    <w:rsid w:val="00E7737A"/>
    <w:rsid w:val="00E8170B"/>
    <w:rsid w:val="00E819AB"/>
    <w:rsid w:val="00E81B73"/>
    <w:rsid w:val="00E81D4C"/>
    <w:rsid w:val="00E81EC6"/>
    <w:rsid w:val="00E825F6"/>
    <w:rsid w:val="00E8299E"/>
    <w:rsid w:val="00E839A6"/>
    <w:rsid w:val="00E8467C"/>
    <w:rsid w:val="00E8518A"/>
    <w:rsid w:val="00E85E34"/>
    <w:rsid w:val="00E867B1"/>
    <w:rsid w:val="00E8736C"/>
    <w:rsid w:val="00E876A1"/>
    <w:rsid w:val="00E87DA6"/>
    <w:rsid w:val="00E9063F"/>
    <w:rsid w:val="00E907DF"/>
    <w:rsid w:val="00E926EA"/>
    <w:rsid w:val="00E94DB9"/>
    <w:rsid w:val="00E963FD"/>
    <w:rsid w:val="00E97498"/>
    <w:rsid w:val="00E97CDB"/>
    <w:rsid w:val="00EA2698"/>
    <w:rsid w:val="00EA2976"/>
    <w:rsid w:val="00EA2B14"/>
    <w:rsid w:val="00EA3676"/>
    <w:rsid w:val="00EA4EF4"/>
    <w:rsid w:val="00EA6930"/>
    <w:rsid w:val="00EA6B69"/>
    <w:rsid w:val="00EA7632"/>
    <w:rsid w:val="00EA7956"/>
    <w:rsid w:val="00EB0382"/>
    <w:rsid w:val="00EB21D4"/>
    <w:rsid w:val="00EB39C5"/>
    <w:rsid w:val="00EB56B9"/>
    <w:rsid w:val="00EB5713"/>
    <w:rsid w:val="00EB6012"/>
    <w:rsid w:val="00EB70B1"/>
    <w:rsid w:val="00EC12BF"/>
    <w:rsid w:val="00EC178B"/>
    <w:rsid w:val="00EC3C5C"/>
    <w:rsid w:val="00ED427E"/>
    <w:rsid w:val="00ED473A"/>
    <w:rsid w:val="00ED5255"/>
    <w:rsid w:val="00ED6F15"/>
    <w:rsid w:val="00ED7543"/>
    <w:rsid w:val="00EE015A"/>
    <w:rsid w:val="00EE0733"/>
    <w:rsid w:val="00EE0922"/>
    <w:rsid w:val="00EE0D8D"/>
    <w:rsid w:val="00EE1424"/>
    <w:rsid w:val="00EE23C6"/>
    <w:rsid w:val="00EE2B25"/>
    <w:rsid w:val="00EE407E"/>
    <w:rsid w:val="00EE484A"/>
    <w:rsid w:val="00EE5126"/>
    <w:rsid w:val="00EE6CD6"/>
    <w:rsid w:val="00EF0DFD"/>
    <w:rsid w:val="00EF16C9"/>
    <w:rsid w:val="00EF1B93"/>
    <w:rsid w:val="00EF50A0"/>
    <w:rsid w:val="00EF5B23"/>
    <w:rsid w:val="00EF6173"/>
    <w:rsid w:val="00EF6A48"/>
    <w:rsid w:val="00EF77F4"/>
    <w:rsid w:val="00F0025B"/>
    <w:rsid w:val="00F00369"/>
    <w:rsid w:val="00F00BF2"/>
    <w:rsid w:val="00F00D9B"/>
    <w:rsid w:val="00F01226"/>
    <w:rsid w:val="00F02B1F"/>
    <w:rsid w:val="00F0539F"/>
    <w:rsid w:val="00F05DB8"/>
    <w:rsid w:val="00F05FE5"/>
    <w:rsid w:val="00F0626E"/>
    <w:rsid w:val="00F06602"/>
    <w:rsid w:val="00F06839"/>
    <w:rsid w:val="00F07C73"/>
    <w:rsid w:val="00F07EFE"/>
    <w:rsid w:val="00F11591"/>
    <w:rsid w:val="00F11722"/>
    <w:rsid w:val="00F145F8"/>
    <w:rsid w:val="00F146C3"/>
    <w:rsid w:val="00F15A21"/>
    <w:rsid w:val="00F17907"/>
    <w:rsid w:val="00F20640"/>
    <w:rsid w:val="00F255AD"/>
    <w:rsid w:val="00F25C59"/>
    <w:rsid w:val="00F26389"/>
    <w:rsid w:val="00F264E7"/>
    <w:rsid w:val="00F30C8E"/>
    <w:rsid w:val="00F311AD"/>
    <w:rsid w:val="00F340EB"/>
    <w:rsid w:val="00F37382"/>
    <w:rsid w:val="00F37A80"/>
    <w:rsid w:val="00F37E11"/>
    <w:rsid w:val="00F401C6"/>
    <w:rsid w:val="00F40DD1"/>
    <w:rsid w:val="00F41F76"/>
    <w:rsid w:val="00F4386C"/>
    <w:rsid w:val="00F4597D"/>
    <w:rsid w:val="00F50FBD"/>
    <w:rsid w:val="00F5149F"/>
    <w:rsid w:val="00F52FF2"/>
    <w:rsid w:val="00F53CFD"/>
    <w:rsid w:val="00F53DF9"/>
    <w:rsid w:val="00F54394"/>
    <w:rsid w:val="00F549B9"/>
    <w:rsid w:val="00F5583F"/>
    <w:rsid w:val="00F55921"/>
    <w:rsid w:val="00F56925"/>
    <w:rsid w:val="00F610AE"/>
    <w:rsid w:val="00F620E1"/>
    <w:rsid w:val="00F62643"/>
    <w:rsid w:val="00F629AF"/>
    <w:rsid w:val="00F6308F"/>
    <w:rsid w:val="00F64202"/>
    <w:rsid w:val="00F651A7"/>
    <w:rsid w:val="00F65EB2"/>
    <w:rsid w:val="00F66296"/>
    <w:rsid w:val="00F664DC"/>
    <w:rsid w:val="00F66568"/>
    <w:rsid w:val="00F67A41"/>
    <w:rsid w:val="00F67F9C"/>
    <w:rsid w:val="00F71605"/>
    <w:rsid w:val="00F726E1"/>
    <w:rsid w:val="00F7453C"/>
    <w:rsid w:val="00F75C27"/>
    <w:rsid w:val="00F75E4D"/>
    <w:rsid w:val="00F802DC"/>
    <w:rsid w:val="00F809D9"/>
    <w:rsid w:val="00F8166F"/>
    <w:rsid w:val="00F81C50"/>
    <w:rsid w:val="00F82835"/>
    <w:rsid w:val="00F828C8"/>
    <w:rsid w:val="00F829C2"/>
    <w:rsid w:val="00F83193"/>
    <w:rsid w:val="00F83B5E"/>
    <w:rsid w:val="00F84036"/>
    <w:rsid w:val="00F848DE"/>
    <w:rsid w:val="00F85F8B"/>
    <w:rsid w:val="00F91886"/>
    <w:rsid w:val="00F92678"/>
    <w:rsid w:val="00F929EA"/>
    <w:rsid w:val="00F9323D"/>
    <w:rsid w:val="00F94A3C"/>
    <w:rsid w:val="00F96582"/>
    <w:rsid w:val="00FA063D"/>
    <w:rsid w:val="00FA1425"/>
    <w:rsid w:val="00FA6CA3"/>
    <w:rsid w:val="00FA6EAF"/>
    <w:rsid w:val="00FA7349"/>
    <w:rsid w:val="00FA790D"/>
    <w:rsid w:val="00FA7E06"/>
    <w:rsid w:val="00FB05F5"/>
    <w:rsid w:val="00FB409E"/>
    <w:rsid w:val="00FB7C96"/>
    <w:rsid w:val="00FC057C"/>
    <w:rsid w:val="00FC2381"/>
    <w:rsid w:val="00FC2F1E"/>
    <w:rsid w:val="00FC4658"/>
    <w:rsid w:val="00FC47F0"/>
    <w:rsid w:val="00FC4C3D"/>
    <w:rsid w:val="00FC66C7"/>
    <w:rsid w:val="00FC6FCC"/>
    <w:rsid w:val="00FD0701"/>
    <w:rsid w:val="00FD0EAE"/>
    <w:rsid w:val="00FD21DD"/>
    <w:rsid w:val="00FD3127"/>
    <w:rsid w:val="00FD3E13"/>
    <w:rsid w:val="00FD419F"/>
    <w:rsid w:val="00FD5E08"/>
    <w:rsid w:val="00FD7194"/>
    <w:rsid w:val="00FD7C3C"/>
    <w:rsid w:val="00FE01F8"/>
    <w:rsid w:val="00FE1BD5"/>
    <w:rsid w:val="00FE2047"/>
    <w:rsid w:val="00FE2830"/>
    <w:rsid w:val="00FE29A1"/>
    <w:rsid w:val="00FE630D"/>
    <w:rsid w:val="00FE6325"/>
    <w:rsid w:val="00FE64C8"/>
    <w:rsid w:val="00FF096F"/>
    <w:rsid w:val="00FF6311"/>
    <w:rsid w:val="00FF691C"/>
    <w:rsid w:val="00FF737C"/>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8EF3A658-3168-4F16-8CEE-1FE1EE09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1BB2"/>
    <w:rPr>
      <w:color w:val="0000FF"/>
      <w:u w:val="single"/>
    </w:rPr>
  </w:style>
  <w:style w:type="paragraph" w:styleId="EndnoteText">
    <w:name w:val="endnote text"/>
    <w:basedOn w:val="Normal"/>
    <w:link w:val="EndnoteTextChar"/>
    <w:semiHidden/>
    <w:rsid w:val="00341BB2"/>
    <w:rPr>
      <w:sz w:val="20"/>
      <w:szCs w:val="20"/>
    </w:rPr>
  </w:style>
  <w:style w:type="character" w:customStyle="1" w:styleId="EndnoteTextChar">
    <w:name w:val="Endnote Text Char"/>
    <w:basedOn w:val="DefaultParagraphFont"/>
    <w:link w:val="EndnoteText"/>
    <w:semiHidden/>
    <w:rsid w:val="00341BB2"/>
    <w:rPr>
      <w:rFonts w:ascii="Times New Roman" w:eastAsia="Times New Roman" w:hAnsi="Times New Roman" w:cs="Times New Roman"/>
      <w:sz w:val="20"/>
      <w:szCs w:val="20"/>
    </w:rPr>
  </w:style>
  <w:style w:type="character" w:styleId="EndnoteReference">
    <w:name w:val="endnote reference"/>
    <w:semiHidden/>
    <w:rsid w:val="00341BB2"/>
    <w:rPr>
      <w:vertAlign w:val="superscript"/>
    </w:rPr>
  </w:style>
  <w:style w:type="character" w:styleId="CommentReference">
    <w:name w:val="annotation reference"/>
    <w:basedOn w:val="DefaultParagraphFont"/>
    <w:uiPriority w:val="99"/>
    <w:semiHidden/>
    <w:unhideWhenUsed/>
    <w:rsid w:val="00F92678"/>
    <w:rPr>
      <w:sz w:val="16"/>
      <w:szCs w:val="16"/>
    </w:rPr>
  </w:style>
  <w:style w:type="paragraph" w:styleId="CommentText">
    <w:name w:val="annotation text"/>
    <w:basedOn w:val="Normal"/>
    <w:link w:val="CommentTextChar"/>
    <w:uiPriority w:val="99"/>
    <w:semiHidden/>
    <w:unhideWhenUsed/>
    <w:rsid w:val="00422194"/>
    <w:rPr>
      <w:sz w:val="20"/>
      <w:szCs w:val="20"/>
    </w:rPr>
  </w:style>
  <w:style w:type="character" w:customStyle="1" w:styleId="CommentTextChar">
    <w:name w:val="Comment Text Char"/>
    <w:basedOn w:val="DefaultParagraphFont"/>
    <w:link w:val="CommentText"/>
    <w:uiPriority w:val="99"/>
    <w:semiHidden/>
    <w:rsid w:val="004221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194"/>
    <w:rPr>
      <w:b/>
      <w:bCs/>
    </w:rPr>
  </w:style>
  <w:style w:type="character" w:customStyle="1" w:styleId="CommentSubjectChar">
    <w:name w:val="Comment Subject Char"/>
    <w:basedOn w:val="CommentTextChar"/>
    <w:link w:val="CommentSubject"/>
    <w:uiPriority w:val="99"/>
    <w:semiHidden/>
    <w:rsid w:val="004221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2194"/>
    <w:rPr>
      <w:rFonts w:ascii="Tahoma" w:hAnsi="Tahoma" w:cs="Tahoma"/>
      <w:sz w:val="16"/>
      <w:szCs w:val="16"/>
    </w:rPr>
  </w:style>
  <w:style w:type="character" w:customStyle="1" w:styleId="BalloonTextChar">
    <w:name w:val="Balloon Text Char"/>
    <w:basedOn w:val="DefaultParagraphFont"/>
    <w:link w:val="BalloonText"/>
    <w:uiPriority w:val="99"/>
    <w:semiHidden/>
    <w:rsid w:val="00422194"/>
    <w:rPr>
      <w:rFonts w:ascii="Tahoma" w:eastAsia="Times New Roman" w:hAnsi="Tahoma" w:cs="Tahoma"/>
      <w:sz w:val="16"/>
      <w:szCs w:val="16"/>
    </w:rPr>
  </w:style>
  <w:style w:type="paragraph" w:styleId="Header">
    <w:name w:val="header"/>
    <w:basedOn w:val="Normal"/>
    <w:link w:val="HeaderChar"/>
    <w:uiPriority w:val="99"/>
    <w:unhideWhenUsed/>
    <w:rsid w:val="00F02B1F"/>
    <w:pPr>
      <w:tabs>
        <w:tab w:val="center" w:pos="4680"/>
        <w:tab w:val="right" w:pos="9360"/>
      </w:tabs>
    </w:pPr>
  </w:style>
  <w:style w:type="character" w:customStyle="1" w:styleId="HeaderChar">
    <w:name w:val="Header Char"/>
    <w:basedOn w:val="DefaultParagraphFont"/>
    <w:link w:val="Header"/>
    <w:uiPriority w:val="99"/>
    <w:rsid w:val="00F02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2B1F"/>
    <w:pPr>
      <w:tabs>
        <w:tab w:val="center" w:pos="4680"/>
        <w:tab w:val="right" w:pos="9360"/>
      </w:tabs>
    </w:pPr>
  </w:style>
  <w:style w:type="character" w:customStyle="1" w:styleId="FooterChar">
    <w:name w:val="Footer Char"/>
    <w:basedOn w:val="DefaultParagraphFont"/>
    <w:link w:val="Footer"/>
    <w:uiPriority w:val="99"/>
    <w:rsid w:val="00F02B1F"/>
    <w:rPr>
      <w:rFonts w:ascii="Times New Roman" w:eastAsia="Times New Roman" w:hAnsi="Times New Roman" w:cs="Times New Roman"/>
      <w:sz w:val="24"/>
      <w:szCs w:val="24"/>
    </w:rPr>
  </w:style>
  <w:style w:type="paragraph" w:styleId="ListParagraph">
    <w:name w:val="List Paragraph"/>
    <w:basedOn w:val="Normal"/>
    <w:qFormat/>
    <w:rsid w:val="00C47262"/>
    <w:pPr>
      <w:spacing w:after="200" w:line="276" w:lineRule="auto"/>
      <w:ind w:left="720"/>
      <w:contextualSpacing/>
    </w:pPr>
    <w:rPr>
      <w:rFonts w:ascii="Calibri" w:hAnsi="Calibri"/>
      <w:sz w:val="22"/>
      <w:szCs w:val="22"/>
    </w:rPr>
  </w:style>
  <w:style w:type="table" w:styleId="TableGrid">
    <w:name w:val="Table Grid"/>
    <w:basedOn w:val="TableNormal"/>
    <w:uiPriority w:val="39"/>
    <w:rsid w:val="00D4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2F40DF-958E-48A2-B670-1C7EEF9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Stefanot</dc:creator>
  <cp:lastModifiedBy>Stefanot</cp:lastModifiedBy>
  <cp:revision>29</cp:revision>
  <cp:lastPrinted>2015-05-19T13:31:00Z</cp:lastPrinted>
  <dcterms:created xsi:type="dcterms:W3CDTF">2014-08-13T05:54:00Z</dcterms:created>
  <dcterms:modified xsi:type="dcterms:W3CDTF">2015-05-22T07:28:00Z</dcterms:modified>
</cp:coreProperties>
</file>