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94AF" w14:textId="77777777" w:rsidR="008A51A3" w:rsidRPr="006C462E" w:rsidRDefault="008A51A3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  <w:bookmarkStart w:id="0" w:name="_GoBack"/>
      <w:bookmarkEnd w:id="0"/>
      <w:r w:rsidRPr="006C462E">
        <w:rPr>
          <w:rFonts w:ascii="Arial" w:hAnsi="Arial" w:cs="Arial"/>
          <w:b/>
          <w:kern w:val="2"/>
          <w14:cntxtAlts/>
        </w:rPr>
        <w:t>Appendix:</w:t>
      </w:r>
    </w:p>
    <w:p w14:paraId="4A4CFD07" w14:textId="77777777" w:rsidR="008A51A3" w:rsidRDefault="008A51A3">
      <w:pPr>
        <w:rPr>
          <w:b/>
        </w:rPr>
      </w:pPr>
    </w:p>
    <w:p w14:paraId="0693CE56" w14:textId="6A29D36A" w:rsidR="008A51A3" w:rsidRDefault="008A51A3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  <w:r w:rsidRPr="006C462E">
        <w:rPr>
          <w:rFonts w:ascii="Arial" w:hAnsi="Arial" w:cs="Arial"/>
          <w:b/>
          <w:kern w:val="2"/>
          <w14:cntxtAlts/>
        </w:rPr>
        <w:t xml:space="preserve">Table S1. Estimated </w:t>
      </w:r>
      <w:r>
        <w:rPr>
          <w:rFonts w:ascii="Arial" w:hAnsi="Arial" w:cs="Arial"/>
          <w:b/>
          <w:kern w:val="2"/>
          <w14:cntxtAlts/>
        </w:rPr>
        <w:t>monthly percent change</w:t>
      </w:r>
      <w:r w:rsidR="00E01184">
        <w:rPr>
          <w:rFonts w:ascii="Arial" w:hAnsi="Arial" w:cs="Arial"/>
          <w:b/>
          <w:kern w:val="2"/>
          <w14:cntxtAlts/>
        </w:rPr>
        <w:t xml:space="preserve"> (</w:t>
      </w:r>
      <w:r>
        <w:rPr>
          <w:rFonts w:ascii="Arial" w:hAnsi="Arial" w:cs="Arial"/>
          <w:b/>
          <w:kern w:val="2"/>
          <w14:cntxtAlts/>
        </w:rPr>
        <w:t>MPC)</w:t>
      </w:r>
      <w:r w:rsidRPr="006C462E">
        <w:rPr>
          <w:rFonts w:ascii="Arial" w:hAnsi="Arial" w:cs="Arial"/>
          <w:b/>
          <w:kern w:val="2"/>
          <w14:cntxtAlts/>
        </w:rPr>
        <w:t xml:space="preserve"> in HBV DNA viral load and APRI over time using </w:t>
      </w:r>
      <w:r w:rsidR="00D00995">
        <w:rPr>
          <w:rFonts w:ascii="Arial" w:hAnsi="Arial" w:cs="Arial"/>
          <w:b/>
          <w:kern w:val="2"/>
          <w14:cntxtAlts/>
        </w:rPr>
        <w:t xml:space="preserve">a jointly-modeled bivariate </w:t>
      </w:r>
      <w:r w:rsidRPr="006C462E">
        <w:rPr>
          <w:rFonts w:ascii="Arial" w:hAnsi="Arial" w:cs="Arial"/>
          <w:b/>
          <w:kern w:val="2"/>
          <w14:cntxtAlts/>
        </w:rPr>
        <w:t xml:space="preserve">linear mixed model </w:t>
      </w:r>
      <w:r w:rsidR="00D00995">
        <w:rPr>
          <w:rFonts w:ascii="Arial" w:hAnsi="Arial" w:cs="Arial"/>
          <w:b/>
          <w:kern w:val="2"/>
          <w14:cntxtAlts/>
        </w:rPr>
        <w:t>.</w:t>
      </w:r>
    </w:p>
    <w:p w14:paraId="6F5F7615" w14:textId="77777777" w:rsidR="008A51A3" w:rsidRPr="006C462E" w:rsidRDefault="008A51A3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582"/>
        <w:gridCol w:w="898"/>
        <w:gridCol w:w="2245"/>
        <w:gridCol w:w="899"/>
      </w:tblGrid>
      <w:tr w:rsidR="00F5620C" w:rsidRPr="00F5620C" w14:paraId="48AE75C0" w14:textId="77777777" w:rsidTr="0066061A">
        <w:trPr>
          <w:trHeight w:val="288"/>
          <w:jc w:val="center"/>
        </w:trPr>
        <w:tc>
          <w:tcPr>
            <w:tcW w:w="8863" w:type="dxa"/>
            <w:gridSpan w:val="5"/>
            <w:shd w:val="clear" w:color="auto" w:fill="auto"/>
            <w:noWrap/>
            <w:vAlign w:val="center"/>
            <w:hideMark/>
          </w:tcPr>
          <w:p w14:paraId="3C41F05A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Bivariate linear mixed model</w:t>
            </w:r>
          </w:p>
        </w:tc>
      </w:tr>
      <w:tr w:rsidR="00F5620C" w:rsidRPr="00F5620C" w14:paraId="4FD4D0E4" w14:textId="77777777" w:rsidTr="0066061A">
        <w:trPr>
          <w:trHeight w:val="288"/>
          <w:jc w:val="center"/>
        </w:trPr>
        <w:tc>
          <w:tcPr>
            <w:tcW w:w="2239" w:type="dxa"/>
            <w:vMerge w:val="restart"/>
            <w:shd w:val="clear" w:color="auto" w:fill="auto"/>
            <w:noWrap/>
            <w:vAlign w:val="center"/>
          </w:tcPr>
          <w:p w14:paraId="67E82469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</w:p>
        </w:tc>
        <w:tc>
          <w:tcPr>
            <w:tcW w:w="3480" w:type="dxa"/>
            <w:gridSpan w:val="2"/>
            <w:shd w:val="clear" w:color="auto" w:fill="auto"/>
            <w:noWrap/>
            <w:vAlign w:val="center"/>
          </w:tcPr>
          <w:p w14:paraId="4FC9ABEE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Viral load (IU/ML)</w:t>
            </w:r>
          </w:p>
        </w:tc>
        <w:tc>
          <w:tcPr>
            <w:tcW w:w="3144" w:type="dxa"/>
            <w:gridSpan w:val="2"/>
            <w:shd w:val="clear" w:color="auto" w:fill="auto"/>
            <w:noWrap/>
            <w:vAlign w:val="center"/>
          </w:tcPr>
          <w:p w14:paraId="06D5B6DC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APRI</w:t>
            </w:r>
          </w:p>
        </w:tc>
      </w:tr>
      <w:tr w:rsidR="00F5620C" w:rsidRPr="00F5620C" w14:paraId="5956A2CD" w14:textId="77777777" w:rsidTr="0066061A">
        <w:trPr>
          <w:trHeight w:val="288"/>
          <w:jc w:val="center"/>
        </w:trPr>
        <w:tc>
          <w:tcPr>
            <w:tcW w:w="2239" w:type="dxa"/>
            <w:vMerge/>
            <w:shd w:val="clear" w:color="auto" w:fill="auto"/>
            <w:noWrap/>
            <w:vAlign w:val="center"/>
          </w:tcPr>
          <w:p w14:paraId="325E92CC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</w:p>
        </w:tc>
        <w:tc>
          <w:tcPr>
            <w:tcW w:w="2582" w:type="dxa"/>
            <w:shd w:val="clear" w:color="auto" w:fill="auto"/>
            <w:noWrap/>
            <w:vAlign w:val="center"/>
            <w:hideMark/>
          </w:tcPr>
          <w:p w14:paraId="71325906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MPC (95% CI)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38E2EDF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p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70A8E5DE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MPC (95% CI)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A877315" w14:textId="77777777" w:rsidR="00F5620C" w:rsidRPr="00F5620C" w:rsidRDefault="00F5620C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p</w:t>
            </w:r>
          </w:p>
        </w:tc>
      </w:tr>
      <w:tr w:rsidR="00F5620C" w:rsidRPr="00F5620C" w14:paraId="6C181522" w14:textId="77777777" w:rsidTr="0066061A">
        <w:trPr>
          <w:trHeight w:val="288"/>
          <w:jc w:val="center"/>
        </w:trPr>
        <w:tc>
          <w:tcPr>
            <w:tcW w:w="8863" w:type="dxa"/>
            <w:gridSpan w:val="5"/>
            <w:shd w:val="clear" w:color="auto" w:fill="auto"/>
            <w:noWrap/>
            <w:vAlign w:val="center"/>
            <w:hideMark/>
          </w:tcPr>
          <w:p w14:paraId="6BB078D3" w14:textId="77777777" w:rsidR="00F5620C" w:rsidRPr="00F5620C" w:rsidRDefault="00F5620C" w:rsidP="00F5620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Treated</w:t>
            </w:r>
          </w:p>
        </w:tc>
      </w:tr>
      <w:tr w:rsidR="000E29DF" w:rsidRPr="00F5620C" w14:paraId="50AC425E" w14:textId="77777777" w:rsidTr="0066061A">
        <w:trPr>
          <w:trHeight w:val="288"/>
          <w:jc w:val="center"/>
        </w:trPr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72EFBB80" w14:textId="77777777" w:rsidR="000E29DF" w:rsidRPr="00F5620C" w:rsidRDefault="000E29DF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  <w:t>&lt;5 months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71F90AF8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-32.4%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-44.1%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-18.4%)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A26B477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E63A7C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-5.6%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-9.3%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-1.7%)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505E6742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0E29DF" w:rsidRPr="00F5620C" w14:paraId="279E69BC" w14:textId="77777777" w:rsidTr="0066061A">
        <w:trPr>
          <w:trHeight w:val="288"/>
          <w:jc w:val="center"/>
        </w:trPr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7B7ADF7F" w14:textId="77777777" w:rsidR="000E29DF" w:rsidRPr="00F5620C" w:rsidRDefault="000E29DF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  <w:t>5</w:t>
            </w:r>
            <w:r w:rsidRPr="00F5620C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  <w:softHyphen/>
              <w:t>–28 months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33DCF2B0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-1.7%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-2.9%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-0.6%)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E5724FA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03258E6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-1.0%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-1.3%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-0.6%)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16892D60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</w:tr>
      <w:tr w:rsidR="000E29DF" w:rsidRPr="00F5620C" w14:paraId="05E698C2" w14:textId="77777777" w:rsidTr="0066061A">
        <w:trPr>
          <w:trHeight w:val="288"/>
          <w:jc w:val="center"/>
        </w:trPr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034B0B12" w14:textId="77777777" w:rsidR="000E29DF" w:rsidRPr="00F5620C" w:rsidRDefault="000E29DF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  <w:t>&gt;28 months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70F466BC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-1.4%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-2.6%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-0.3%)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163927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E9B6B81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-0.3%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-0.6%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0.1%)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B7801B7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0.124</w:t>
            </w:r>
          </w:p>
        </w:tc>
      </w:tr>
      <w:tr w:rsidR="00F5620C" w:rsidRPr="00F5620C" w14:paraId="75E3FFAC" w14:textId="77777777" w:rsidTr="0066061A">
        <w:trPr>
          <w:trHeight w:val="288"/>
          <w:jc w:val="center"/>
        </w:trPr>
        <w:tc>
          <w:tcPr>
            <w:tcW w:w="8863" w:type="dxa"/>
            <w:gridSpan w:val="5"/>
            <w:shd w:val="clear" w:color="auto" w:fill="auto"/>
            <w:noWrap/>
            <w:vAlign w:val="center"/>
            <w:hideMark/>
          </w:tcPr>
          <w:p w14:paraId="7A7F04B1" w14:textId="77777777" w:rsidR="00F5620C" w:rsidRPr="00F5620C" w:rsidRDefault="00F5620C" w:rsidP="00F5620C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14:cntxtAlts/>
              </w:rPr>
              <w:t>Untreated</w:t>
            </w:r>
          </w:p>
        </w:tc>
      </w:tr>
      <w:tr w:rsidR="000E29DF" w:rsidRPr="00F5620C" w14:paraId="0EDCF0E0" w14:textId="77777777" w:rsidTr="0066061A">
        <w:trPr>
          <w:trHeight w:val="288"/>
          <w:jc w:val="center"/>
        </w:trPr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46D44F9D" w14:textId="77777777" w:rsidR="000E29DF" w:rsidRPr="00F5620C" w:rsidRDefault="000E29DF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  <w:t>&lt; 5 months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59FF03B0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7.1%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-24.8%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52.4%)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73D65FC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97E2F5D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-3.3%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-8.9%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2.6%)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78EBF32D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0.271</w:t>
            </w:r>
          </w:p>
        </w:tc>
      </w:tr>
      <w:tr w:rsidR="000E29DF" w:rsidRPr="00F5620C" w14:paraId="08333B4C" w14:textId="77777777" w:rsidTr="0066061A">
        <w:trPr>
          <w:trHeight w:val="288"/>
          <w:jc w:val="center"/>
        </w:trPr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4D1167AA" w14:textId="77777777" w:rsidR="000E29DF" w:rsidRPr="00F5620C" w:rsidRDefault="000E29DF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  <w:t>5–28 months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2FC2B7A1" w14:textId="77777777" w:rsidR="000E29DF" w:rsidRPr="00F5620C" w:rsidRDefault="000E29DF" w:rsidP="00114E8D">
            <w:pPr>
              <w:keepNext/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-3.2%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-5.0%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-1.4%)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0B7148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E05B02C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-0.6%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-1.0%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-0.1%)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7B4459BA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0E29DF" w:rsidRPr="00F5620C" w14:paraId="2B6BE2D5" w14:textId="77777777" w:rsidTr="0066061A">
        <w:trPr>
          <w:trHeight w:val="288"/>
          <w:jc w:val="center"/>
        </w:trPr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30767680" w14:textId="77777777" w:rsidR="000E29DF" w:rsidRPr="00F5620C" w:rsidRDefault="000E29DF" w:rsidP="00114E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  <w:t>&gt;28 months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4BACE690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-1.1%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-2.7%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0.5%)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31608E4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F5FDFDB" w14:textId="77777777" w:rsidR="000E29DF" w:rsidRPr="00F5620C" w:rsidRDefault="000E29DF" w:rsidP="00114E8D">
            <w:pPr>
              <w:adjustRightInd w:val="0"/>
              <w:spacing w:before="60" w:after="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1.2%</w:t>
            </w:r>
            <w:r w:rsidR="00E01184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0.8%</w:t>
            </w:r>
            <w:r w:rsidR="00114E8D" w:rsidRPr="00F562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1.5%)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5C1BA3E8" w14:textId="77777777" w:rsidR="000E29DF" w:rsidRPr="00F5620C" w:rsidRDefault="000E29DF" w:rsidP="00114E8D">
            <w:pPr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14:cntxtAlts/>
              </w:rPr>
            </w:pPr>
            <w:r w:rsidRPr="00F5620C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</w:tr>
    </w:tbl>
    <w:p w14:paraId="64E9E044" w14:textId="77777777" w:rsidR="00263C64" w:rsidRDefault="00263C64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758E40D6" w14:textId="77777777" w:rsidR="00D00995" w:rsidRDefault="00D00995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D5A577D" w14:textId="77777777" w:rsidR="00D00995" w:rsidRDefault="00D00995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7B4D7734" w14:textId="77777777" w:rsidR="008A51A3" w:rsidRDefault="008A51A3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  <w:r w:rsidRPr="008A51A3">
        <w:rPr>
          <w:rFonts w:ascii="Arial" w:hAnsi="Arial" w:cs="Arial"/>
          <w:b/>
          <w:kern w:val="2"/>
          <w14:cntxtAlts/>
        </w:rPr>
        <w:t xml:space="preserve">Table </w:t>
      </w:r>
      <w:r w:rsidR="004272E1" w:rsidRPr="008A51A3">
        <w:rPr>
          <w:rFonts w:ascii="Arial" w:hAnsi="Arial" w:cs="Arial"/>
          <w:b/>
          <w:kern w:val="2"/>
          <w14:cntxtAlts/>
        </w:rPr>
        <w:t>S</w:t>
      </w:r>
      <w:r w:rsidR="004272E1">
        <w:rPr>
          <w:rFonts w:ascii="Arial" w:hAnsi="Arial" w:cs="Arial"/>
          <w:b/>
          <w:kern w:val="2"/>
          <w14:cntxtAlts/>
        </w:rPr>
        <w:t>2</w:t>
      </w:r>
      <w:r w:rsidRPr="008A51A3">
        <w:rPr>
          <w:rFonts w:ascii="Arial" w:hAnsi="Arial" w:cs="Arial"/>
          <w:b/>
          <w:kern w:val="2"/>
          <w14:cntxtAlts/>
        </w:rPr>
        <w:t>.</w:t>
      </w:r>
      <w:r w:rsidR="00E01184">
        <w:rPr>
          <w:rFonts w:ascii="Arial" w:hAnsi="Arial" w:cs="Arial"/>
          <w:b/>
          <w:kern w:val="2"/>
          <w14:cntxtAlts/>
        </w:rPr>
        <w:t xml:space="preserve"> </w:t>
      </w:r>
      <w:r w:rsidRPr="008A51A3">
        <w:rPr>
          <w:rFonts w:ascii="Arial" w:hAnsi="Arial" w:cs="Arial"/>
          <w:b/>
          <w:kern w:val="2"/>
          <w14:cntxtAlts/>
        </w:rPr>
        <w:t>Accuracy of the FIB4 in predicting cirrhosis or non-advanced cirrhosis in treated patients based on optimal cut-offs.</w:t>
      </w:r>
    </w:p>
    <w:p w14:paraId="65E2F24F" w14:textId="77777777" w:rsidR="00222A2F" w:rsidRPr="008A51A3" w:rsidRDefault="00222A2F" w:rsidP="008A51A3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737"/>
        <w:gridCol w:w="427"/>
        <w:gridCol w:w="427"/>
        <w:gridCol w:w="1357"/>
      </w:tblGrid>
      <w:tr w:rsidR="00712A65" w:rsidRPr="00114E8D" w14:paraId="5DBACE6D" w14:textId="77777777" w:rsidTr="0066061A">
        <w:trPr>
          <w:trHeight w:val="26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E76BA9B" w14:textId="77777777" w:rsidR="00712A65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FIB</w:t>
            </w: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3BE1BA74" w14:textId="77777777" w:rsidR="00712A65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Biopsy results</w:t>
            </w:r>
          </w:p>
        </w:tc>
      </w:tr>
      <w:tr w:rsidR="00222A2F" w:rsidRPr="00114E8D" w14:paraId="07C30EFC" w14:textId="77777777" w:rsidTr="0066061A">
        <w:trPr>
          <w:trHeight w:val="26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8E2714" w14:textId="77777777" w:rsidR="00712A65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E114C" w14:textId="77777777" w:rsidR="00712A65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A3AB8" w14:textId="77777777" w:rsidR="00712A65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B81D5" w14:textId="77777777" w:rsidR="00712A65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0A2D1" w14:textId="77777777" w:rsidR="00712A65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Accuracy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%)</w:t>
            </w:r>
          </w:p>
        </w:tc>
      </w:tr>
      <w:tr w:rsidR="00222A2F" w:rsidRPr="00114E8D" w14:paraId="345A2B63" w14:textId="77777777" w:rsidTr="0066061A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12291F7" w14:textId="77777777" w:rsidR="008A51A3" w:rsidRPr="00114E8D" w:rsidRDefault="00712A65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≤</w:t>
            </w:r>
            <w:r w:rsidR="008A51A3"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6A852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4015E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55A1A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E60F3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84.2</w:t>
            </w:r>
            <w:r w:rsidR="008A51A3"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712A65" w:rsidRPr="00114E8D" w14:paraId="12DCBA98" w14:textId="77777777" w:rsidTr="0066061A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23F3808" w14:textId="77777777" w:rsidR="008A51A3" w:rsidRPr="00114E8D" w:rsidRDefault="008A51A3" w:rsidP="00222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1.58</w:t>
            </w:r>
            <w:r w:rsidR="00222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≤</w:t>
            </w: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52DD3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BC3DC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58EFD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8A51A3"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B3F00" w14:textId="77777777" w:rsidR="008A51A3" w:rsidRPr="00114E8D" w:rsidRDefault="008A51A3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2A2F" w:rsidRPr="00114E8D" w14:paraId="6017847A" w14:textId="77777777" w:rsidTr="0066061A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8EF19A8" w14:textId="77777777" w:rsidR="008A51A3" w:rsidRPr="00114E8D" w:rsidRDefault="008A51A3" w:rsidP="00222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&gt;5.17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823F6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87DB6" w14:textId="77777777" w:rsidR="008A51A3" w:rsidRPr="00114E8D" w:rsidRDefault="008A51A3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BBE28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AD4ED" w14:textId="77777777" w:rsidR="008A51A3" w:rsidRPr="00114E8D" w:rsidRDefault="00514126" w:rsidP="00712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85.7</w:t>
            </w:r>
            <w:r w:rsidR="008A51A3" w:rsidRPr="00114E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</w:tbl>
    <w:p w14:paraId="01422A3F" w14:textId="77777777" w:rsidR="008A51A3" w:rsidRDefault="008A51A3" w:rsidP="008A51A3"/>
    <w:p w14:paraId="625B51E8" w14:textId="77777777" w:rsidR="008A51A3" w:rsidRDefault="008A51A3">
      <w:pPr>
        <w:rPr>
          <w:b/>
        </w:rPr>
      </w:pPr>
    </w:p>
    <w:p w14:paraId="646212C3" w14:textId="77777777" w:rsidR="00A37F34" w:rsidRDefault="00A37F34">
      <w:pPr>
        <w:rPr>
          <w:b/>
        </w:rPr>
      </w:pPr>
    </w:p>
    <w:p w14:paraId="2176B435" w14:textId="77777777" w:rsidR="00A37F34" w:rsidRDefault="00A37F34">
      <w:pPr>
        <w:rPr>
          <w:b/>
        </w:rPr>
      </w:pPr>
    </w:p>
    <w:p w14:paraId="61EC2846" w14:textId="77777777" w:rsidR="00A37F34" w:rsidRDefault="00A37F34">
      <w:pPr>
        <w:rPr>
          <w:b/>
        </w:rPr>
      </w:pPr>
    </w:p>
    <w:p w14:paraId="3BD1E929" w14:textId="77777777" w:rsidR="00A37F34" w:rsidRDefault="00A37F34">
      <w:pPr>
        <w:rPr>
          <w:b/>
        </w:rPr>
      </w:pPr>
    </w:p>
    <w:p w14:paraId="7EEA9AAA" w14:textId="77777777" w:rsidR="00A37F34" w:rsidRDefault="00A37F34">
      <w:pPr>
        <w:rPr>
          <w:b/>
        </w:rPr>
      </w:pPr>
    </w:p>
    <w:p w14:paraId="093C649F" w14:textId="77777777" w:rsidR="00A37F34" w:rsidRDefault="00A37F34">
      <w:pPr>
        <w:rPr>
          <w:b/>
        </w:rPr>
      </w:pPr>
    </w:p>
    <w:p w14:paraId="6CECDAC9" w14:textId="77777777" w:rsidR="00A37F34" w:rsidRDefault="00A37F34">
      <w:pPr>
        <w:rPr>
          <w:b/>
        </w:rPr>
      </w:pPr>
    </w:p>
    <w:p w14:paraId="5592459B" w14:textId="77777777" w:rsidR="00A37F34" w:rsidRDefault="00A37F34">
      <w:pPr>
        <w:rPr>
          <w:b/>
        </w:rPr>
      </w:pPr>
    </w:p>
    <w:p w14:paraId="67853D6C" w14:textId="77777777" w:rsidR="00A37F34" w:rsidRDefault="00A37F34">
      <w:pPr>
        <w:rPr>
          <w:b/>
        </w:rPr>
      </w:pPr>
    </w:p>
    <w:p w14:paraId="7D924A92" w14:textId="77777777" w:rsidR="00A37F34" w:rsidRDefault="00A37F34">
      <w:pPr>
        <w:rPr>
          <w:b/>
        </w:rPr>
      </w:pPr>
    </w:p>
    <w:p w14:paraId="7043CA48" w14:textId="77777777" w:rsidR="00A37F34" w:rsidRDefault="00A37F34">
      <w:pPr>
        <w:rPr>
          <w:b/>
        </w:rPr>
      </w:pPr>
    </w:p>
    <w:p w14:paraId="73B4271C" w14:textId="77777777" w:rsidR="000E29DF" w:rsidRDefault="000E29DF">
      <w:pPr>
        <w:rPr>
          <w:b/>
        </w:rPr>
      </w:pPr>
    </w:p>
    <w:p w14:paraId="614D6038" w14:textId="77777777" w:rsidR="00A37F34" w:rsidRDefault="00A37F34">
      <w:pPr>
        <w:rPr>
          <w:b/>
        </w:rPr>
      </w:pPr>
    </w:p>
    <w:p w14:paraId="707138B4" w14:textId="77777777" w:rsidR="00A37F34" w:rsidRDefault="00A37F34">
      <w:pPr>
        <w:rPr>
          <w:b/>
        </w:rPr>
      </w:pPr>
    </w:p>
    <w:p w14:paraId="429954F7" w14:textId="77777777" w:rsidR="00263C64" w:rsidRDefault="00A37F34" w:rsidP="006E76A7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  <w:r w:rsidRPr="00A37F34">
        <w:rPr>
          <w:noProof/>
          <w:lang w:eastAsia="en-US"/>
        </w:rPr>
        <w:drawing>
          <wp:inline distT="0" distB="0" distL="0" distR="0" wp14:anchorId="2C95ABEF" wp14:editId="04F1C4F2">
            <wp:extent cx="6391275" cy="75628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6013" w14:textId="77777777" w:rsidR="006E76A7" w:rsidRDefault="006E76A7" w:rsidP="006E76A7">
      <w:pPr>
        <w:spacing w:line="240" w:lineRule="auto"/>
        <w:contextualSpacing/>
        <w:jc w:val="center"/>
        <w:rPr>
          <w:rFonts w:ascii="Arial" w:hAnsi="Arial" w:cs="Arial"/>
          <w:b/>
          <w:kern w:val="2"/>
          <w14:cntxtAlts/>
        </w:rPr>
      </w:pPr>
    </w:p>
    <w:p w14:paraId="0C3B724D" w14:textId="77777777" w:rsidR="00263C64" w:rsidRDefault="00263C64" w:rsidP="006E76A7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5F9CACB1" w14:textId="77777777" w:rsidR="00263C64" w:rsidRDefault="00263C64" w:rsidP="006E76A7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899EF66" w14:textId="77777777" w:rsidR="00263C64" w:rsidRDefault="00263C64" w:rsidP="006E76A7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481E183" w14:textId="77777777" w:rsidR="00263C64" w:rsidRDefault="00263C64"/>
    <w:p w14:paraId="76732C69" w14:textId="1E49D6F2" w:rsidR="00E34EFF" w:rsidRDefault="0066061A" w:rsidP="000141E4">
      <w:pPr>
        <w:rPr>
          <w:noProof/>
        </w:rPr>
      </w:pPr>
      <w:r>
        <w:rPr>
          <w:rFonts w:ascii="Arial" w:hAnsi="Arial" w:cs="Arial"/>
          <w:b/>
          <w:kern w:val="2"/>
          <w14:cntxtAlts/>
        </w:rPr>
        <w:br w:type="page"/>
      </w:r>
      <w:r w:rsidR="006C4269">
        <w:rPr>
          <w:rFonts w:ascii="Arial" w:hAnsi="Arial" w:cs="Arial"/>
          <w:b/>
          <w:kern w:val="2"/>
          <w14:cntxtAlts/>
        </w:rPr>
        <w:lastRenderedPageBreak/>
        <w:t>Figure S</w:t>
      </w:r>
      <w:r w:rsidR="00C9676A">
        <w:rPr>
          <w:rFonts w:ascii="Arial" w:hAnsi="Arial" w:cs="Arial"/>
          <w:b/>
          <w:kern w:val="2"/>
          <w14:cntxtAlts/>
        </w:rPr>
        <w:t>2</w:t>
      </w:r>
      <w:r w:rsidR="006C4269">
        <w:rPr>
          <w:rFonts w:ascii="Arial" w:hAnsi="Arial" w:cs="Arial"/>
          <w:b/>
          <w:kern w:val="2"/>
          <w14:cntxtAlts/>
        </w:rPr>
        <w:t xml:space="preserve">.  </w:t>
      </w:r>
      <w:r w:rsidR="00E34EFF" w:rsidRPr="00E34EFF">
        <w:rPr>
          <w:rFonts w:ascii="Arial" w:hAnsi="Arial" w:cs="Arial"/>
          <w:b/>
          <w:bCs/>
          <w:kern w:val="2"/>
          <w14:cntxtAlts/>
        </w:rPr>
        <w:t xml:space="preserve">Individual </w:t>
      </w:r>
      <w:r w:rsidR="00D00995">
        <w:rPr>
          <w:rFonts w:ascii="Arial" w:hAnsi="Arial" w:cs="Arial"/>
          <w:b/>
          <w:bCs/>
          <w:kern w:val="2"/>
          <w14:cntxtAlts/>
        </w:rPr>
        <w:t xml:space="preserve">patient </w:t>
      </w:r>
      <w:r w:rsidR="00E34EFF" w:rsidRPr="00E34EFF">
        <w:rPr>
          <w:rFonts w:ascii="Arial" w:hAnsi="Arial" w:cs="Arial"/>
          <w:b/>
          <w:bCs/>
          <w:kern w:val="2"/>
          <w14:cntxtAlts/>
        </w:rPr>
        <w:t>trajector</w:t>
      </w:r>
      <w:r w:rsidR="00D00995">
        <w:rPr>
          <w:rFonts w:ascii="Arial" w:hAnsi="Arial" w:cs="Arial"/>
          <w:b/>
          <w:bCs/>
          <w:kern w:val="2"/>
          <w14:cntxtAlts/>
        </w:rPr>
        <w:t>ies</w:t>
      </w:r>
      <w:r w:rsidR="00E34EFF" w:rsidRPr="00E34EFF">
        <w:rPr>
          <w:rFonts w:ascii="Arial" w:hAnsi="Arial" w:cs="Arial"/>
          <w:b/>
          <w:bCs/>
          <w:kern w:val="2"/>
          <w14:cntxtAlts/>
        </w:rPr>
        <w:t xml:space="preserve"> and predicted mean trajectory of </w:t>
      </w:r>
      <w:r w:rsidR="00794BBD">
        <w:rPr>
          <w:rFonts w:ascii="Arial" w:hAnsi="Arial" w:cs="Arial"/>
          <w:b/>
          <w:bCs/>
          <w:kern w:val="2"/>
          <w14:cntxtAlts/>
        </w:rPr>
        <w:t>FIB4</w:t>
      </w:r>
      <w:r w:rsidR="00127810">
        <w:rPr>
          <w:rFonts w:ascii="Arial" w:hAnsi="Arial" w:cs="Arial"/>
          <w:b/>
          <w:bCs/>
          <w:kern w:val="2"/>
          <w14:cntxtAlts/>
        </w:rPr>
        <w:t xml:space="preserve"> and APRI</w:t>
      </w:r>
      <w:r w:rsidR="00794BBD">
        <w:rPr>
          <w:rFonts w:ascii="Arial" w:hAnsi="Arial" w:cs="Arial"/>
          <w:b/>
          <w:bCs/>
          <w:kern w:val="2"/>
          <w14:cntxtAlts/>
        </w:rPr>
        <w:t xml:space="preserve"> over time in “never immunologically </w:t>
      </w:r>
      <w:r w:rsidR="00E34EFF" w:rsidRPr="00E34EFF">
        <w:rPr>
          <w:rFonts w:ascii="Arial" w:hAnsi="Arial" w:cs="Arial"/>
          <w:b/>
          <w:bCs/>
          <w:kern w:val="2"/>
          <w14:cntxtAlts/>
        </w:rPr>
        <w:t xml:space="preserve">active” </w:t>
      </w:r>
      <w:r w:rsidR="000F5059">
        <w:rPr>
          <w:rFonts w:ascii="Arial" w:hAnsi="Arial" w:cs="Arial"/>
          <w:b/>
          <w:bCs/>
          <w:kern w:val="2"/>
          <w14:cntxtAlts/>
        </w:rPr>
        <w:t xml:space="preserve">untreated </w:t>
      </w:r>
      <w:r w:rsidR="00D00995">
        <w:rPr>
          <w:rFonts w:ascii="Arial" w:hAnsi="Arial" w:cs="Arial"/>
          <w:b/>
          <w:bCs/>
          <w:kern w:val="2"/>
          <w14:cntxtAlts/>
        </w:rPr>
        <w:t xml:space="preserve">patients </w:t>
      </w:r>
      <w:r w:rsidR="00E34EFF" w:rsidRPr="00E34EFF">
        <w:rPr>
          <w:rFonts w:ascii="Arial" w:hAnsi="Arial" w:cs="Arial"/>
          <w:b/>
          <w:bCs/>
          <w:kern w:val="2"/>
          <w14:cntxtAlts/>
        </w:rPr>
        <w:t>(</w:t>
      </w:r>
      <w:r w:rsidR="00D00995" w:rsidRPr="00D00995">
        <w:rPr>
          <w:rFonts w:ascii="Arial" w:hAnsi="Arial" w:cs="Arial"/>
          <w:b/>
          <w:bCs/>
          <w:color w:val="4472C4" w:themeColor="accent5"/>
          <w:kern w:val="2"/>
          <w14:cntxtAlts/>
        </w:rPr>
        <w:t>—</w:t>
      </w:r>
      <w:r w:rsidR="000141E4">
        <w:rPr>
          <w:rFonts w:ascii="Arial" w:hAnsi="Arial" w:cs="Arial"/>
          <w:b/>
          <w:bCs/>
          <w:kern w:val="2"/>
          <w14:cntxtAlts/>
        </w:rPr>
        <w:t>:</w:t>
      </w:r>
      <w:r w:rsidR="00E34EFF" w:rsidRPr="00E34EFF">
        <w:rPr>
          <w:rFonts w:ascii="Arial" w:hAnsi="Arial" w:cs="Arial"/>
          <w:b/>
          <w:bCs/>
          <w:kern w:val="2"/>
          <w14:cntxtAlts/>
        </w:rPr>
        <w:t xml:space="preserve"> predicted mean trajectory; </w:t>
      </w:r>
      <w:r w:rsidR="00E34EFF" w:rsidRPr="000141E4">
        <w:rPr>
          <w:rFonts w:ascii="Arial" w:hAnsi="Arial" w:cs="Arial"/>
          <w:b/>
          <w:bCs/>
          <w:kern w:val="2"/>
          <w:highlight w:val="lightGray"/>
          <w14:cntxtAlts/>
        </w:rPr>
        <w:t>shaded area</w:t>
      </w:r>
      <w:r w:rsidR="00E34EFF" w:rsidRPr="00E34EFF">
        <w:rPr>
          <w:rFonts w:ascii="Arial" w:hAnsi="Arial" w:cs="Arial"/>
          <w:b/>
          <w:bCs/>
          <w:kern w:val="2"/>
          <w14:cntxtAlts/>
        </w:rPr>
        <w:t xml:space="preserve">: 95% confidence band; </w:t>
      </w:r>
      <w:r w:rsidR="000141E4" w:rsidRPr="000141E4">
        <w:rPr>
          <w:rFonts w:ascii="Arial" w:hAnsi="Arial" w:cs="Arial"/>
          <w:b/>
          <w:bCs/>
          <w:color w:val="FF0000"/>
          <w:kern w:val="2"/>
          <w14:cntxtAlts/>
        </w:rPr>
        <w:t xml:space="preserve">- - - </w:t>
      </w:r>
      <w:r w:rsidR="000141E4">
        <w:rPr>
          <w:rFonts w:ascii="Arial" w:hAnsi="Arial" w:cs="Arial"/>
          <w:b/>
          <w:bCs/>
          <w:kern w:val="2"/>
          <w14:cntxtAlts/>
        </w:rPr>
        <w:t xml:space="preserve">: </w:t>
      </w:r>
      <w:r w:rsidR="00BA2A6B" w:rsidRPr="000141E4">
        <w:rPr>
          <w:rFonts w:ascii="Arial" w:hAnsi="Arial" w:cs="Arial"/>
          <w:b/>
          <w:bCs/>
          <w:kern w:val="2"/>
          <w14:cntxtAlts/>
        </w:rPr>
        <w:t xml:space="preserve">1.58 </w:t>
      </w:r>
      <w:r w:rsidR="00E34EFF" w:rsidRPr="000141E4">
        <w:rPr>
          <w:rFonts w:ascii="Arial" w:hAnsi="Arial" w:cs="Arial"/>
          <w:b/>
          <w:bCs/>
          <w:kern w:val="2"/>
          <w14:cntxtAlts/>
        </w:rPr>
        <w:t>cut off for non-advanced fibrosis).</w:t>
      </w:r>
      <w:r w:rsidR="00E34EFF" w:rsidRPr="00E34EFF">
        <w:rPr>
          <w:noProof/>
        </w:rPr>
        <w:t xml:space="preserve"> </w:t>
      </w:r>
    </w:p>
    <w:p w14:paraId="3B7BB9EC" w14:textId="77777777" w:rsidR="008E503E" w:rsidRDefault="008E503E" w:rsidP="000141E4">
      <w:pPr>
        <w:contextualSpacing/>
        <w:rPr>
          <w:noProof/>
        </w:rPr>
      </w:pPr>
    </w:p>
    <w:p w14:paraId="343FAF75" w14:textId="77777777" w:rsidR="006C4269" w:rsidRDefault="006C4269" w:rsidP="00E34EFF">
      <w:pPr>
        <w:spacing w:line="240" w:lineRule="auto"/>
        <w:contextualSpacing/>
      </w:pPr>
    </w:p>
    <w:p w14:paraId="0A3AF19A" w14:textId="77777777" w:rsidR="00127810" w:rsidRPr="000D5B84" w:rsidRDefault="00127810" w:rsidP="000D5B84">
      <w:pPr>
        <w:pStyle w:val="ListParagraph"/>
        <w:numPr>
          <w:ilvl w:val="0"/>
          <w:numId w:val="3"/>
        </w:numPr>
        <w:spacing w:line="240" w:lineRule="auto"/>
        <w:ind w:left="360" w:hanging="90"/>
        <w:rPr>
          <w:b/>
          <w:sz w:val="24"/>
          <w:szCs w:val="24"/>
        </w:rPr>
      </w:pPr>
      <w:r w:rsidRPr="000D5B84">
        <w:rPr>
          <w:b/>
          <w:sz w:val="24"/>
          <w:szCs w:val="24"/>
        </w:rPr>
        <w:t>FIB4</w:t>
      </w:r>
      <w:r w:rsidR="000D5B84" w:rsidRPr="000D5B84">
        <w:rPr>
          <w:b/>
          <w:sz w:val="24"/>
          <w:szCs w:val="24"/>
        </w:rPr>
        <w:t xml:space="preserve">                                                                              B. </w:t>
      </w:r>
      <w:r w:rsidR="000D5B84">
        <w:rPr>
          <w:b/>
          <w:sz w:val="24"/>
          <w:szCs w:val="24"/>
        </w:rPr>
        <w:t>APRI</w:t>
      </w:r>
    </w:p>
    <w:p w14:paraId="1253491C" w14:textId="77777777" w:rsidR="006C4269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  <w:r w:rsidRPr="00F37C45">
        <w:rPr>
          <w:rFonts w:ascii="Arial" w:hAnsi="Arial" w:cs="Arial"/>
          <w:b/>
          <w:noProof/>
          <w:kern w:val="2"/>
          <w:lang w:eastAsia="en-US"/>
          <w14:cntxtAlt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C93F26" wp14:editId="4A88583D">
                <wp:simplePos x="0" y="0"/>
                <wp:positionH relativeFrom="column">
                  <wp:posOffset>1332092</wp:posOffset>
                </wp:positionH>
                <wp:positionV relativeFrom="paragraph">
                  <wp:posOffset>1197362</wp:posOffset>
                </wp:positionV>
                <wp:extent cx="1979874" cy="23058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874" cy="230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2ABE" w14:textId="77777777" w:rsidR="00F37C45" w:rsidRPr="00F37C45" w:rsidRDefault="00F37C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7C45">
                              <w:rPr>
                                <w:sz w:val="18"/>
                                <w:szCs w:val="18"/>
                              </w:rPr>
                              <w:t>1.58 cut off for non-advanced fibrosis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3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9pt;margin-top:94.3pt;width:155.9pt;height:18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o0DAIAAPQDAAAOAAAAZHJzL2Uyb0RvYy54bWysU9tu2zAMfR+wfxD0vtjxkiUxohRduw4D&#10;ugvQ7gMUWY6FSaImKbGzrx8lp2mwvhXzgyCa5CHPIbW+GowmB+mDAsvodFJSIq2ARtkdoz8f794t&#10;KQmR24ZrsJLRowz0avP2zbp3taygA91ITxDEhrp3jHYxurooguik4WECTlp0tuANj2j6XdF43iO6&#10;0UVVlh+KHnzjPAgZAv69HZ10k/HbVor4vW2DjEQzir3FfPp8btNZbNa83nnuOiVObfBXdGG4slj0&#10;DHXLIyd7r15AGSU8BGjjRIApoG2VkJkDspmW/7B56LiTmQuKE9xZpvD/YMW3ww9PVMNoNV1QYrnB&#10;IT3KIZKPMJAq6dO7UGPYg8PAOOBvnHPmGtw9iF+BWLjpuN3Ja++h7yRvsL9pyiwuUkeckEC2/Vdo&#10;sAzfR8hAQ+tNEg/lIIiOczqeZ5NaEankarFaLmaUCPRV78v5cpFL8Pop2/kQP0swJF0Y9Tj7jM4P&#10;9yGmbnj9FJKKWbhTWuf5a0t6Rlfzap4TLjxGRVxPrQyjyzJ948Ikkp9sk5MjV3q8YwFtT6wT0ZFy&#10;HLYDBiYpttAckb+HcQ3x2eClA/+Hkh5XkNHwe8+9pER/sajhajqbpZ3Nxmy+qNDwl57tpYdbgVCM&#10;RkrG603Mez5yvUatW5VleO7k1CuuVlbn9AzS7l7aOer5sW7+AgAA//8DAFBLAwQUAAYACAAAACEA&#10;/G5pIN4AAAALAQAADwAAAGRycy9kb3ducmV2LnhtbEyPwU7DMAyG70h7h8hI3Fiyapvaruk0gbiC&#10;GGzSblnjtRWNUzXZWt4ec4Kbre/X78/FdnKduOEQWk8aFnMFAqnytqVaw+fHy2MKIkRD1nSeUMM3&#10;BtiWs7vC5NaP9I63fawFl1DIjYYmxj6XMlQNOhPmvkdidvGDM5HXoZZ2MCOXu04mSq2lMy3xhcb0&#10;+NRg9bW/Og2H18vpuFRv9bNb9aOflCSXSa0f7qfdBkTEKf6F4Vef1aFkp7O/kg2i05CojNUjgzRd&#10;g+DEKlnwcGaULDOQZSH//1D+AAAA//8DAFBLAQItABQABgAIAAAAIQC2gziS/gAAAOEBAAATAAAA&#10;AAAAAAAAAAAAAAAAAABbQ29udGVudF9UeXBlc10ueG1sUEsBAi0AFAAGAAgAAAAhADj9If/WAAAA&#10;lAEAAAsAAAAAAAAAAAAAAAAALwEAAF9yZWxzLy5yZWxzUEsBAi0AFAAGAAgAAAAhAHPDCjQMAgAA&#10;9AMAAA4AAAAAAAAAAAAAAAAALgIAAGRycy9lMm9Eb2MueG1sUEsBAi0AFAAGAAgAAAAhAPxuaSDe&#10;AAAACwEAAA8AAAAAAAAAAAAAAAAAZgQAAGRycy9kb3ducmV2LnhtbFBLBQYAAAAABAAEAPMAAABx&#10;BQAAAAA=&#10;" filled="f" stroked="f">
                <v:textbox>
                  <w:txbxContent>
                    <w:p w14:paraId="460E2ABE" w14:textId="77777777" w:rsidR="00F37C45" w:rsidRPr="00F37C45" w:rsidRDefault="00F37C45">
                      <w:pPr>
                        <w:rPr>
                          <w:sz w:val="18"/>
                          <w:szCs w:val="18"/>
                        </w:rPr>
                      </w:pPr>
                      <w:r w:rsidRPr="00F37C45">
                        <w:rPr>
                          <w:sz w:val="18"/>
                          <w:szCs w:val="18"/>
                        </w:rPr>
                        <w:t>1.58 cut off for non-advanced fibrosis</w:t>
                      </w:r>
                    </w:p>
                  </w:txbxContent>
                </v:textbox>
              </v:shape>
            </w:pict>
          </mc:Fallback>
        </mc:AlternateContent>
      </w:r>
      <w:r w:rsidR="00F37C45" w:rsidRPr="00E34EFF">
        <w:rPr>
          <w:rFonts w:ascii="Arial" w:hAnsi="Arial" w:cs="Arial"/>
          <w:b/>
          <w:noProof/>
          <w:kern w:val="2"/>
          <w:lang w:eastAsia="en-US"/>
          <w14:cntxtAlt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E0848" wp14:editId="0E80901F">
                <wp:simplePos x="0" y="0"/>
                <wp:positionH relativeFrom="column">
                  <wp:posOffset>4096744</wp:posOffset>
                </wp:positionH>
                <wp:positionV relativeFrom="paragraph">
                  <wp:posOffset>1466795</wp:posOffset>
                </wp:positionV>
                <wp:extent cx="2231495" cy="467638"/>
                <wp:effectExtent l="0" t="0" r="0" b="0"/>
                <wp:wrapNone/>
                <wp:docPr id="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495" cy="4676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E2A673" w14:textId="77777777" w:rsidR="00127810" w:rsidRPr="00F37C45" w:rsidRDefault="00127810" w:rsidP="001278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7C45">
                              <w:rPr>
                                <w:rFonts w:ascii="Arial" w:hAnsi="Arial" w:cs="Arial"/>
                                <w:color w:val="1405D1"/>
                                <w:kern w:val="24"/>
                                <w:sz w:val="18"/>
                                <w:szCs w:val="18"/>
                              </w:rPr>
                              <w:t>Monthly increase=0.17% (p=0.076)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0848" id="TextBox 10" o:spid="_x0000_s1027" type="#_x0000_t202" style="position:absolute;margin-left:322.6pt;margin-top:115.5pt;width:175.7pt;height: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RFlwEAABUDAAAOAAAAZHJzL2Uyb0RvYy54bWysUsFuGyEQvVfqPyDu9dqb1E1XXkdto+RS&#10;tZGSfgBmwYu0MHQGe9d/nwE7dpXeql4GmBke771hdTv5QewNkoPQysVsLoUJGjoXtq389Xz/4UYK&#10;Sip0aoBgWnkwJG/X79+txtiYGnoYOoOCQQI1Y2xln1Jsqop0b7yiGUQTuGgBvUp8xG3VoRoZ3Q9V&#10;PZ8vqxGwiwjaEHH27liU64JvrdHpp7VkkhhaydxSiVjiJsdqvVLNFlXsnT7RUP/AwisX+NEz1J1K&#10;SuzQ/QXlnUYgsGmmwVdgrdOmaGA1i/kbNU+9iqZoYXMonm2i/werf+wfUbiulbUUQXke0bOZ0leY&#10;xKK4M0ZquOkpcluaOM9Tzq7lPHEyi54s+ryyHMF19vlw9pbBhOZkXV8trj9/lEJz7Xr5aXl1k2Gq&#10;y+2IlB4MeJE3rUSeXbFU7b9TOra+tuTHAty7Ycj5C5W8S9NmKoLONDfQHZj9yFNuJf3eKTRSYBq+&#10;QfkUR7AvuwTWlXcyyvHOCZy9L0xP/yQP989z6br85vULAAAA//8DAFBLAwQUAAYACAAAACEAF1Zq&#10;rt8AAAALAQAADwAAAGRycy9kb3ducmV2LnhtbEyPwU7DMBBE70j8g7VI3KjdNI1IyKZCIK4gClTq&#10;zY3dJCJeR7HbhL9nOdHjap9m3pSb2fXibMfQeUJYLhQIS7U3HTUInx8vd/cgQtRkdO/JIvzYAJvq&#10;+qrUhfETvdvzNjaCQygUGqGNcSikDHVrnQ4LP1ji39GPTkc+x0aaUU8c7nqZKJVJpzvihlYP9qm1&#10;9ff25BC+Xo/7Xaremme3HiY/K0kul4i3N/PjA4ho5/gPw58+q0PFTgd/IhNEj5Cl64RRhGS15FFM&#10;5HmWgTggrFSagaxKebmh+gUAAP//AwBQSwECLQAUAAYACAAAACEAtoM4kv4AAADhAQAAEwAAAAAA&#10;AAAAAAAAAAAAAAAAW0NvbnRlbnRfVHlwZXNdLnhtbFBLAQItABQABgAIAAAAIQA4/SH/1gAAAJQB&#10;AAALAAAAAAAAAAAAAAAAAC8BAABfcmVscy8ucmVsc1BLAQItABQABgAIAAAAIQA2m8RFlwEAABUD&#10;AAAOAAAAAAAAAAAAAAAAAC4CAABkcnMvZTJvRG9jLnhtbFBLAQItABQABgAIAAAAIQAXVmqu3wAA&#10;AAsBAAAPAAAAAAAAAAAAAAAAAPEDAABkcnMvZG93bnJldi54bWxQSwUGAAAAAAQABADzAAAA/QQA&#10;AAAA&#10;" filled="f" stroked="f">
                <v:textbox>
                  <w:txbxContent>
                    <w:p w14:paraId="65E2A673" w14:textId="77777777" w:rsidR="00127810" w:rsidRPr="00F37C45" w:rsidRDefault="00127810" w:rsidP="0012781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7C45">
                        <w:rPr>
                          <w:rFonts w:ascii="Arial" w:hAnsi="Arial" w:cs="Arial"/>
                          <w:color w:val="1405D1"/>
                          <w:kern w:val="24"/>
                          <w:sz w:val="18"/>
                          <w:szCs w:val="18"/>
                        </w:rPr>
                        <w:t>Monthly increase=0.17% (p=0.076)</w:t>
                      </w:r>
                    </w:p>
                  </w:txbxContent>
                </v:textbox>
              </v:shape>
            </w:pict>
          </mc:Fallback>
        </mc:AlternateContent>
      </w:r>
      <w:r w:rsidR="00F37C45" w:rsidRPr="00E34EFF">
        <w:rPr>
          <w:rFonts w:ascii="Arial" w:hAnsi="Arial" w:cs="Arial"/>
          <w:b/>
          <w:noProof/>
          <w:kern w:val="2"/>
          <w:lang w:eastAsia="en-US"/>
          <w14:cntxtAlt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5A058" wp14:editId="3F853AD1">
                <wp:simplePos x="0" y="0"/>
                <wp:positionH relativeFrom="column">
                  <wp:posOffset>565205</wp:posOffset>
                </wp:positionH>
                <wp:positionV relativeFrom="paragraph">
                  <wp:posOffset>1596501</wp:posOffset>
                </wp:positionV>
                <wp:extent cx="2231495" cy="467638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495" cy="4676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4FEEC" w14:textId="77777777" w:rsidR="00E34EFF" w:rsidRPr="00F37C45" w:rsidRDefault="00E34EFF" w:rsidP="00E34E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7C45">
                              <w:rPr>
                                <w:rFonts w:ascii="Arial" w:hAnsi="Arial" w:cs="Arial"/>
                                <w:color w:val="1405D1"/>
                                <w:kern w:val="24"/>
                                <w:sz w:val="18"/>
                                <w:szCs w:val="18"/>
                              </w:rPr>
                              <w:t>Monthly increase=0.38% (p=0.0015)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A058" id="_x0000_s1028" type="#_x0000_t202" style="position:absolute;margin-left:44.5pt;margin-top:125.7pt;width:175.7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9+lwEAABYDAAAOAAAAZHJzL2Uyb0RvYy54bWysUsGO0zAQvSPxD5bvNE12KUvUdAWslgsC&#10;pF0+wHXsxlLsMTNuk/49Y7fbIrghLmN7Zvz83huv72c/ioNBchA6WS+WUpigoXdh18kfz49v7qSg&#10;pEKvRgimk0dD8n7z+tV6iq1pYICxNygYJFA7xU4OKcW2qkgPxitaQDSBixbQq8RH3FU9qonR/Vg1&#10;y+WqmgD7iKANEWcfTkW5KfjWGp2+WUsmibGTzC2ViCVuc6w2a9XuUMXB6TMN9Q8svHKBH71APaik&#10;xB7dX1DeaQQCmxYafAXWOm2KBlZTL/9Q8zSoaIoWNofixSb6f7D66+E7Ctfz7GopgvI8o2czp48w&#10;i7rYM0Vquespcl+aOc+t2bacJ05m1bNFn1fWI7jORh8v5jKY0Jxsmpv69v1bKTTXblfvVjd3Gaa6&#10;3o5I6bMBL/Kmk8jDK56qwxdKp9aXlvxYgEc3jjl/pZJ3ad7ORVHzQnML/ZHZTzzmTtLPvUIjBabx&#10;E5RfcQL7sE9gXXkno5zunMHZ/ML0/FHydH8/l67rd978AgAA//8DAFBLAwQUAAYACAAAACEA0TKH&#10;Fd8AAAAKAQAADwAAAGRycy9kb3ducmV2LnhtbEyPzU7DMBCE70i8g7VI3KjdkKA2zaZCIK4gyo/U&#10;m5tsk4h4HcVuE96e5QS3Wc1o9ptiO7tenWkMnWeE5cKAIq583XGD8P72dLMCFaLl2vaeCeGbAmzL&#10;y4vC5rWf+JXOu9goKeGQW4Q2xiHXOlQtORsWfiAW7+hHZ6OcY6Pr0U5S7nqdGHOnne1YPrR2oIeW&#10;qq/dySF8PB/3n6l5aR5dNkx+NprdWiNeX833G1CR5vgXhl98QYdSmA7+xHVQPcJqLVMiQpItU1AS&#10;SFMj4oBwm2QGdFno/xPKHwAAAP//AwBQSwECLQAUAAYACAAAACEAtoM4kv4AAADhAQAAEwAAAAAA&#10;AAAAAAAAAAAAAAAAW0NvbnRlbnRfVHlwZXNdLnhtbFBLAQItABQABgAIAAAAIQA4/SH/1gAAAJQB&#10;AAALAAAAAAAAAAAAAAAAAC8BAABfcmVscy8ucmVsc1BLAQItABQABgAIAAAAIQC5X59+lwEAABYD&#10;AAAOAAAAAAAAAAAAAAAAAC4CAABkcnMvZTJvRG9jLnhtbFBLAQItABQABgAIAAAAIQDRMocV3wAA&#10;AAoBAAAPAAAAAAAAAAAAAAAAAPEDAABkcnMvZG93bnJldi54bWxQSwUGAAAAAAQABADzAAAA/QQA&#10;AAAA&#10;" filled="f" stroked="f">
                <v:textbox>
                  <w:txbxContent>
                    <w:p w14:paraId="1BB4FEEC" w14:textId="77777777" w:rsidR="00E34EFF" w:rsidRPr="00F37C45" w:rsidRDefault="00E34EFF" w:rsidP="00E34EF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7C45">
                        <w:rPr>
                          <w:rFonts w:ascii="Arial" w:hAnsi="Arial" w:cs="Arial"/>
                          <w:color w:val="1405D1"/>
                          <w:kern w:val="24"/>
                          <w:sz w:val="18"/>
                          <w:szCs w:val="18"/>
                        </w:rPr>
                        <w:t>Monthly increase=0.38% (p=0.0015)</w:t>
                      </w:r>
                    </w:p>
                  </w:txbxContent>
                </v:textbox>
              </v:shape>
            </w:pict>
          </mc:Fallback>
        </mc:AlternateContent>
      </w:r>
      <w:r w:rsidR="00F37C45">
        <w:rPr>
          <w:noProof/>
          <w:lang w:eastAsia="en-US"/>
        </w:rPr>
        <w:drawing>
          <wp:inline distT="0" distB="0" distL="0" distR="0" wp14:anchorId="752E3EA9" wp14:editId="0A26D854">
            <wp:extent cx="3275937" cy="2320989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1405"/>
                    <a:stretch/>
                  </pic:blipFill>
                  <pic:spPr bwMode="auto">
                    <a:xfrm>
                      <a:off x="0" y="0"/>
                      <a:ext cx="3307623" cy="2343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4EFF" w:rsidRPr="00E34EFF">
        <w:rPr>
          <w:noProof/>
        </w:rPr>
        <w:t xml:space="preserve"> </w:t>
      </w:r>
      <w:r w:rsidR="00F37C45">
        <w:rPr>
          <w:noProof/>
          <w:lang w:eastAsia="en-US"/>
        </w:rPr>
        <w:drawing>
          <wp:inline distT="0" distB="0" distL="0" distR="0" wp14:anchorId="0F45B69B" wp14:editId="007B129B">
            <wp:extent cx="3442335" cy="2343607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8541" cy="235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F317" w14:textId="77777777" w:rsidR="00F37C45" w:rsidRDefault="00F37C45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277D5300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0DE5E0EC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46F280DF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046BB42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48AC16D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2A2B1C09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52DF49E7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5B230B71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A7AD6CC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058F4DC5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5A72321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57FB9B67" w14:textId="77777777" w:rsidR="00422EC3" w:rsidRDefault="00422EC3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7F4A627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F96F61E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7D6CAF77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4D946EE0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526E70F3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71EFF17E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D105919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736E455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2FE258F6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97BA52B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377C2742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30FAD124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21361478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32BBF086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F070F9B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18D2921A" w14:textId="77777777" w:rsidR="00D36072" w:rsidRDefault="00D36072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13BC037" w14:textId="77777777" w:rsidR="00D36072" w:rsidRDefault="00D36072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4C49F6D7" w14:textId="77777777" w:rsidR="00D36072" w:rsidRDefault="00D36072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7CEE9FB9" w14:textId="77777777" w:rsidR="000D5B84" w:rsidRDefault="000D5B84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9726421" w14:textId="77777777" w:rsidR="001F57F2" w:rsidRDefault="001F57F2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</w:p>
    <w:p w14:paraId="647843CA" w14:textId="77777777" w:rsidR="006D69C5" w:rsidRPr="006E76A7" w:rsidRDefault="006D69C5" w:rsidP="006D69C5">
      <w:pPr>
        <w:spacing w:line="240" w:lineRule="auto"/>
        <w:contextualSpacing/>
        <w:rPr>
          <w:rFonts w:ascii="Arial" w:hAnsi="Arial" w:cs="Arial"/>
          <w:b/>
          <w:kern w:val="2"/>
          <w14:cntxtAlts/>
        </w:rPr>
      </w:pPr>
      <w:r w:rsidRPr="006E76A7">
        <w:rPr>
          <w:rFonts w:ascii="Arial" w:hAnsi="Arial" w:cs="Arial"/>
          <w:b/>
          <w:kern w:val="2"/>
          <w14:cntxtAlts/>
        </w:rPr>
        <w:t xml:space="preserve">Figure </w:t>
      </w:r>
      <w:r w:rsidR="003E38D3" w:rsidRPr="006E76A7">
        <w:rPr>
          <w:rFonts w:ascii="Arial" w:hAnsi="Arial" w:cs="Arial"/>
          <w:b/>
          <w:kern w:val="2"/>
          <w14:cntxtAlts/>
        </w:rPr>
        <w:t>S</w:t>
      </w:r>
      <w:r w:rsidR="006C4269">
        <w:rPr>
          <w:rFonts w:ascii="Arial" w:hAnsi="Arial" w:cs="Arial"/>
          <w:b/>
          <w:kern w:val="2"/>
          <w14:cntxtAlts/>
        </w:rPr>
        <w:t>3</w:t>
      </w:r>
      <w:r w:rsidRPr="006E76A7">
        <w:rPr>
          <w:rFonts w:ascii="Arial" w:hAnsi="Arial" w:cs="Arial"/>
          <w:b/>
          <w:kern w:val="2"/>
          <w14:cntxtAlts/>
        </w:rPr>
        <w:t xml:space="preserve">. Receiver Operating </w:t>
      </w:r>
      <w:r w:rsidR="00D624F0">
        <w:rPr>
          <w:rFonts w:ascii="Arial" w:hAnsi="Arial" w:cs="Arial"/>
          <w:b/>
          <w:kern w:val="2"/>
          <w14:cntxtAlts/>
        </w:rPr>
        <w:t>Char</w:t>
      </w:r>
      <w:r w:rsidR="000141E4">
        <w:rPr>
          <w:rFonts w:ascii="Arial" w:hAnsi="Arial" w:cs="Arial"/>
          <w:b/>
          <w:kern w:val="2"/>
          <w14:cntxtAlts/>
        </w:rPr>
        <w:t>a</w:t>
      </w:r>
      <w:r w:rsidR="00D624F0">
        <w:rPr>
          <w:rFonts w:ascii="Arial" w:hAnsi="Arial" w:cs="Arial"/>
          <w:b/>
          <w:kern w:val="2"/>
          <w14:cntxtAlts/>
        </w:rPr>
        <w:t xml:space="preserve">cteristic </w:t>
      </w:r>
      <w:r w:rsidRPr="006E76A7">
        <w:rPr>
          <w:rFonts w:ascii="Arial" w:hAnsi="Arial" w:cs="Arial"/>
          <w:b/>
          <w:kern w:val="2"/>
          <w14:cntxtAlts/>
        </w:rPr>
        <w:t>Curves</w:t>
      </w:r>
      <w:r w:rsidR="00E01184">
        <w:rPr>
          <w:rFonts w:ascii="Arial" w:hAnsi="Arial" w:cs="Arial"/>
          <w:b/>
          <w:kern w:val="2"/>
          <w14:cntxtAlts/>
        </w:rPr>
        <w:t xml:space="preserve"> (</w:t>
      </w:r>
      <w:r w:rsidRPr="006E76A7">
        <w:rPr>
          <w:rFonts w:ascii="Arial" w:hAnsi="Arial" w:cs="Arial"/>
          <w:b/>
          <w:kern w:val="2"/>
          <w14:cntxtAlts/>
        </w:rPr>
        <w:t>ROC)</w:t>
      </w:r>
      <w:r w:rsidR="00D624F0">
        <w:rPr>
          <w:rFonts w:ascii="Arial" w:hAnsi="Arial" w:cs="Arial"/>
          <w:b/>
          <w:kern w:val="2"/>
          <w14:cntxtAlts/>
        </w:rPr>
        <w:t xml:space="preserve"> for </w:t>
      </w:r>
      <w:r w:rsidRPr="006E76A7">
        <w:rPr>
          <w:rFonts w:ascii="Arial" w:hAnsi="Arial" w:cs="Arial"/>
          <w:b/>
          <w:kern w:val="2"/>
          <w14:cntxtAlts/>
        </w:rPr>
        <w:t>FIB4 and APRI predicting advanced fibrosis</w:t>
      </w:r>
      <w:r w:rsidR="00E01184">
        <w:rPr>
          <w:rFonts w:ascii="Arial" w:hAnsi="Arial" w:cs="Arial"/>
          <w:b/>
          <w:kern w:val="2"/>
          <w14:cntxtAlts/>
        </w:rPr>
        <w:t xml:space="preserve"> (</w:t>
      </w:r>
      <w:r w:rsidRPr="006E76A7">
        <w:rPr>
          <w:rFonts w:ascii="Arial" w:hAnsi="Arial" w:cs="Arial"/>
          <w:b/>
          <w:kern w:val="2"/>
          <w14:cntxtAlts/>
        </w:rPr>
        <w:t>F3-4) or cirrhosis</w:t>
      </w:r>
      <w:r w:rsidR="00E01184">
        <w:rPr>
          <w:rFonts w:ascii="Arial" w:hAnsi="Arial" w:cs="Arial"/>
          <w:b/>
          <w:kern w:val="2"/>
          <w14:cntxtAlts/>
        </w:rPr>
        <w:t xml:space="preserve"> (</w:t>
      </w:r>
      <w:r w:rsidRPr="006E76A7">
        <w:rPr>
          <w:rFonts w:ascii="Arial" w:hAnsi="Arial" w:cs="Arial"/>
          <w:b/>
          <w:kern w:val="2"/>
          <w14:cntxtAlts/>
        </w:rPr>
        <w:t xml:space="preserve">F4) in </w:t>
      </w:r>
      <w:r w:rsidR="00D624F0">
        <w:rPr>
          <w:rFonts w:ascii="Arial" w:hAnsi="Arial" w:cs="Arial"/>
          <w:b/>
          <w:kern w:val="2"/>
          <w14:cntxtAlts/>
        </w:rPr>
        <w:t>HBV</w:t>
      </w:r>
      <w:r w:rsidRPr="006E76A7">
        <w:rPr>
          <w:rFonts w:ascii="Arial" w:hAnsi="Arial" w:cs="Arial"/>
          <w:b/>
          <w:kern w:val="2"/>
          <w14:cntxtAlts/>
        </w:rPr>
        <w:t xml:space="preserve"> patients after treatment initiation</w:t>
      </w:r>
      <w:r w:rsidR="00E01184">
        <w:rPr>
          <w:rFonts w:ascii="Arial" w:hAnsi="Arial" w:cs="Arial"/>
          <w:b/>
          <w:kern w:val="2"/>
          <w14:cntxtAlts/>
        </w:rPr>
        <w:t xml:space="preserve"> (</w:t>
      </w:r>
      <w:r w:rsidRPr="006E76A7">
        <w:rPr>
          <w:rFonts w:ascii="Arial" w:hAnsi="Arial" w:cs="Arial"/>
          <w:b/>
          <w:kern w:val="2"/>
          <w14:cntxtAlts/>
        </w:rPr>
        <w:t>n=</w:t>
      </w:r>
      <w:r>
        <w:rPr>
          <w:rFonts w:ascii="Arial" w:hAnsi="Arial" w:cs="Arial"/>
          <w:b/>
          <w:kern w:val="2"/>
          <w14:cntxtAlts/>
        </w:rPr>
        <w:t>45</w:t>
      </w:r>
      <w:r w:rsidRPr="006E76A7">
        <w:rPr>
          <w:rFonts w:ascii="Arial" w:hAnsi="Arial" w:cs="Arial"/>
          <w:b/>
          <w:kern w:val="2"/>
          <w14:cntxtAlts/>
        </w:rPr>
        <w:t>).</w:t>
      </w:r>
    </w:p>
    <w:p w14:paraId="74CD9B9C" w14:textId="77777777" w:rsidR="006D69C5" w:rsidRPr="001F6746" w:rsidRDefault="006D69C5" w:rsidP="006D69C5">
      <w:pPr>
        <w:pStyle w:val="ListParagraph"/>
        <w:numPr>
          <w:ilvl w:val="0"/>
          <w:numId w:val="1"/>
        </w:numPr>
        <w:rPr>
          <w:b/>
        </w:rPr>
      </w:pPr>
      <w:r w:rsidRPr="001F6746">
        <w:rPr>
          <w:b/>
        </w:rPr>
        <w:t>Advanced fibrosis</w:t>
      </w:r>
      <w:r w:rsidR="00E01184">
        <w:rPr>
          <w:b/>
        </w:rPr>
        <w:t xml:space="preserve"> (</w:t>
      </w:r>
      <w:r w:rsidRPr="001F6746">
        <w:rPr>
          <w:b/>
        </w:rPr>
        <w:t>F3-4 vs. F0-2)</w:t>
      </w:r>
      <w:r w:rsidR="00114E8D">
        <w:rPr>
          <w:b/>
        </w:rPr>
        <w:t xml:space="preserve"> </w:t>
      </w:r>
      <w:r>
        <w:rPr>
          <w:b/>
        </w:rPr>
        <w:t>B. Cirrhosis</w:t>
      </w:r>
      <w:r w:rsidR="00E01184">
        <w:rPr>
          <w:b/>
        </w:rPr>
        <w:t xml:space="preserve"> (</w:t>
      </w:r>
      <w:r>
        <w:rPr>
          <w:b/>
        </w:rPr>
        <w:t>F4 vs. F0-3)</w:t>
      </w:r>
    </w:p>
    <w:tbl>
      <w:tblPr>
        <w:tblStyle w:val="LightShading"/>
        <w:tblpPr w:leftFromText="180" w:rightFromText="180" w:vertAnchor="text" w:horzAnchor="page" w:tblpX="1021" w:tblpY="4931"/>
        <w:tblW w:w="49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rocedure Logistic: ROC Association Statistics"/>
      </w:tblPr>
      <w:tblGrid>
        <w:gridCol w:w="1245"/>
        <w:gridCol w:w="814"/>
        <w:gridCol w:w="1049"/>
        <w:gridCol w:w="925"/>
        <w:gridCol w:w="925"/>
      </w:tblGrid>
      <w:tr w:rsidR="006D69C5" w:rsidRPr="008D605C" w14:paraId="2D4B47C4" w14:textId="77777777" w:rsidTr="00A8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ED799D9" w14:textId="77777777" w:rsidR="006D69C5" w:rsidRPr="008D605C" w:rsidRDefault="006D69C5" w:rsidP="00A8286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ROC Model</w:t>
            </w:r>
          </w:p>
        </w:tc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035DC26" w14:textId="77777777" w:rsidR="006D69C5" w:rsidRPr="008D605C" w:rsidRDefault="006D69C5" w:rsidP="008D6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Mann-Whitney</w:t>
            </w:r>
          </w:p>
        </w:tc>
      </w:tr>
      <w:tr w:rsidR="008D605C" w:rsidRPr="008D605C" w14:paraId="31380A7A" w14:textId="77777777" w:rsidTr="008D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C0CF941" w14:textId="77777777" w:rsidR="006D69C5" w:rsidRPr="008D605C" w:rsidRDefault="006D69C5" w:rsidP="008D605C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8C30CAD" w14:textId="77777777" w:rsidR="006D69C5" w:rsidRPr="008D605C" w:rsidRDefault="006D69C5" w:rsidP="008D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DCA2F6D" w14:textId="77777777" w:rsidR="006D69C5" w:rsidRPr="008D605C" w:rsidRDefault="006D69C5" w:rsidP="008D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Standard</w:t>
            </w:r>
            <w:r w:rsidRPr="008D60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Error</w:t>
            </w:r>
          </w:p>
        </w:tc>
        <w:tc>
          <w:tcPr>
            <w:tcW w:w="0" w:type="auto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08A359F" w14:textId="77777777" w:rsidR="006D69C5" w:rsidRPr="008D605C" w:rsidRDefault="006D69C5" w:rsidP="008D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95% Wald</w:t>
            </w:r>
            <w:r w:rsidRPr="008D60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Confidence Limits</w:t>
            </w:r>
          </w:p>
        </w:tc>
      </w:tr>
      <w:tr w:rsidR="008D605C" w:rsidRPr="008D605C" w14:paraId="744FAEBE" w14:textId="77777777" w:rsidTr="008D605C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DF6AB82" w14:textId="77777777" w:rsidR="006D69C5" w:rsidRPr="008D605C" w:rsidRDefault="00914A89" w:rsidP="008D605C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 w:rsidRPr="000141E4">
              <w:rPr>
                <w:rFonts w:ascii="Arial" w:eastAsia="Times New Roman" w:hAnsi="Arial" w:cs="Arial"/>
                <w:bCs w:val="0"/>
                <w:sz w:val="16"/>
                <w:szCs w:val="16"/>
              </w:rPr>
              <w:t>FIB</w:t>
            </w:r>
            <w:r w:rsidR="006D69C5" w:rsidRPr="008D605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B1E751E" w14:textId="77777777" w:rsidR="006D69C5" w:rsidRPr="008D605C" w:rsidRDefault="006D69C5" w:rsidP="008D6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0.8360</w:t>
            </w:r>
          </w:p>
        </w:tc>
        <w:tc>
          <w:tcPr>
            <w:tcW w:w="0" w:type="auto"/>
            <w:shd w:val="clear" w:color="auto" w:fill="auto"/>
            <w:hideMark/>
          </w:tcPr>
          <w:p w14:paraId="2A7FC00A" w14:textId="77777777" w:rsidR="006D69C5" w:rsidRPr="008D605C" w:rsidRDefault="006D69C5" w:rsidP="008D6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0.0632</w:t>
            </w:r>
          </w:p>
        </w:tc>
        <w:tc>
          <w:tcPr>
            <w:tcW w:w="0" w:type="auto"/>
            <w:shd w:val="clear" w:color="auto" w:fill="auto"/>
            <w:hideMark/>
          </w:tcPr>
          <w:p w14:paraId="01F705B2" w14:textId="77777777" w:rsidR="006D69C5" w:rsidRPr="008D605C" w:rsidRDefault="006D69C5" w:rsidP="008D6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0.7121</w:t>
            </w:r>
          </w:p>
        </w:tc>
        <w:tc>
          <w:tcPr>
            <w:tcW w:w="0" w:type="auto"/>
            <w:shd w:val="clear" w:color="auto" w:fill="auto"/>
            <w:hideMark/>
          </w:tcPr>
          <w:p w14:paraId="7CA22AC4" w14:textId="77777777" w:rsidR="006D69C5" w:rsidRPr="008D605C" w:rsidRDefault="006D69C5" w:rsidP="008D6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0.9598</w:t>
            </w:r>
          </w:p>
        </w:tc>
      </w:tr>
      <w:tr w:rsidR="008D605C" w:rsidRPr="00D624F0" w14:paraId="6376FA8A" w14:textId="77777777" w:rsidTr="008D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FEFA470" w14:textId="77777777" w:rsidR="006D69C5" w:rsidRPr="008D605C" w:rsidRDefault="006D69C5" w:rsidP="008D605C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APRI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7842871" w14:textId="77777777" w:rsidR="006D69C5" w:rsidRPr="008D605C" w:rsidRDefault="006D69C5" w:rsidP="008D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0.7609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4104307" w14:textId="77777777" w:rsidR="006D69C5" w:rsidRPr="008D605C" w:rsidRDefault="006D69C5" w:rsidP="008D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0.0712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EE8446D" w14:textId="77777777" w:rsidR="006D69C5" w:rsidRPr="008D605C" w:rsidRDefault="006D69C5" w:rsidP="008D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0.6212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F95DE1D" w14:textId="77777777" w:rsidR="006D69C5" w:rsidRPr="00D624F0" w:rsidRDefault="006D69C5" w:rsidP="008D6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D605C">
              <w:rPr>
                <w:rFonts w:ascii="Arial" w:eastAsia="Times New Roman" w:hAnsi="Arial" w:cs="Arial"/>
                <w:sz w:val="16"/>
                <w:szCs w:val="16"/>
              </w:rPr>
              <w:t>0.9005</w:t>
            </w:r>
          </w:p>
        </w:tc>
      </w:tr>
    </w:tbl>
    <w:tbl>
      <w:tblPr>
        <w:tblStyle w:val="LightShading"/>
        <w:tblpPr w:leftFromText="180" w:rightFromText="180" w:vertAnchor="text" w:horzAnchor="page" w:tblpX="6453" w:tblpY="4945"/>
        <w:tblW w:w="5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Procedure Logistic: ROC Association Statistics"/>
      </w:tblPr>
      <w:tblGrid>
        <w:gridCol w:w="1259"/>
        <w:gridCol w:w="824"/>
        <w:gridCol w:w="1062"/>
        <w:gridCol w:w="936"/>
        <w:gridCol w:w="936"/>
      </w:tblGrid>
      <w:tr w:rsidR="006D69C5" w:rsidRPr="00A82867" w14:paraId="45DFBBD4" w14:textId="77777777" w:rsidTr="00A8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67671A6" w14:textId="77777777" w:rsidR="006D69C5" w:rsidRPr="00A82867" w:rsidRDefault="006D69C5" w:rsidP="00A8286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ROC Model</w:t>
            </w:r>
          </w:p>
        </w:tc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F2CE42" w14:textId="77777777" w:rsidR="006D69C5" w:rsidRPr="00A82867" w:rsidRDefault="006D69C5" w:rsidP="00914A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Mann-Whitney</w:t>
            </w:r>
          </w:p>
        </w:tc>
      </w:tr>
      <w:tr w:rsidR="00A82867" w:rsidRPr="00A82867" w14:paraId="4C42D988" w14:textId="77777777" w:rsidTr="00A8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14:paraId="3335858A" w14:textId="77777777" w:rsidR="006D69C5" w:rsidRPr="00A82867" w:rsidRDefault="006D69C5" w:rsidP="00914A89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750CA96" w14:textId="77777777" w:rsidR="006D69C5" w:rsidRPr="00A82867" w:rsidRDefault="006D69C5" w:rsidP="0091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178B2F5" w14:textId="77777777" w:rsidR="006D69C5" w:rsidRPr="00A82867" w:rsidRDefault="006D69C5" w:rsidP="0091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Standard</w:t>
            </w:r>
            <w:r w:rsidRPr="00A8286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Error</w:t>
            </w:r>
          </w:p>
        </w:tc>
        <w:tc>
          <w:tcPr>
            <w:tcW w:w="0" w:type="auto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E76525E" w14:textId="77777777" w:rsidR="006D69C5" w:rsidRPr="00A82867" w:rsidRDefault="006D69C5" w:rsidP="0091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95% Wald</w:t>
            </w:r>
            <w:r w:rsidRPr="00A8286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Confidence Limits</w:t>
            </w:r>
          </w:p>
        </w:tc>
      </w:tr>
      <w:tr w:rsidR="00A82867" w:rsidRPr="00A82867" w14:paraId="7B05C2FA" w14:textId="77777777" w:rsidTr="00A82867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BA01A23" w14:textId="77777777" w:rsidR="006D69C5" w:rsidRPr="00A82867" w:rsidRDefault="00A82867" w:rsidP="00914A89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FIB</w:t>
            </w:r>
            <w:r w:rsidR="006D69C5" w:rsidRPr="00A8286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817817E" w14:textId="77777777" w:rsidR="006D69C5" w:rsidRPr="00A82867" w:rsidRDefault="006D69C5" w:rsidP="0091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0.8634</w:t>
            </w:r>
          </w:p>
        </w:tc>
        <w:tc>
          <w:tcPr>
            <w:tcW w:w="0" w:type="auto"/>
            <w:shd w:val="clear" w:color="auto" w:fill="auto"/>
            <w:hideMark/>
          </w:tcPr>
          <w:p w14:paraId="08CF6AE9" w14:textId="77777777" w:rsidR="006D69C5" w:rsidRPr="00A82867" w:rsidRDefault="006D69C5" w:rsidP="0091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0.0527</w:t>
            </w:r>
          </w:p>
        </w:tc>
        <w:tc>
          <w:tcPr>
            <w:tcW w:w="0" w:type="auto"/>
            <w:shd w:val="clear" w:color="auto" w:fill="auto"/>
            <w:hideMark/>
          </w:tcPr>
          <w:p w14:paraId="18451F99" w14:textId="77777777" w:rsidR="006D69C5" w:rsidRPr="00A82867" w:rsidRDefault="006D69C5" w:rsidP="0091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0.7602</w:t>
            </w:r>
          </w:p>
        </w:tc>
        <w:tc>
          <w:tcPr>
            <w:tcW w:w="0" w:type="auto"/>
            <w:shd w:val="clear" w:color="auto" w:fill="auto"/>
            <w:hideMark/>
          </w:tcPr>
          <w:p w14:paraId="2ED9F7D7" w14:textId="77777777" w:rsidR="006D69C5" w:rsidRPr="00A82867" w:rsidRDefault="006D69C5" w:rsidP="0091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0.9667</w:t>
            </w:r>
          </w:p>
        </w:tc>
      </w:tr>
      <w:tr w:rsidR="00A82867" w:rsidRPr="00D624F0" w14:paraId="4C7BAEB4" w14:textId="77777777" w:rsidTr="00A8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715E2CA" w14:textId="77777777" w:rsidR="006D69C5" w:rsidRPr="00A82867" w:rsidRDefault="006D69C5" w:rsidP="00914A89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APRI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DAA1D80" w14:textId="77777777" w:rsidR="006D69C5" w:rsidRPr="00A82867" w:rsidRDefault="006D69C5" w:rsidP="0091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0.7983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23A813B" w14:textId="77777777" w:rsidR="006D69C5" w:rsidRPr="00A82867" w:rsidRDefault="006D69C5" w:rsidP="0091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0.0699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97C8416" w14:textId="77777777" w:rsidR="006D69C5" w:rsidRPr="00A82867" w:rsidRDefault="006D69C5" w:rsidP="0091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0.6612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8E3F6B1" w14:textId="77777777" w:rsidR="006D69C5" w:rsidRPr="00A82867" w:rsidRDefault="006D69C5" w:rsidP="0091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A82867">
              <w:rPr>
                <w:rFonts w:ascii="Arial" w:eastAsia="Times New Roman" w:hAnsi="Arial" w:cs="Arial"/>
                <w:sz w:val="16"/>
                <w:szCs w:val="16"/>
              </w:rPr>
              <w:t>0.9354</w:t>
            </w:r>
          </w:p>
        </w:tc>
      </w:tr>
    </w:tbl>
    <w:p w14:paraId="3FEA1764" w14:textId="77777777" w:rsidR="006D69C5" w:rsidRDefault="006D69C5" w:rsidP="008D605C">
      <w:pPr>
        <w:ind w:firstLine="720"/>
      </w:pPr>
      <w:r>
        <w:rPr>
          <w:noProof/>
        </w:rPr>
        <w:t xml:space="preserve"> </w:t>
      </w:r>
      <w:r>
        <w:rPr>
          <w:noProof/>
          <w:lang w:eastAsia="en-US"/>
        </w:rPr>
        <w:drawing>
          <wp:inline distT="0" distB="0" distL="0" distR="0" wp14:anchorId="13221099" wp14:editId="1CE382E5">
            <wp:extent cx="2800350" cy="2800350"/>
            <wp:effectExtent l="0" t="0" r="0" b="0"/>
            <wp:docPr id="4" name="Picture 4" descr="C:\Users\jli4\AppData\Local\Microsoft\Windows\Temporary Internet Files\Content.Word\ROCOverl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4\AppData\Local\Microsoft\Windows\Temporary Internet Files\Content.Word\ROCOverlay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99" cy="28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8CB">
        <w:t xml:space="preserve"> </w:t>
      </w:r>
      <w:r>
        <w:rPr>
          <w:noProof/>
          <w:lang w:eastAsia="en-US"/>
        </w:rPr>
        <w:drawing>
          <wp:inline distT="0" distB="0" distL="0" distR="0" wp14:anchorId="5F213F57" wp14:editId="1987D6A2">
            <wp:extent cx="2819400" cy="2819400"/>
            <wp:effectExtent l="0" t="0" r="0" b="0"/>
            <wp:docPr id="5" name="Picture 5" descr="C:\Users\jli4\AppData\Local\Microsoft\Windows\Temporary Internet Files\Content.Word\ROCOverlay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i4\AppData\Local\Microsoft\Windows\Temporary Internet Files\Content.Word\ROCOverlay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66" cy="283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9C5" w:rsidSect="006606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9A3"/>
    <w:multiLevelType w:val="hybridMultilevel"/>
    <w:tmpl w:val="15A25D1A"/>
    <w:lvl w:ilvl="0" w:tplc="7B469D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2A6D"/>
    <w:multiLevelType w:val="hybridMultilevel"/>
    <w:tmpl w:val="C596B5AE"/>
    <w:lvl w:ilvl="0" w:tplc="2E5CF41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87E6C22"/>
    <w:multiLevelType w:val="hybridMultilevel"/>
    <w:tmpl w:val="F482C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F6F21"/>
    <w:multiLevelType w:val="hybridMultilevel"/>
    <w:tmpl w:val="813EB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A42EE"/>
    <w:multiLevelType w:val="hybridMultilevel"/>
    <w:tmpl w:val="FDCAD44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4A71"/>
    <w:multiLevelType w:val="hybridMultilevel"/>
    <w:tmpl w:val="813EB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46"/>
    <w:rsid w:val="000141E4"/>
    <w:rsid w:val="00094E8B"/>
    <w:rsid w:val="000D5B84"/>
    <w:rsid w:val="000E29DF"/>
    <w:rsid w:val="000F5059"/>
    <w:rsid w:val="00112967"/>
    <w:rsid w:val="00114E8D"/>
    <w:rsid w:val="00127810"/>
    <w:rsid w:val="001F57F2"/>
    <w:rsid w:val="001F6746"/>
    <w:rsid w:val="002168CB"/>
    <w:rsid w:val="00222A2F"/>
    <w:rsid w:val="00263C64"/>
    <w:rsid w:val="002D36F2"/>
    <w:rsid w:val="00387742"/>
    <w:rsid w:val="003E38D3"/>
    <w:rsid w:val="00422EC3"/>
    <w:rsid w:val="004272E1"/>
    <w:rsid w:val="004D7B5B"/>
    <w:rsid w:val="00514126"/>
    <w:rsid w:val="005E4C24"/>
    <w:rsid w:val="00646175"/>
    <w:rsid w:val="0064764E"/>
    <w:rsid w:val="0066061A"/>
    <w:rsid w:val="00697405"/>
    <w:rsid w:val="006A03D8"/>
    <w:rsid w:val="006C4269"/>
    <w:rsid w:val="006D69C5"/>
    <w:rsid w:val="006E76A7"/>
    <w:rsid w:val="00712A65"/>
    <w:rsid w:val="00734390"/>
    <w:rsid w:val="00794BBD"/>
    <w:rsid w:val="007B7BBC"/>
    <w:rsid w:val="007D051C"/>
    <w:rsid w:val="007E7655"/>
    <w:rsid w:val="007F5FA1"/>
    <w:rsid w:val="008145FA"/>
    <w:rsid w:val="00892FEF"/>
    <w:rsid w:val="008A51A3"/>
    <w:rsid w:val="008D605C"/>
    <w:rsid w:val="008E503E"/>
    <w:rsid w:val="00914A89"/>
    <w:rsid w:val="009244F4"/>
    <w:rsid w:val="00A37F34"/>
    <w:rsid w:val="00A754D7"/>
    <w:rsid w:val="00A82867"/>
    <w:rsid w:val="00AA1C75"/>
    <w:rsid w:val="00BA2A6B"/>
    <w:rsid w:val="00C17840"/>
    <w:rsid w:val="00C9676A"/>
    <w:rsid w:val="00D00995"/>
    <w:rsid w:val="00D36072"/>
    <w:rsid w:val="00D624F0"/>
    <w:rsid w:val="00E01184"/>
    <w:rsid w:val="00E34EFF"/>
    <w:rsid w:val="00EF0214"/>
    <w:rsid w:val="00EF5BC7"/>
    <w:rsid w:val="00F37C45"/>
    <w:rsid w:val="00F5620C"/>
    <w:rsid w:val="00FA12B3"/>
    <w:rsid w:val="00F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E478"/>
  <w15:docId w15:val="{5E64A43F-59D7-4B66-9B90-5ACB969E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8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D60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37F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53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463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Jia</dc:creator>
  <cp:lastModifiedBy>Holmberg, Scott (CDC/OID/NCHHSTP)</cp:lastModifiedBy>
  <cp:revision>2</cp:revision>
  <dcterms:created xsi:type="dcterms:W3CDTF">2017-11-01T13:02:00Z</dcterms:created>
  <dcterms:modified xsi:type="dcterms:W3CDTF">2017-11-01T13:02:00Z</dcterms:modified>
</cp:coreProperties>
</file>