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A0" w:rsidRDefault="003F0DA0" w:rsidP="0068165C">
      <w:pPr>
        <w:pStyle w:val="TESupportingInformation"/>
        <w:spacing w:line="360" w:lineRule="auto"/>
      </w:pPr>
      <w:r>
        <w:t>Supporting Material</w:t>
      </w:r>
    </w:p>
    <w:p w:rsidR="003F0DA0" w:rsidRPr="00992891" w:rsidRDefault="003F0DA0" w:rsidP="0068165C">
      <w:pPr>
        <w:spacing w:line="360" w:lineRule="auto"/>
      </w:pPr>
    </w:p>
    <w:p w:rsidR="003F0DA0" w:rsidRDefault="003F0DA0" w:rsidP="009D5E75">
      <w:pPr>
        <w:pStyle w:val="BATitle"/>
        <w:spacing w:line="240" w:lineRule="auto"/>
      </w:pPr>
      <w:r>
        <w:t>Measurement of Urinary Benzo[a]pyrene Tetrols and Their Relationship to Other PAH Metabolites and Cotinine in Humans</w:t>
      </w:r>
    </w:p>
    <w:p w:rsidR="003F0DA0" w:rsidRDefault="003F0DA0" w:rsidP="009D5E75">
      <w:pPr>
        <w:pStyle w:val="BBAuthorName"/>
        <w:spacing w:line="240" w:lineRule="auto"/>
        <w:jc w:val="left"/>
      </w:pPr>
      <w:r>
        <w:t xml:space="preserve">Donald C. Hilton*, Debra A. Trinidad, Kendra Hubbard, Zheng Li, </w:t>
      </w:r>
      <w:r w:rsidRPr="00335BAE">
        <w:t>Andreas Sjöd</w:t>
      </w:r>
      <w:r>
        <w:t>in</w:t>
      </w:r>
    </w:p>
    <w:p w:rsidR="003F0DA0" w:rsidRDefault="003F0DA0" w:rsidP="009D5E75">
      <w:pPr>
        <w:pStyle w:val="BCAuthorAddress"/>
        <w:spacing w:line="240" w:lineRule="auto"/>
        <w:jc w:val="left"/>
        <w:rPr>
          <w:rFonts w:ascii="Times New Roman" w:hAnsi="Times New Roman"/>
        </w:rPr>
      </w:pPr>
      <w:r w:rsidRPr="00E636B6">
        <w:rPr>
          <w:rFonts w:ascii="Times New Roman" w:hAnsi="Times New Roman"/>
        </w:rPr>
        <w:t>Centers for Disease Control and Prevention, 4770 Buford Highway, Atlanta, GA 30</w:t>
      </w:r>
      <w:r>
        <w:rPr>
          <w:rFonts w:ascii="Times New Roman" w:hAnsi="Times New Roman"/>
        </w:rPr>
        <w:t>341</w:t>
      </w:r>
    </w:p>
    <w:p w:rsidR="003F0DA0" w:rsidRDefault="003F0DA0" w:rsidP="009D5E75">
      <w:pPr>
        <w:pStyle w:val="AIReceivedDate"/>
        <w:spacing w:line="240" w:lineRule="auto"/>
      </w:pPr>
    </w:p>
    <w:p w:rsidR="009D5E75" w:rsidRDefault="009D5E75" w:rsidP="009D5E75">
      <w:pPr>
        <w:pStyle w:val="BDAbstract"/>
      </w:pPr>
    </w:p>
    <w:p w:rsidR="009D5E75" w:rsidRDefault="009D5E75" w:rsidP="009D5E75">
      <w:pPr>
        <w:pStyle w:val="TAMainText"/>
      </w:pPr>
    </w:p>
    <w:p w:rsidR="009D5E75" w:rsidRDefault="009D5E75" w:rsidP="009D5E75">
      <w:pPr>
        <w:pStyle w:val="TAMainText"/>
      </w:pPr>
    </w:p>
    <w:p w:rsidR="009D5E75" w:rsidRDefault="009D5E75" w:rsidP="009D5E75">
      <w:pPr>
        <w:pStyle w:val="TAMainText"/>
      </w:pPr>
    </w:p>
    <w:p w:rsidR="009D5E75" w:rsidRDefault="009D5E75" w:rsidP="009D5E75">
      <w:pPr>
        <w:pStyle w:val="TAMainText"/>
      </w:pPr>
    </w:p>
    <w:p w:rsidR="009D5E75" w:rsidRPr="009D5E75" w:rsidRDefault="009D5E75" w:rsidP="009D5E75">
      <w:pPr>
        <w:pStyle w:val="TAMainText"/>
      </w:pPr>
    </w:p>
    <w:p w:rsidR="0068165C" w:rsidRDefault="0068165C" w:rsidP="009D5E75">
      <w:pPr>
        <w:pStyle w:val="BDAbstract"/>
        <w:spacing w:line="240" w:lineRule="auto"/>
      </w:pPr>
    </w:p>
    <w:p w:rsidR="0068165C" w:rsidRDefault="0068165C" w:rsidP="009D5E75">
      <w:pPr>
        <w:pStyle w:val="TAMainText"/>
        <w:spacing w:line="240" w:lineRule="auto"/>
      </w:pPr>
    </w:p>
    <w:p w:rsidR="0068165C" w:rsidRDefault="0068165C" w:rsidP="009D5E75">
      <w:pPr>
        <w:pStyle w:val="TAMainText"/>
        <w:spacing w:line="240" w:lineRule="auto"/>
      </w:pPr>
    </w:p>
    <w:p w:rsidR="0068165C" w:rsidRDefault="0068165C" w:rsidP="009D5E75">
      <w:pPr>
        <w:pStyle w:val="TAMainText"/>
        <w:spacing w:line="240" w:lineRule="auto"/>
      </w:pPr>
    </w:p>
    <w:p w:rsidR="0068165C" w:rsidRPr="0068165C" w:rsidRDefault="0068165C" w:rsidP="009D5E75">
      <w:pPr>
        <w:pStyle w:val="TAMainText"/>
        <w:spacing w:line="240" w:lineRule="auto"/>
      </w:pPr>
    </w:p>
    <w:p w:rsidR="003F0DA0" w:rsidRPr="008F0E75" w:rsidRDefault="003F0DA0" w:rsidP="009D5E75">
      <w:pPr>
        <w:pStyle w:val="FAAuthorInfoSubtitle"/>
        <w:spacing w:line="240" w:lineRule="auto"/>
      </w:pPr>
      <w:r w:rsidRPr="008F0E75">
        <w:t>*Corresponding Author</w:t>
      </w:r>
    </w:p>
    <w:p w:rsidR="003F0DA0" w:rsidRDefault="003F0DA0" w:rsidP="009D5E75">
      <w:pPr>
        <w:pStyle w:val="FACorrespondingAuthorFootnote"/>
        <w:spacing w:after="0" w:line="240" w:lineRule="auto"/>
        <w:ind w:firstLine="720"/>
        <w:jc w:val="left"/>
      </w:pPr>
      <w:r w:rsidRPr="00921169">
        <w:t>Donald C. Hilton</w:t>
      </w:r>
    </w:p>
    <w:p w:rsidR="003F0DA0" w:rsidRDefault="003F0DA0" w:rsidP="009D5E75">
      <w:pPr>
        <w:pStyle w:val="TAMainText"/>
        <w:spacing w:line="240" w:lineRule="auto"/>
        <w:ind w:firstLine="720"/>
        <w:jc w:val="left"/>
      </w:pPr>
      <w:r>
        <w:t>National Center for Environmental Health</w:t>
      </w:r>
      <w:r>
        <w:tab/>
      </w:r>
    </w:p>
    <w:p w:rsidR="003F0DA0" w:rsidRDefault="003F0DA0" w:rsidP="009D5E75">
      <w:pPr>
        <w:pStyle w:val="TAMainText"/>
        <w:spacing w:line="240" w:lineRule="auto"/>
        <w:ind w:firstLine="720"/>
        <w:jc w:val="left"/>
      </w:pPr>
      <w:r>
        <w:t>Centers for Disease Control and Prevention</w:t>
      </w:r>
    </w:p>
    <w:p w:rsidR="00CE6637" w:rsidRDefault="003F0DA0" w:rsidP="009D5E75">
      <w:pPr>
        <w:pStyle w:val="FACorrespondingAuthorFootnote"/>
        <w:spacing w:after="0" w:line="240" w:lineRule="auto"/>
        <w:ind w:firstLine="720"/>
        <w:jc w:val="left"/>
      </w:pPr>
      <w:r>
        <w:t>4770 Buford Highway NE, Atlanta, GA 30341, USA</w:t>
      </w:r>
    </w:p>
    <w:p w:rsidR="003F0DA0" w:rsidRDefault="003F0DA0" w:rsidP="009D5E75">
      <w:pPr>
        <w:pStyle w:val="FACorrespondingAuthorFootnote"/>
        <w:spacing w:after="0" w:line="240" w:lineRule="auto"/>
        <w:ind w:firstLine="720"/>
        <w:jc w:val="left"/>
        <w:rPr>
          <w:rStyle w:val="Hyperlink"/>
        </w:rPr>
      </w:pPr>
      <w:r w:rsidRPr="008F0E75">
        <w:t xml:space="preserve">E-mail: </w:t>
      </w:r>
      <w:hyperlink r:id="rId7" w:history="1">
        <w:r w:rsidRPr="008F0E75">
          <w:rPr>
            <w:rStyle w:val="Hyperlink"/>
          </w:rPr>
          <w:t>DHilton@cdc.gov</w:t>
        </w:r>
      </w:hyperlink>
    </w:p>
    <w:p w:rsidR="003F0DA0" w:rsidRPr="00F20F59" w:rsidRDefault="003F0DA0" w:rsidP="009D5E75">
      <w:pPr>
        <w:pStyle w:val="TAMainText"/>
        <w:spacing w:line="240" w:lineRule="auto"/>
      </w:pPr>
      <w:r>
        <w:tab/>
        <w:t>Tel. +1 770-488-4207</w:t>
      </w:r>
      <w:r w:rsidRPr="00F20F59">
        <w:t xml:space="preserve"> </w:t>
      </w:r>
      <w:r w:rsidRPr="008F0E75">
        <w:t>Fax: +1 770-488-0142</w:t>
      </w:r>
    </w:p>
    <w:p w:rsidR="003F0DA0" w:rsidRDefault="003F0DA0" w:rsidP="0068165C">
      <w:pPr>
        <w:pStyle w:val="VDTableTitle"/>
        <w:keepNext/>
        <w:spacing w:line="360" w:lineRule="auto"/>
        <w:rPr>
          <w:b/>
          <w:bCs/>
        </w:rPr>
      </w:pPr>
    </w:p>
    <w:p w:rsidR="003F0DA0" w:rsidRPr="004D7368" w:rsidRDefault="003F0DA0" w:rsidP="0068165C">
      <w:pPr>
        <w:spacing w:line="360" w:lineRule="auto"/>
        <w:sectPr w:rsidR="003F0DA0" w:rsidRPr="004D7368" w:rsidSect="008B0F5F">
          <w:footerReference w:type="even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3F0DA0" w:rsidRPr="007C4E32" w:rsidRDefault="003F0DA0" w:rsidP="0068165C">
      <w:pPr>
        <w:spacing w:line="360" w:lineRule="auto"/>
      </w:pPr>
    </w:p>
    <w:p w:rsidR="003F0DA0" w:rsidRDefault="003F0DA0" w:rsidP="009D5E75">
      <w:pPr>
        <w:pStyle w:val="VDTableTitle"/>
        <w:keepNext/>
        <w:spacing w:line="240" w:lineRule="auto"/>
      </w:pPr>
      <w:r>
        <w:rPr>
          <w:b/>
          <w:bCs/>
        </w:rPr>
        <w:t>Table S1</w:t>
      </w:r>
      <w:r>
        <w:t xml:space="preserve"> Demographics of Study Participants. </w:t>
      </w:r>
    </w:p>
    <w:tbl>
      <w:tblPr>
        <w:tblpPr w:leftFromText="180" w:rightFromText="180" w:vertAnchor="text" w:tblpY="1"/>
        <w:tblOverlap w:val="never"/>
        <w:tblW w:w="7488" w:type="dxa"/>
        <w:tblLook w:val="04A0" w:firstRow="1" w:lastRow="0" w:firstColumn="1" w:lastColumn="0" w:noHBand="0" w:noVBand="1"/>
      </w:tblPr>
      <w:tblGrid>
        <w:gridCol w:w="1665"/>
        <w:gridCol w:w="2232"/>
        <w:gridCol w:w="900"/>
        <w:gridCol w:w="923"/>
        <w:gridCol w:w="810"/>
        <w:gridCol w:w="958"/>
      </w:tblGrid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Smoker</w:t>
            </w:r>
          </w:p>
        </w:tc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Non-Smoker</w:t>
            </w:r>
            <w:r>
              <w:rPr>
                <w:vertAlign w:val="superscript"/>
              </w:rPr>
              <w:t xml:space="preserve"> a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Male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Female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Male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Female</w:t>
            </w:r>
          </w:p>
        </w:tc>
      </w:tr>
      <w:tr w:rsidR="003F0DA0" w:rsidRPr="00114651" w:rsidTr="00D652AA">
        <w:trPr>
          <w:trHeight w:val="150"/>
        </w:trPr>
        <w:tc>
          <w:tcPr>
            <w:tcW w:w="1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Caucasian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1</w:t>
            </w:r>
            <w:r>
              <w:t>4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Age Range (years)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18-53</w:t>
            </w:r>
          </w:p>
        </w:tc>
        <w:tc>
          <w:tcPr>
            <w:tcW w:w="9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21-63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19-47</w:t>
            </w:r>
          </w:p>
        </w:tc>
        <w:tc>
          <w:tcPr>
            <w:tcW w:w="9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19-65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Median Age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22.5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23.5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25</w:t>
            </w:r>
            <w:r>
              <w:t>.5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</w:t>
            </w:r>
            <w:r>
              <w:t>6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Asian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3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Age Range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22-75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Median Age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47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Hispanic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1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Age Range (years)</w:t>
            </w:r>
          </w:p>
        </w:tc>
        <w:tc>
          <w:tcPr>
            <w:tcW w:w="9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2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59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Median Age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59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Black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--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Age Range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23-23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Median Age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  <w:r w:rsidRPr="00114651"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DA0" w:rsidRPr="00114651" w:rsidRDefault="003F0DA0" w:rsidP="009D5E75">
            <w:pPr>
              <w:pStyle w:val="TCTableBody"/>
            </w:pP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ALL</w:t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N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20</w:t>
            </w:r>
          </w:p>
        </w:tc>
        <w:tc>
          <w:tcPr>
            <w:tcW w:w="923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10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8</w:t>
            </w:r>
          </w:p>
        </w:tc>
        <w:tc>
          <w:tcPr>
            <w:tcW w:w="958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18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Age Range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18-53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21-63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19-47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19-75</w:t>
            </w:r>
          </w:p>
        </w:tc>
      </w:tr>
      <w:tr w:rsidR="003F0DA0" w:rsidRPr="00114651" w:rsidTr="00D652AA">
        <w:trPr>
          <w:trHeight w:val="300"/>
        </w:trPr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 w:rsidRPr="00114651">
              <w:t>Median Age (years)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23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23.5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25.5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DA0" w:rsidRPr="00114651" w:rsidRDefault="003F0DA0" w:rsidP="009D5E75">
            <w:pPr>
              <w:pStyle w:val="TCTableBody"/>
            </w:pPr>
            <w:r>
              <w:t>34.5</w:t>
            </w:r>
          </w:p>
        </w:tc>
      </w:tr>
    </w:tbl>
    <w:p w:rsidR="003F0DA0" w:rsidRDefault="003F0DA0" w:rsidP="0068165C">
      <w:pPr>
        <w:pStyle w:val="FETableFootnote"/>
      </w:pPr>
      <w:r>
        <w:br w:type="textWrapping" w:clear="all"/>
      </w:r>
      <w:proofErr w:type="gramStart"/>
      <w:r>
        <w:rPr>
          <w:vertAlign w:val="superscript"/>
        </w:rPr>
        <w:t>a</w:t>
      </w:r>
      <w:proofErr w:type="gramEnd"/>
      <w:r w:rsidRPr="00B22B2F">
        <w:t xml:space="preserve"> </w:t>
      </w:r>
      <w:r>
        <w:t>Four nonsmoking subjects were excluded from the data analysis because cotinine in urine indicated noncompliance (cotinine &gt; 100 ng/mL).</w:t>
      </w:r>
    </w:p>
    <w:p w:rsidR="003F0DA0" w:rsidRDefault="003F0DA0" w:rsidP="0068165C">
      <w:pPr>
        <w:pStyle w:val="TAMainText"/>
        <w:spacing w:line="360" w:lineRule="auto"/>
      </w:pPr>
    </w:p>
    <w:p w:rsidR="003F0DA0" w:rsidRDefault="003F0DA0" w:rsidP="0068165C">
      <w:pPr>
        <w:pStyle w:val="TAMainText"/>
        <w:spacing w:line="360" w:lineRule="auto"/>
      </w:pPr>
    </w:p>
    <w:p w:rsidR="003F0DA0" w:rsidRDefault="003F0DA0" w:rsidP="0068165C">
      <w:pPr>
        <w:pStyle w:val="TAMainText"/>
        <w:spacing w:line="360" w:lineRule="auto"/>
      </w:pPr>
    </w:p>
    <w:p w:rsidR="003F0DA0" w:rsidRDefault="003F0DA0" w:rsidP="0068165C">
      <w:pPr>
        <w:pStyle w:val="TAMainText"/>
        <w:spacing w:line="360" w:lineRule="auto"/>
      </w:pPr>
    </w:p>
    <w:p w:rsidR="003F0DA0" w:rsidRDefault="003F0DA0" w:rsidP="0068165C">
      <w:pPr>
        <w:pStyle w:val="TAMainText"/>
        <w:spacing w:line="360" w:lineRule="auto"/>
      </w:pPr>
    </w:p>
    <w:p w:rsidR="003F0DA0" w:rsidRDefault="003F0DA0" w:rsidP="009D5E75">
      <w:pPr>
        <w:pStyle w:val="VDTableTitle"/>
        <w:keepNext/>
        <w:spacing w:line="240" w:lineRule="auto"/>
      </w:pPr>
      <w:r>
        <w:rPr>
          <w:b/>
        </w:rPr>
        <w:lastRenderedPageBreak/>
        <w:t>Table S2</w:t>
      </w:r>
      <w:r>
        <w:t>, Instrumental Conditions used for GC/MS analysis.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"/>
        <w:gridCol w:w="191"/>
        <w:gridCol w:w="612"/>
        <w:gridCol w:w="18"/>
        <w:gridCol w:w="1413"/>
        <w:gridCol w:w="1647"/>
        <w:gridCol w:w="709"/>
        <w:gridCol w:w="371"/>
        <w:gridCol w:w="1080"/>
        <w:gridCol w:w="180"/>
        <w:gridCol w:w="1440"/>
        <w:gridCol w:w="1638"/>
      </w:tblGrid>
      <w:tr w:rsidR="003F0DA0" w:rsidTr="001C7AF3">
        <w:tc>
          <w:tcPr>
            <w:tcW w:w="9576" w:type="dxa"/>
            <w:gridSpan w:val="12"/>
          </w:tcPr>
          <w:p w:rsidR="003F0DA0" w:rsidRDefault="003F0DA0" w:rsidP="0068165C">
            <w:pPr>
              <w:pStyle w:val="TCTableBody"/>
            </w:pPr>
            <w:r>
              <w:t>Trace GC</w:t>
            </w:r>
          </w:p>
        </w:tc>
      </w:tr>
      <w:tr w:rsidR="003F0DA0" w:rsidTr="001C7AF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9299" w:type="dxa"/>
            <w:gridSpan w:val="11"/>
          </w:tcPr>
          <w:p w:rsidR="003F0DA0" w:rsidRDefault="003F0DA0" w:rsidP="0068165C">
            <w:pPr>
              <w:pStyle w:val="TCTableBody"/>
            </w:pPr>
            <w:r>
              <w:t>Oven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Ramp Rate</w:t>
            </w:r>
          </w:p>
        </w:tc>
        <w:tc>
          <w:tcPr>
            <w:tcW w:w="2356" w:type="dxa"/>
            <w:gridSpan w:val="2"/>
          </w:tcPr>
          <w:p w:rsidR="003F0DA0" w:rsidRDefault="003F0DA0" w:rsidP="0068165C">
            <w:pPr>
              <w:pStyle w:val="TCTableBody"/>
            </w:pPr>
            <w:r>
              <w:t>Final Temperature</w:t>
            </w:r>
          </w:p>
        </w:tc>
        <w:tc>
          <w:tcPr>
            <w:tcW w:w="4709" w:type="dxa"/>
            <w:gridSpan w:val="5"/>
          </w:tcPr>
          <w:p w:rsidR="003F0DA0" w:rsidRDefault="003F0DA0" w:rsidP="0068165C">
            <w:pPr>
              <w:pStyle w:val="TCTableBody"/>
            </w:pPr>
            <w:r>
              <w:t>Hold Time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--</w:t>
            </w:r>
          </w:p>
        </w:tc>
        <w:tc>
          <w:tcPr>
            <w:tcW w:w="2356" w:type="dxa"/>
            <w:gridSpan w:val="2"/>
          </w:tcPr>
          <w:p w:rsidR="003F0DA0" w:rsidRDefault="003F0DA0" w:rsidP="0068165C">
            <w:pPr>
              <w:pStyle w:val="TCTableBody"/>
            </w:pPr>
            <w:r>
              <w:t xml:space="preserve">70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  <w:tc>
          <w:tcPr>
            <w:tcW w:w="4709" w:type="dxa"/>
            <w:gridSpan w:val="5"/>
          </w:tcPr>
          <w:p w:rsidR="003F0DA0" w:rsidRDefault="003F0DA0" w:rsidP="0068165C">
            <w:pPr>
              <w:pStyle w:val="TCTableBody"/>
            </w:pPr>
            <w:r>
              <w:t>3.5 min</w:t>
            </w:r>
          </w:p>
        </w:tc>
      </w:tr>
      <w:tr w:rsidR="003F0DA0" w:rsidTr="00C34D89"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3F0DA0" w:rsidRDefault="003F0DA0" w:rsidP="0068165C">
            <w:pPr>
              <w:pStyle w:val="TCTableBody"/>
            </w:pPr>
            <w:r>
              <w:t xml:space="preserve">30 </w:t>
            </w:r>
            <w:r>
              <w:rPr>
                <w:rFonts w:cs="Times"/>
              </w:rPr>
              <w:t>°</w:t>
            </w:r>
            <w:r>
              <w:t>C/min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</w:tcPr>
          <w:p w:rsidR="003F0DA0" w:rsidRDefault="003F0DA0" w:rsidP="0068165C">
            <w:pPr>
              <w:pStyle w:val="TCTableBody"/>
            </w:pPr>
            <w:r>
              <w:t xml:space="preserve">310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  <w:tc>
          <w:tcPr>
            <w:tcW w:w="4709" w:type="dxa"/>
            <w:gridSpan w:val="5"/>
            <w:tcBorders>
              <w:bottom w:val="single" w:sz="4" w:space="0" w:color="auto"/>
            </w:tcBorders>
          </w:tcPr>
          <w:p w:rsidR="003F0DA0" w:rsidRDefault="003F0DA0" w:rsidP="0068165C">
            <w:pPr>
              <w:pStyle w:val="TCTableBody"/>
            </w:pPr>
            <w:r>
              <w:t>6.0 min</w:t>
            </w:r>
          </w:p>
        </w:tc>
      </w:tr>
      <w:tr w:rsidR="003F0DA0" w:rsidTr="00C34D89">
        <w:tc>
          <w:tcPr>
            <w:tcW w:w="277" w:type="dxa"/>
            <w:tcBorders>
              <w:right w:val="nil"/>
            </w:tcBorders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9299" w:type="dxa"/>
            <w:gridSpan w:val="11"/>
            <w:tcBorders>
              <w:left w:val="nil"/>
            </w:tcBorders>
          </w:tcPr>
          <w:p w:rsidR="003F0DA0" w:rsidRDefault="003F0DA0" w:rsidP="0068165C">
            <w:pPr>
              <w:pStyle w:val="TCTableBody"/>
            </w:pPr>
            <w:r>
              <w:t xml:space="preserve">PTV 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Base Temperature: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70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Split Flow: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20 ml/min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proofErr w:type="spellStart"/>
            <w:r>
              <w:t>Splitless</w:t>
            </w:r>
            <w:proofErr w:type="spellEnd"/>
            <w:r>
              <w:t xml:space="preserve"> Time: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2.00 min</w:t>
            </w:r>
          </w:p>
        </w:tc>
      </w:tr>
      <w:tr w:rsidR="003F0DA0" w:rsidTr="00B466D3">
        <w:trPr>
          <w:trHeight w:val="593"/>
        </w:trPr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Solvent Valve Temperature: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140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647" w:type="dxa"/>
          </w:tcPr>
          <w:p w:rsidR="003F0DA0" w:rsidRDefault="003F0DA0" w:rsidP="0068165C">
            <w:pPr>
              <w:pStyle w:val="TCTableBody"/>
            </w:pPr>
            <w:r>
              <w:t>Pressure (</w:t>
            </w:r>
            <w:proofErr w:type="spellStart"/>
            <w:r>
              <w:t>kPa</w:t>
            </w:r>
            <w:proofErr w:type="spellEnd"/>
            <w:r>
              <w:t>)</w:t>
            </w:r>
          </w:p>
        </w:tc>
        <w:tc>
          <w:tcPr>
            <w:tcW w:w="1080" w:type="dxa"/>
            <w:gridSpan w:val="2"/>
          </w:tcPr>
          <w:p w:rsidR="003F0DA0" w:rsidRDefault="003F0DA0" w:rsidP="0068165C">
            <w:pPr>
              <w:pStyle w:val="TCTableBody"/>
            </w:pPr>
            <w:r>
              <w:t>Time (min)</w:t>
            </w:r>
          </w:p>
        </w:tc>
        <w:tc>
          <w:tcPr>
            <w:tcW w:w="1080" w:type="dxa"/>
          </w:tcPr>
          <w:p w:rsidR="003F0DA0" w:rsidRDefault="003F0DA0" w:rsidP="0068165C">
            <w:pPr>
              <w:pStyle w:val="TCTableBody"/>
            </w:pPr>
            <w:r>
              <w:t>Rate (</w:t>
            </w:r>
            <w:r>
              <w:rPr>
                <w:rFonts w:cs="Times"/>
              </w:rPr>
              <w:t>°</w:t>
            </w:r>
            <w:r>
              <w:t>C/min)</w:t>
            </w:r>
          </w:p>
        </w:tc>
        <w:tc>
          <w:tcPr>
            <w:tcW w:w="1620" w:type="dxa"/>
            <w:gridSpan w:val="2"/>
          </w:tcPr>
          <w:p w:rsidR="003F0DA0" w:rsidRDefault="003F0DA0" w:rsidP="0068165C">
            <w:pPr>
              <w:pStyle w:val="TCTableBody"/>
            </w:pPr>
            <w:r>
              <w:t xml:space="preserve">Temperature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  <w:tc>
          <w:tcPr>
            <w:tcW w:w="1638" w:type="dxa"/>
          </w:tcPr>
          <w:p w:rsidR="003F0DA0" w:rsidRDefault="003F0DA0" w:rsidP="0068165C">
            <w:pPr>
              <w:pStyle w:val="TCTableBody"/>
            </w:pPr>
            <w:r>
              <w:t>Flow (mL/min)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Injection</w:t>
            </w:r>
          </w:p>
        </w:tc>
        <w:tc>
          <w:tcPr>
            <w:tcW w:w="1647" w:type="dxa"/>
          </w:tcPr>
          <w:p w:rsidR="003F0DA0" w:rsidRDefault="003F0DA0" w:rsidP="0068165C">
            <w:pPr>
              <w:pStyle w:val="TCTableBody"/>
            </w:pPr>
            <w:r>
              <w:t>50</w:t>
            </w:r>
          </w:p>
        </w:tc>
        <w:tc>
          <w:tcPr>
            <w:tcW w:w="1080" w:type="dxa"/>
            <w:gridSpan w:val="2"/>
          </w:tcPr>
          <w:p w:rsidR="003F0DA0" w:rsidRDefault="003F0DA0" w:rsidP="0068165C">
            <w:pPr>
              <w:pStyle w:val="TCTableBody"/>
            </w:pPr>
            <w:r>
              <w:t>.3</w:t>
            </w:r>
          </w:p>
        </w:tc>
        <w:tc>
          <w:tcPr>
            <w:tcW w:w="1080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620" w:type="dxa"/>
            <w:gridSpan w:val="2"/>
          </w:tcPr>
          <w:p w:rsidR="003F0DA0" w:rsidRDefault="003F0DA0" w:rsidP="0068165C">
            <w:pPr>
              <w:pStyle w:val="TCTableBody"/>
            </w:pPr>
            <w:r>
              <w:t>70</w:t>
            </w:r>
          </w:p>
        </w:tc>
        <w:tc>
          <w:tcPr>
            <w:tcW w:w="1638" w:type="dxa"/>
          </w:tcPr>
          <w:p w:rsidR="003F0DA0" w:rsidRDefault="003F0DA0" w:rsidP="0068165C">
            <w:pPr>
              <w:pStyle w:val="TCTableBody"/>
            </w:pPr>
            <w:r>
              <w:t>100 (vent)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Evaporation</w:t>
            </w:r>
          </w:p>
        </w:tc>
        <w:tc>
          <w:tcPr>
            <w:tcW w:w="1647" w:type="dxa"/>
          </w:tcPr>
          <w:p w:rsidR="003F0DA0" w:rsidRDefault="003F0DA0" w:rsidP="0068165C">
            <w:pPr>
              <w:pStyle w:val="TCTableBody"/>
            </w:pPr>
            <w:r>
              <w:t>92</w:t>
            </w:r>
          </w:p>
        </w:tc>
        <w:tc>
          <w:tcPr>
            <w:tcW w:w="1080" w:type="dxa"/>
            <w:gridSpan w:val="2"/>
          </w:tcPr>
          <w:p w:rsidR="003F0DA0" w:rsidRDefault="003F0DA0" w:rsidP="0068165C">
            <w:pPr>
              <w:pStyle w:val="TCTableBody"/>
            </w:pPr>
            <w:r>
              <w:t>1.3</w:t>
            </w:r>
          </w:p>
        </w:tc>
        <w:tc>
          <w:tcPr>
            <w:tcW w:w="1080" w:type="dxa"/>
          </w:tcPr>
          <w:p w:rsidR="003F0DA0" w:rsidRDefault="003F0DA0" w:rsidP="0068165C">
            <w:pPr>
              <w:pStyle w:val="TCTableBody"/>
            </w:pPr>
            <w:r>
              <w:t>0.1</w:t>
            </w:r>
          </w:p>
        </w:tc>
        <w:tc>
          <w:tcPr>
            <w:tcW w:w="1620" w:type="dxa"/>
            <w:gridSpan w:val="2"/>
          </w:tcPr>
          <w:p w:rsidR="003F0DA0" w:rsidRDefault="003F0DA0" w:rsidP="0068165C">
            <w:pPr>
              <w:pStyle w:val="TCTableBody"/>
            </w:pPr>
            <w:r>
              <w:t>70</w:t>
            </w:r>
          </w:p>
        </w:tc>
        <w:tc>
          <w:tcPr>
            <w:tcW w:w="1638" w:type="dxa"/>
          </w:tcPr>
          <w:p w:rsidR="003F0DA0" w:rsidRDefault="003F0DA0" w:rsidP="0068165C">
            <w:pPr>
              <w:pStyle w:val="TCTableBody"/>
            </w:pP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Transfer</w:t>
            </w:r>
          </w:p>
        </w:tc>
        <w:tc>
          <w:tcPr>
            <w:tcW w:w="1647" w:type="dxa"/>
          </w:tcPr>
          <w:p w:rsidR="003F0DA0" w:rsidRDefault="003F0DA0" w:rsidP="0068165C">
            <w:pPr>
              <w:pStyle w:val="TCTableBody"/>
            </w:pPr>
            <w:r>
              <w:t>210</w:t>
            </w:r>
          </w:p>
        </w:tc>
        <w:tc>
          <w:tcPr>
            <w:tcW w:w="1080" w:type="dxa"/>
            <w:gridSpan w:val="2"/>
          </w:tcPr>
          <w:p w:rsidR="003F0DA0" w:rsidRDefault="003F0DA0" w:rsidP="0068165C">
            <w:pPr>
              <w:pStyle w:val="TCTableBody"/>
            </w:pPr>
            <w:r>
              <w:t>1.5</w:t>
            </w:r>
          </w:p>
        </w:tc>
        <w:tc>
          <w:tcPr>
            <w:tcW w:w="1080" w:type="dxa"/>
          </w:tcPr>
          <w:p w:rsidR="003F0DA0" w:rsidRDefault="003F0DA0" w:rsidP="0068165C">
            <w:pPr>
              <w:pStyle w:val="TCTableBody"/>
            </w:pPr>
            <w:r>
              <w:t>10.0</w:t>
            </w:r>
          </w:p>
        </w:tc>
        <w:tc>
          <w:tcPr>
            <w:tcW w:w="1620" w:type="dxa"/>
            <w:gridSpan w:val="2"/>
          </w:tcPr>
          <w:p w:rsidR="003F0DA0" w:rsidRDefault="003F0DA0" w:rsidP="0068165C">
            <w:pPr>
              <w:pStyle w:val="TCTableBody"/>
            </w:pPr>
            <w:r>
              <w:t>310</w:t>
            </w:r>
          </w:p>
        </w:tc>
        <w:tc>
          <w:tcPr>
            <w:tcW w:w="1638" w:type="dxa"/>
          </w:tcPr>
          <w:p w:rsidR="003F0DA0" w:rsidRDefault="003F0DA0" w:rsidP="0068165C">
            <w:pPr>
              <w:pStyle w:val="TCTableBody"/>
            </w:pP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431" w:type="dxa"/>
            <w:gridSpan w:val="2"/>
          </w:tcPr>
          <w:p w:rsidR="003F0DA0" w:rsidRDefault="003F0DA0" w:rsidP="0068165C">
            <w:pPr>
              <w:pStyle w:val="TCTableBody"/>
            </w:pPr>
            <w:r>
              <w:t>Clean</w:t>
            </w:r>
          </w:p>
        </w:tc>
        <w:tc>
          <w:tcPr>
            <w:tcW w:w="164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1080" w:type="dxa"/>
            <w:gridSpan w:val="2"/>
          </w:tcPr>
          <w:p w:rsidR="003F0DA0" w:rsidRDefault="003F0DA0" w:rsidP="0068165C">
            <w:pPr>
              <w:pStyle w:val="TCTableBody"/>
            </w:pPr>
            <w:r>
              <w:t>14.0</w:t>
            </w:r>
          </w:p>
        </w:tc>
        <w:tc>
          <w:tcPr>
            <w:tcW w:w="1080" w:type="dxa"/>
          </w:tcPr>
          <w:p w:rsidR="003F0DA0" w:rsidRDefault="003F0DA0" w:rsidP="0068165C">
            <w:pPr>
              <w:pStyle w:val="TCTableBody"/>
            </w:pPr>
            <w:r>
              <w:t>10.0</w:t>
            </w:r>
          </w:p>
        </w:tc>
        <w:tc>
          <w:tcPr>
            <w:tcW w:w="1620" w:type="dxa"/>
            <w:gridSpan w:val="2"/>
          </w:tcPr>
          <w:p w:rsidR="003F0DA0" w:rsidRDefault="003F0DA0" w:rsidP="0068165C">
            <w:pPr>
              <w:pStyle w:val="TCTableBody"/>
            </w:pPr>
            <w:r>
              <w:t>310</w:t>
            </w:r>
          </w:p>
        </w:tc>
        <w:tc>
          <w:tcPr>
            <w:tcW w:w="1638" w:type="dxa"/>
          </w:tcPr>
          <w:p w:rsidR="003F0DA0" w:rsidRDefault="003F0DA0" w:rsidP="0068165C">
            <w:pPr>
              <w:pStyle w:val="TCTableBody"/>
            </w:pPr>
            <w:r>
              <w:t>100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Column Flow: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0.90 mL/min, Constant flow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MS Transfer Line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270 </w:t>
            </w:r>
            <w:r>
              <w:rPr>
                <w:rFonts w:cs="Times"/>
              </w:rPr>
              <w:t>°</w:t>
            </w:r>
            <w:r>
              <w:t>C</w:t>
            </w:r>
          </w:p>
        </w:tc>
      </w:tr>
      <w:tr w:rsidR="003F0DA0" w:rsidTr="00B466D3">
        <w:tc>
          <w:tcPr>
            <w:tcW w:w="9576" w:type="dxa"/>
            <w:gridSpan w:val="12"/>
          </w:tcPr>
          <w:p w:rsidR="003F0DA0" w:rsidRDefault="003F0DA0" w:rsidP="0068165C">
            <w:pPr>
              <w:pStyle w:val="TCTableBody"/>
            </w:pPr>
            <w:proofErr w:type="spellStart"/>
            <w:r>
              <w:t>TriPlus</w:t>
            </w:r>
            <w:proofErr w:type="spellEnd"/>
            <w:r>
              <w:t xml:space="preserve"> </w:t>
            </w:r>
            <w:proofErr w:type="spellStart"/>
            <w:r>
              <w:t>Autosampler</w:t>
            </w:r>
            <w:proofErr w:type="spellEnd"/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Sample Volume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10.0 </w:t>
            </w:r>
            <w:r>
              <w:rPr>
                <w:rFonts w:cs="Times"/>
              </w:rPr>
              <w:t>µ</w:t>
            </w:r>
            <w:r>
              <w:t>L</w:t>
            </w:r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Air Volume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1.0 </w:t>
            </w:r>
            <w:r>
              <w:rPr>
                <w:rFonts w:cs="Times"/>
              </w:rPr>
              <w:t>µ</w:t>
            </w:r>
            <w:r>
              <w:t>L</w:t>
            </w:r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Pre-injection dwell time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0.5 s</w:t>
            </w:r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Post-injection dwell time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1.0 s</w:t>
            </w:r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Viscosity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Viscous</w:t>
            </w:r>
          </w:p>
        </w:tc>
      </w:tr>
      <w:tr w:rsidR="003F0DA0" w:rsidTr="00B466D3">
        <w:tc>
          <w:tcPr>
            <w:tcW w:w="277" w:type="dxa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881" w:type="dxa"/>
            <w:gridSpan w:val="5"/>
          </w:tcPr>
          <w:p w:rsidR="003F0DA0" w:rsidRDefault="003F0DA0" w:rsidP="0068165C">
            <w:pPr>
              <w:pStyle w:val="TCTableBody"/>
            </w:pPr>
            <w:r>
              <w:t>Pre- and Post-injection washes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Solvents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A,B,-,- (A= EtOAc, B=Toluene)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Solvent Cycles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5</w:t>
            </w:r>
          </w:p>
        </w:tc>
      </w:tr>
      <w:tr w:rsidR="003F0DA0" w:rsidTr="00B466D3">
        <w:tc>
          <w:tcPr>
            <w:tcW w:w="1080" w:type="dxa"/>
            <w:gridSpan w:val="3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78" w:type="dxa"/>
            <w:gridSpan w:val="3"/>
          </w:tcPr>
          <w:p w:rsidR="003F0DA0" w:rsidRDefault="003F0DA0" w:rsidP="0068165C">
            <w:pPr>
              <w:pStyle w:val="TCTableBody"/>
            </w:pPr>
            <w:r>
              <w:t>Solvent Volume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15 </w:t>
            </w:r>
            <w:r>
              <w:rPr>
                <w:rFonts w:cs="Times"/>
              </w:rPr>
              <w:t>µ</w:t>
            </w:r>
            <w:r>
              <w:t>L</w:t>
            </w:r>
          </w:p>
        </w:tc>
      </w:tr>
      <w:tr w:rsidR="003F0DA0" w:rsidTr="00B466D3">
        <w:tc>
          <w:tcPr>
            <w:tcW w:w="9576" w:type="dxa"/>
            <w:gridSpan w:val="12"/>
          </w:tcPr>
          <w:p w:rsidR="003F0DA0" w:rsidRDefault="003F0DA0" w:rsidP="0068165C">
            <w:pPr>
              <w:pStyle w:val="TCTableBody"/>
            </w:pPr>
            <w:r>
              <w:t>TSQ MS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Ionization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NCI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CI Gas (Ammonia) flow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2.2 mL/Min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Source Temperature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200 °C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 xml:space="preserve">Emission Current 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 xml:space="preserve">50 </w:t>
            </w:r>
            <w:r>
              <w:rPr>
                <w:rFonts w:cs="Times"/>
              </w:rPr>
              <w:t>µ</w:t>
            </w:r>
            <w:r>
              <w:t>A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Electron Energy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-100 eV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r>
              <w:t>Q2 Gas (Argon)Pressure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1.5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690" w:type="dxa"/>
            <w:gridSpan w:val="4"/>
          </w:tcPr>
          <w:p w:rsidR="003F0DA0" w:rsidRDefault="003F0DA0" w:rsidP="0068165C">
            <w:pPr>
              <w:pStyle w:val="TCTableBody"/>
            </w:pPr>
            <w:proofErr w:type="spellStart"/>
            <w:r>
              <w:t>Chrom</w:t>
            </w:r>
            <w:proofErr w:type="spellEnd"/>
            <w:r>
              <w:t xml:space="preserve"> Filter</w:t>
            </w:r>
          </w:p>
        </w:tc>
        <w:tc>
          <w:tcPr>
            <w:tcW w:w="5418" w:type="dxa"/>
            <w:gridSpan w:val="6"/>
          </w:tcPr>
          <w:p w:rsidR="003F0DA0" w:rsidRDefault="003F0DA0" w:rsidP="0068165C">
            <w:pPr>
              <w:pStyle w:val="TCTableBody"/>
            </w:pPr>
            <w:r>
              <w:t>1.5</w:t>
            </w:r>
          </w:p>
        </w:tc>
      </w:tr>
      <w:tr w:rsidR="003F0DA0" w:rsidTr="00C34D89">
        <w:tc>
          <w:tcPr>
            <w:tcW w:w="468" w:type="dxa"/>
            <w:gridSpan w:val="2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9108" w:type="dxa"/>
            <w:gridSpan w:val="10"/>
          </w:tcPr>
          <w:p w:rsidR="003F0DA0" w:rsidRDefault="003F0DA0" w:rsidP="0068165C">
            <w:pPr>
              <w:pStyle w:val="TCTableBody"/>
            </w:pPr>
            <w:r>
              <w:t>MRM Transitions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Default="003F0DA0" w:rsidP="0068165C">
            <w:pPr>
              <w:pStyle w:val="TCTableBody"/>
            </w:pPr>
            <w:r>
              <w:t>Compounds Monitored</w:t>
            </w:r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Transition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Collision Energy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Default="003F0DA0" w:rsidP="0068165C">
            <w:pPr>
              <w:pStyle w:val="TCTableBody"/>
            </w:pPr>
            <w:r w:rsidRPr="000863D1">
              <w:rPr>
                <w:vertAlign w:val="superscript"/>
              </w:rPr>
              <w:t>13</w:t>
            </w:r>
            <w:r>
              <w:t>C</w:t>
            </w:r>
            <w:r w:rsidRPr="000863D1">
              <w:rPr>
                <w:vertAlign w:val="subscript"/>
              </w:rPr>
              <w:t>12</w:t>
            </w:r>
            <w:r>
              <w:t xml:space="preserve"> PCB 209 (recovery standard)</w:t>
            </w:r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509.5</w:t>
            </w:r>
            <w:r w:rsidR="009F576B">
              <w:t>0</w:t>
            </w:r>
            <w:r>
              <w:t xml:space="preserve"> 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0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Pr="000863D1" w:rsidRDefault="003F0DA0" w:rsidP="0068165C">
            <w:pPr>
              <w:pStyle w:val="TCTableBody"/>
            </w:pPr>
            <w:r>
              <w:t>B[</w:t>
            </w:r>
            <w:r w:rsidRPr="000863D1">
              <w:rPr>
                <w:i/>
              </w:rPr>
              <w:t>a</w:t>
            </w:r>
            <w:r>
              <w:t xml:space="preserve">]P </w:t>
            </w:r>
            <w:proofErr w:type="spellStart"/>
            <w:r>
              <w:t>tetrahydro</w:t>
            </w:r>
            <w:proofErr w:type="spellEnd"/>
            <w:r>
              <w:t xml:space="preserve"> </w:t>
            </w:r>
            <w:proofErr w:type="spellStart"/>
            <w:r>
              <w:t>tetrols</w:t>
            </w:r>
            <w:proofErr w:type="spellEnd"/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446</w:t>
            </w:r>
            <w:r w:rsidR="00714226">
              <w:t>.00</w:t>
            </w:r>
            <w:r>
              <w:t xml:space="preserve"> </w:t>
            </w:r>
            <w:r>
              <w:rPr>
                <w:rFonts w:cs="Times"/>
              </w:rPr>
              <w:t>→ 255</w:t>
            </w:r>
            <w:r w:rsidR="00714226">
              <w:rPr>
                <w:rFonts w:cs="Times"/>
              </w:rPr>
              <w:t>.20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18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Pr="000863D1" w:rsidRDefault="003F0DA0" w:rsidP="0068165C">
            <w:pPr>
              <w:pStyle w:val="TCTableBody"/>
            </w:pPr>
            <w:r>
              <w:t>B[</w:t>
            </w:r>
            <w:r w:rsidRPr="000863D1">
              <w:rPr>
                <w:i/>
              </w:rPr>
              <w:t>a</w:t>
            </w:r>
            <w:r>
              <w:t xml:space="preserve">]P </w:t>
            </w:r>
            <w:proofErr w:type="spellStart"/>
            <w:r>
              <w:t>tetrahydro</w:t>
            </w:r>
            <w:proofErr w:type="spellEnd"/>
            <w:r>
              <w:t xml:space="preserve"> </w:t>
            </w:r>
            <w:proofErr w:type="spellStart"/>
            <w:r>
              <w:t>tetrols</w:t>
            </w:r>
            <w:proofErr w:type="spellEnd"/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446</w:t>
            </w:r>
            <w:r w:rsidR="00714226">
              <w:t>.00</w:t>
            </w:r>
            <w:r w:rsidR="00714226" w:rsidRPr="00714226">
              <w:rPr>
                <w:vertAlign w:val="superscript"/>
              </w:rPr>
              <w:t>a</w:t>
            </w:r>
            <w:r>
              <w:t xml:space="preserve"> </w:t>
            </w:r>
            <w:r>
              <w:rPr>
                <w:rFonts w:cs="Times"/>
              </w:rPr>
              <w:t>→ 284</w:t>
            </w:r>
            <w:r w:rsidR="00714226">
              <w:rPr>
                <w:rFonts w:cs="Times"/>
              </w:rPr>
              <w:t>.20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18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Pr="000863D1" w:rsidRDefault="003F0DA0" w:rsidP="0068165C">
            <w:pPr>
              <w:pStyle w:val="TCTableBody"/>
            </w:pPr>
            <w:r w:rsidRPr="000863D1">
              <w:rPr>
                <w:vertAlign w:val="superscript"/>
              </w:rPr>
              <w:t>13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 xml:space="preserve"> B[</w:t>
            </w:r>
            <w:r w:rsidRPr="000863D1">
              <w:rPr>
                <w:i/>
              </w:rPr>
              <w:t>a</w:t>
            </w:r>
            <w:r>
              <w:t xml:space="preserve">]P </w:t>
            </w:r>
            <w:proofErr w:type="spellStart"/>
            <w:r>
              <w:t>tetrahydro</w:t>
            </w:r>
            <w:proofErr w:type="spellEnd"/>
            <w:r>
              <w:t xml:space="preserve"> </w:t>
            </w:r>
            <w:proofErr w:type="spellStart"/>
            <w:r>
              <w:t>tetrols</w:t>
            </w:r>
            <w:proofErr w:type="spellEnd"/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452</w:t>
            </w:r>
            <w:r w:rsidR="00714226">
              <w:t>.50</w:t>
            </w:r>
            <w:r>
              <w:t xml:space="preserve"> </w:t>
            </w:r>
            <w:r>
              <w:rPr>
                <w:rFonts w:cs="Times"/>
              </w:rPr>
              <w:t>→ 261</w:t>
            </w:r>
            <w:r w:rsidR="00714226">
              <w:rPr>
                <w:rFonts w:cs="Times"/>
              </w:rPr>
              <w:t>.20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18</w:t>
            </w:r>
          </w:p>
        </w:tc>
      </w:tr>
      <w:tr w:rsidR="003F0DA0" w:rsidTr="001C7AF3">
        <w:tc>
          <w:tcPr>
            <w:tcW w:w="1098" w:type="dxa"/>
            <w:gridSpan w:val="4"/>
          </w:tcPr>
          <w:p w:rsidR="003F0DA0" w:rsidRDefault="003F0DA0" w:rsidP="0068165C">
            <w:pPr>
              <w:pStyle w:val="TCTableBody"/>
            </w:pPr>
          </w:p>
        </w:tc>
        <w:tc>
          <w:tcPr>
            <w:tcW w:w="3060" w:type="dxa"/>
            <w:gridSpan w:val="2"/>
          </w:tcPr>
          <w:p w:rsidR="003F0DA0" w:rsidRPr="000863D1" w:rsidRDefault="003F0DA0" w:rsidP="0068165C">
            <w:pPr>
              <w:pStyle w:val="TCTableBody"/>
            </w:pPr>
            <w:r w:rsidRPr="000863D1">
              <w:rPr>
                <w:vertAlign w:val="superscript"/>
              </w:rPr>
              <w:t>13</w:t>
            </w:r>
            <w:r>
              <w:t>C</w:t>
            </w:r>
            <w:r>
              <w:rPr>
                <w:vertAlign w:val="subscript"/>
              </w:rPr>
              <w:t>6</w:t>
            </w:r>
            <w:r>
              <w:t xml:space="preserve"> B[</w:t>
            </w:r>
            <w:r w:rsidRPr="000863D1">
              <w:rPr>
                <w:i/>
              </w:rPr>
              <w:t>a</w:t>
            </w:r>
            <w:r>
              <w:t xml:space="preserve">]P </w:t>
            </w:r>
            <w:proofErr w:type="spellStart"/>
            <w:r>
              <w:t>tetrahydro</w:t>
            </w:r>
            <w:proofErr w:type="spellEnd"/>
            <w:r>
              <w:t xml:space="preserve"> </w:t>
            </w:r>
            <w:proofErr w:type="spellStart"/>
            <w:r>
              <w:t>tetrols</w:t>
            </w:r>
            <w:proofErr w:type="spellEnd"/>
          </w:p>
        </w:tc>
        <w:tc>
          <w:tcPr>
            <w:tcW w:w="2340" w:type="dxa"/>
            <w:gridSpan w:val="4"/>
          </w:tcPr>
          <w:p w:rsidR="003F0DA0" w:rsidRDefault="003F0DA0" w:rsidP="0068165C">
            <w:pPr>
              <w:pStyle w:val="TCTableBody"/>
            </w:pPr>
            <w:r>
              <w:t>452</w:t>
            </w:r>
            <w:r w:rsidR="00714226">
              <w:t>.50</w:t>
            </w:r>
            <w:r w:rsidR="00714226" w:rsidRPr="00714226">
              <w:rPr>
                <w:vertAlign w:val="superscript"/>
              </w:rPr>
              <w:t>a</w:t>
            </w:r>
            <w:r>
              <w:t xml:space="preserve"> </w:t>
            </w:r>
            <w:r>
              <w:rPr>
                <w:rFonts w:cs="Times"/>
              </w:rPr>
              <w:t>→ 290</w:t>
            </w:r>
            <w:r w:rsidR="00714226">
              <w:rPr>
                <w:rFonts w:cs="Times"/>
              </w:rPr>
              <w:t>.20</w:t>
            </w:r>
          </w:p>
        </w:tc>
        <w:tc>
          <w:tcPr>
            <w:tcW w:w="3078" w:type="dxa"/>
            <w:gridSpan w:val="2"/>
          </w:tcPr>
          <w:p w:rsidR="003F0DA0" w:rsidRDefault="003F0DA0" w:rsidP="0068165C">
            <w:pPr>
              <w:pStyle w:val="TCTableBody"/>
            </w:pPr>
            <w:r>
              <w:t>18</w:t>
            </w:r>
          </w:p>
        </w:tc>
      </w:tr>
    </w:tbl>
    <w:p w:rsidR="00714226" w:rsidRDefault="00714226" w:rsidP="0068165C">
      <w:pPr>
        <w:spacing w:after="0" w:line="360" w:lineRule="auto"/>
        <w:jc w:val="left"/>
      </w:pPr>
      <w:proofErr w:type="gramStart"/>
      <w:r w:rsidRPr="00714226">
        <w:rPr>
          <w:vertAlign w:val="superscript"/>
        </w:rPr>
        <w:t>a</w:t>
      </w:r>
      <w:proofErr w:type="gramEnd"/>
      <w:r>
        <w:t xml:space="preserve"> Second transition from a </w:t>
      </w:r>
      <w:r w:rsidR="00E42630">
        <w:t>given</w:t>
      </w:r>
      <w:r>
        <w:t xml:space="preserve"> mass is set at 0.001 mass unit higher to work around an instrument setup limitation.</w:t>
      </w:r>
      <w:bookmarkStart w:id="0" w:name="_GoBack"/>
      <w:bookmarkEnd w:id="0"/>
    </w:p>
    <w:p w:rsidR="003F0DA0" w:rsidRDefault="003F0DA0" w:rsidP="0068165C">
      <w:pPr>
        <w:spacing w:after="0" w:line="360" w:lineRule="auto"/>
        <w:jc w:val="left"/>
      </w:pPr>
    </w:p>
    <w:p w:rsidR="003F0DA0" w:rsidRDefault="003F0DA0" w:rsidP="0068165C">
      <w:pPr>
        <w:pStyle w:val="VDTableTitle"/>
        <w:keepNext/>
        <w:spacing w:line="240" w:lineRule="auto"/>
      </w:pPr>
      <w:r w:rsidRPr="007C072C">
        <w:rPr>
          <w:b/>
        </w:rPr>
        <w:lastRenderedPageBreak/>
        <w:t>Table S3,</w:t>
      </w:r>
      <w:r>
        <w:t xml:space="preserve"> Concentrations of PAH Metabolites (pg/mL) after exposure to a barbequed meal.</w:t>
      </w:r>
    </w:p>
    <w:tbl>
      <w:tblPr>
        <w:tblW w:w="10380" w:type="dxa"/>
        <w:tblLook w:val="04A0" w:firstRow="1" w:lastRow="0" w:firstColumn="1" w:lastColumn="0" w:noHBand="0" w:noVBand="1"/>
      </w:tblPr>
      <w:tblGrid>
        <w:gridCol w:w="2500"/>
        <w:gridCol w:w="1400"/>
        <w:gridCol w:w="1840"/>
        <w:gridCol w:w="1900"/>
        <w:gridCol w:w="1780"/>
        <w:gridCol w:w="960"/>
      </w:tblGrid>
      <w:tr w:rsidR="003F0DA0" w:rsidRPr="00894B33" w:rsidTr="00411143">
        <w:trPr>
          <w:trHeight w:val="315"/>
        </w:trPr>
        <w:tc>
          <w:tcPr>
            <w:tcW w:w="2500" w:type="dxa"/>
            <w:tcBorders>
              <w:top w:val="single" w:sz="12" w:space="0" w:color="C1C1C1"/>
              <w:left w:val="single" w:sz="12" w:space="0" w:color="C1C1C1"/>
              <w:bottom w:val="nil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 </w:t>
            </w:r>
          </w:p>
        </w:tc>
        <w:tc>
          <w:tcPr>
            <w:tcW w:w="7880" w:type="dxa"/>
            <w:gridSpan w:val="5"/>
            <w:tcBorders>
              <w:top w:val="single" w:sz="12" w:space="0" w:color="C1C1C1"/>
              <w:left w:val="nil"/>
              <w:bottom w:val="single" w:sz="8" w:space="0" w:color="B0B7BB"/>
              <w:right w:val="single" w:sz="12" w:space="0" w:color="C1C1C1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Time to Urine Collection after Exposure (Hr.)</w:t>
            </w:r>
          </w:p>
        </w:tc>
      </w:tr>
      <w:tr w:rsidR="003F0DA0" w:rsidRPr="00894B33" w:rsidTr="00C50626">
        <w:trPr>
          <w:trHeight w:val="315"/>
        </w:trPr>
        <w:tc>
          <w:tcPr>
            <w:tcW w:w="2500" w:type="dxa"/>
            <w:tcBorders>
              <w:top w:val="nil"/>
              <w:left w:val="single" w:sz="12" w:space="0" w:color="C1C1C1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</w:p>
        </w:tc>
        <w:tc>
          <w:tcPr>
            <w:tcW w:w="1400" w:type="dxa"/>
            <w:tcBorders>
              <w:top w:val="single" w:sz="8" w:space="0" w:color="B0B7BB"/>
              <w:left w:val="nil"/>
              <w:right w:val="single" w:sz="4" w:space="0" w:color="B0B7BB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0.5</w:t>
            </w:r>
          </w:p>
        </w:tc>
        <w:tc>
          <w:tcPr>
            <w:tcW w:w="1840" w:type="dxa"/>
            <w:tcBorders>
              <w:top w:val="single" w:sz="8" w:space="0" w:color="B0B7BB"/>
              <w:left w:val="single" w:sz="4" w:space="0" w:color="B0B7BB"/>
              <w:right w:val="single" w:sz="4" w:space="0" w:color="B0B7BB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7</w:t>
            </w:r>
          </w:p>
        </w:tc>
        <w:tc>
          <w:tcPr>
            <w:tcW w:w="1900" w:type="dxa"/>
            <w:tcBorders>
              <w:top w:val="single" w:sz="8" w:space="0" w:color="B0B7BB"/>
              <w:left w:val="single" w:sz="4" w:space="0" w:color="B0B7BB"/>
              <w:right w:val="single" w:sz="4" w:space="0" w:color="B0B7BB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17.5</w:t>
            </w:r>
          </w:p>
        </w:tc>
        <w:tc>
          <w:tcPr>
            <w:tcW w:w="1780" w:type="dxa"/>
            <w:tcBorders>
              <w:top w:val="single" w:sz="8" w:space="0" w:color="B0B7BB"/>
              <w:left w:val="single" w:sz="4" w:space="0" w:color="B0B7BB"/>
              <w:right w:val="single" w:sz="4" w:space="0" w:color="B0B7BB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20.5</w:t>
            </w:r>
          </w:p>
        </w:tc>
        <w:tc>
          <w:tcPr>
            <w:tcW w:w="960" w:type="dxa"/>
            <w:tcBorders>
              <w:top w:val="single" w:sz="8" w:space="0" w:color="B0B7BB"/>
              <w:left w:val="single" w:sz="4" w:space="0" w:color="B0B7BB"/>
              <w:right w:val="single" w:sz="12" w:space="0" w:color="C1C1C1"/>
            </w:tcBorders>
            <w:shd w:val="clear" w:color="auto" w:fill="auto"/>
            <w:vAlign w:val="center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21.5</w:t>
            </w:r>
          </w:p>
        </w:tc>
      </w:tr>
      <w:tr w:rsidR="003F0DA0" w:rsidRPr="00894B33" w:rsidTr="00C50626">
        <w:trPr>
          <w:trHeight w:val="315"/>
        </w:trPr>
        <w:tc>
          <w:tcPr>
            <w:tcW w:w="2500" w:type="dxa"/>
            <w:tcBorders>
              <w:left w:val="single" w:sz="12" w:space="0" w:color="C1C1C1"/>
              <w:bottom w:val="single" w:sz="12" w:space="0" w:color="C1C1C1"/>
              <w:right w:val="single" w:sz="8" w:space="0" w:color="B0B7BB"/>
            </w:tcBorders>
            <w:shd w:val="clear" w:color="auto" w:fill="auto"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Analyte</w:t>
            </w:r>
          </w:p>
        </w:tc>
        <w:tc>
          <w:tcPr>
            <w:tcW w:w="1400" w:type="dxa"/>
            <w:tcBorders>
              <w:left w:val="nil"/>
              <w:bottom w:val="single" w:sz="12" w:space="0" w:color="C1C1C1"/>
              <w:right w:val="single" w:sz="4" w:space="0" w:color="B0B7BB"/>
            </w:tcBorders>
            <w:shd w:val="clear" w:color="auto" w:fill="auto"/>
            <w:vAlign w:val="center"/>
          </w:tcPr>
          <w:p w:rsidR="003F0DA0" w:rsidRPr="00894B33" w:rsidRDefault="003F0DA0" w:rsidP="0068165C">
            <w:pPr>
              <w:pStyle w:val="TCTableBody"/>
              <w:keepNext/>
            </w:pPr>
          </w:p>
        </w:tc>
        <w:tc>
          <w:tcPr>
            <w:tcW w:w="1840" w:type="dxa"/>
            <w:tcBorders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vAlign w:val="center"/>
          </w:tcPr>
          <w:p w:rsidR="003F0DA0" w:rsidRPr="00894B33" w:rsidRDefault="003F0DA0" w:rsidP="0068165C">
            <w:pPr>
              <w:pStyle w:val="TCTableBody"/>
              <w:keepNext/>
            </w:pPr>
          </w:p>
        </w:tc>
        <w:tc>
          <w:tcPr>
            <w:tcW w:w="1900" w:type="dxa"/>
            <w:tcBorders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vAlign w:val="center"/>
          </w:tcPr>
          <w:p w:rsidR="003F0DA0" w:rsidRPr="00894B33" w:rsidRDefault="003F0DA0" w:rsidP="0068165C">
            <w:pPr>
              <w:pStyle w:val="TCTableBody"/>
              <w:keepNext/>
            </w:pPr>
          </w:p>
        </w:tc>
        <w:tc>
          <w:tcPr>
            <w:tcW w:w="1780" w:type="dxa"/>
            <w:tcBorders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vAlign w:val="center"/>
          </w:tcPr>
          <w:p w:rsidR="003F0DA0" w:rsidRPr="00894B33" w:rsidRDefault="003F0DA0" w:rsidP="0068165C">
            <w:pPr>
              <w:pStyle w:val="TCTableBody"/>
              <w:keepNext/>
            </w:pPr>
          </w:p>
        </w:tc>
        <w:tc>
          <w:tcPr>
            <w:tcW w:w="960" w:type="dxa"/>
            <w:tcBorders>
              <w:left w:val="single" w:sz="4" w:space="0" w:color="B0B7BB"/>
              <w:bottom w:val="single" w:sz="12" w:space="0" w:color="C1C1C1"/>
              <w:right w:val="single" w:sz="12" w:space="0" w:color="C1C1C1"/>
            </w:tcBorders>
            <w:shd w:val="clear" w:color="auto" w:fill="auto"/>
            <w:vAlign w:val="center"/>
          </w:tcPr>
          <w:p w:rsidR="003F0DA0" w:rsidRPr="00894B33" w:rsidRDefault="003F0DA0" w:rsidP="0068165C">
            <w:pPr>
              <w:pStyle w:val="TCTableBody"/>
              <w:keepNext/>
            </w:pPr>
          </w:p>
        </w:tc>
      </w:tr>
      <w:tr w:rsidR="003F0DA0" w:rsidRPr="00894B33" w:rsidTr="00411143">
        <w:trPr>
          <w:trHeight w:val="330"/>
        </w:trPr>
        <w:tc>
          <w:tcPr>
            <w:tcW w:w="2500" w:type="dxa"/>
            <w:tcBorders>
              <w:top w:val="single" w:sz="12" w:space="0" w:color="C1C1C1"/>
              <w:left w:val="single" w:sz="12" w:space="0" w:color="C1C1C1"/>
              <w:bottom w:val="single" w:sz="8" w:space="0" w:color="C1C1C1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1-Hydroxypyrene</w:t>
            </w:r>
          </w:p>
        </w:tc>
        <w:tc>
          <w:tcPr>
            <w:tcW w:w="1400" w:type="dxa"/>
            <w:tcBorders>
              <w:top w:val="single" w:sz="12" w:space="0" w:color="C1C1C1"/>
              <w:left w:val="single" w:sz="8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0" w:type="dxa"/>
            <w:tcBorders>
              <w:top w:val="single" w:sz="12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2773</w:t>
            </w:r>
          </w:p>
        </w:tc>
        <w:tc>
          <w:tcPr>
            <w:tcW w:w="1900" w:type="dxa"/>
            <w:tcBorders>
              <w:top w:val="single" w:sz="12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1780" w:type="dxa"/>
            <w:tcBorders>
              <w:top w:val="single" w:sz="12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12" w:space="0" w:color="C1C1C1"/>
              <w:left w:val="single" w:sz="4" w:space="0" w:color="B0B7BB"/>
              <w:bottom w:val="single" w:sz="8" w:space="0" w:color="C1C1C1"/>
              <w:right w:val="single" w:sz="12" w:space="0" w:color="C1C1C1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3F0DA0" w:rsidRPr="00894B33" w:rsidTr="00411143">
        <w:trPr>
          <w:trHeight w:val="375"/>
        </w:trPr>
        <w:tc>
          <w:tcPr>
            <w:tcW w:w="2500" w:type="dxa"/>
            <w:tcBorders>
              <w:top w:val="single" w:sz="8" w:space="0" w:color="C1C1C1"/>
              <w:left w:val="single" w:sz="12" w:space="0" w:color="C1C1C1"/>
              <w:bottom w:val="single" w:sz="8" w:space="0" w:color="B0B7BB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2-Hydroxynaphthalene</w:t>
            </w:r>
          </w:p>
        </w:tc>
        <w:tc>
          <w:tcPr>
            <w:tcW w:w="1400" w:type="dxa"/>
            <w:tcBorders>
              <w:top w:val="single" w:sz="8" w:space="0" w:color="C1C1C1"/>
              <w:left w:val="nil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3869</w:t>
            </w:r>
          </w:p>
        </w:tc>
        <w:tc>
          <w:tcPr>
            <w:tcW w:w="184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87525</w:t>
            </w:r>
          </w:p>
        </w:tc>
        <w:tc>
          <w:tcPr>
            <w:tcW w:w="190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15143</w:t>
            </w:r>
          </w:p>
        </w:tc>
        <w:tc>
          <w:tcPr>
            <w:tcW w:w="178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7116</w:t>
            </w:r>
          </w:p>
        </w:tc>
        <w:tc>
          <w:tcPr>
            <w:tcW w:w="96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12" w:space="0" w:color="C1C1C1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772</w:t>
            </w:r>
          </w:p>
        </w:tc>
      </w:tr>
      <w:tr w:rsidR="003F0DA0" w:rsidRPr="00894B33" w:rsidTr="00411143">
        <w:trPr>
          <w:trHeight w:val="315"/>
        </w:trPr>
        <w:tc>
          <w:tcPr>
            <w:tcW w:w="2500" w:type="dxa"/>
            <w:tcBorders>
              <w:top w:val="nil"/>
              <w:left w:val="single" w:sz="12" w:space="0" w:color="C1C1C1"/>
              <w:bottom w:val="single" w:sz="8" w:space="0" w:color="B0B7BB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3-</w:t>
            </w:r>
            <w:r>
              <w:t>Hydroxyfluorene</w:t>
            </w:r>
          </w:p>
        </w:tc>
        <w:tc>
          <w:tcPr>
            <w:tcW w:w="1400" w:type="dxa"/>
            <w:tcBorders>
              <w:top w:val="single" w:sz="8" w:space="0" w:color="C1C1C1"/>
              <w:left w:val="nil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84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3274</w:t>
            </w:r>
          </w:p>
        </w:tc>
        <w:tc>
          <w:tcPr>
            <w:tcW w:w="190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78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12" w:space="0" w:color="C1C1C1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0DA0" w:rsidRPr="00894B33" w:rsidTr="00411143">
        <w:trPr>
          <w:trHeight w:val="315"/>
        </w:trPr>
        <w:tc>
          <w:tcPr>
            <w:tcW w:w="2500" w:type="dxa"/>
            <w:tcBorders>
              <w:top w:val="nil"/>
              <w:left w:val="single" w:sz="12" w:space="0" w:color="C1C1C1"/>
              <w:bottom w:val="single" w:sz="8" w:space="0" w:color="B0B7BB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  <w:keepNext/>
            </w:pPr>
            <w:r w:rsidRPr="00894B33">
              <w:t>BPT I-1</w:t>
            </w:r>
          </w:p>
        </w:tc>
        <w:tc>
          <w:tcPr>
            <w:tcW w:w="1400" w:type="dxa"/>
            <w:tcBorders>
              <w:top w:val="single" w:sz="8" w:space="0" w:color="C1C1C1"/>
              <w:left w:val="nil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&lt;LOD</w:t>
            </w:r>
          </w:p>
        </w:tc>
        <w:tc>
          <w:tcPr>
            <w:tcW w:w="184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90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78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0.35</w:t>
            </w:r>
          </w:p>
        </w:tc>
        <w:tc>
          <w:tcPr>
            <w:tcW w:w="960" w:type="dxa"/>
            <w:tcBorders>
              <w:top w:val="single" w:sz="8" w:space="0" w:color="C1C1C1"/>
              <w:left w:val="single" w:sz="4" w:space="0" w:color="B0B7BB"/>
              <w:bottom w:val="single" w:sz="8" w:space="0" w:color="C1C1C1"/>
              <w:right w:val="single" w:sz="12" w:space="0" w:color="C1C1C1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keepNext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&lt;LOD</w:t>
            </w:r>
          </w:p>
        </w:tc>
      </w:tr>
      <w:tr w:rsidR="003F0DA0" w:rsidRPr="00894B33" w:rsidTr="00411143">
        <w:trPr>
          <w:trHeight w:val="300"/>
        </w:trPr>
        <w:tc>
          <w:tcPr>
            <w:tcW w:w="2500" w:type="dxa"/>
            <w:tcBorders>
              <w:top w:val="nil"/>
              <w:left w:val="single" w:sz="12" w:space="0" w:color="C1C1C1"/>
              <w:bottom w:val="single" w:sz="12" w:space="0" w:color="C1C1C1"/>
              <w:right w:val="single" w:sz="8" w:space="0" w:color="B0B7BB"/>
            </w:tcBorders>
            <w:shd w:val="clear" w:color="auto" w:fill="auto"/>
            <w:hideMark/>
          </w:tcPr>
          <w:p w:rsidR="003F0DA0" w:rsidRPr="00894B33" w:rsidRDefault="003F0DA0" w:rsidP="0068165C">
            <w:pPr>
              <w:pStyle w:val="TCTableBody"/>
            </w:pPr>
            <w:r w:rsidRPr="00894B33">
              <w:t>BPT II-1</w:t>
            </w:r>
          </w:p>
        </w:tc>
        <w:tc>
          <w:tcPr>
            <w:tcW w:w="1400" w:type="dxa"/>
            <w:tcBorders>
              <w:top w:val="single" w:sz="8" w:space="0" w:color="C1C1C1"/>
              <w:left w:val="nil"/>
              <w:bottom w:val="single" w:sz="12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&lt;LOD</w:t>
            </w:r>
          </w:p>
        </w:tc>
        <w:tc>
          <w:tcPr>
            <w:tcW w:w="1840" w:type="dxa"/>
            <w:tcBorders>
              <w:top w:val="single" w:sz="8" w:space="0" w:color="C1C1C1"/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900" w:type="dxa"/>
            <w:tcBorders>
              <w:top w:val="single" w:sz="8" w:space="0" w:color="C1C1C1"/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780" w:type="dxa"/>
            <w:tcBorders>
              <w:top w:val="single" w:sz="8" w:space="0" w:color="C1C1C1"/>
              <w:left w:val="single" w:sz="4" w:space="0" w:color="B0B7BB"/>
              <w:bottom w:val="single" w:sz="12" w:space="0" w:color="C1C1C1"/>
              <w:right w:val="single" w:sz="4" w:space="0" w:color="B0B7BB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960" w:type="dxa"/>
            <w:tcBorders>
              <w:top w:val="single" w:sz="8" w:space="0" w:color="C1C1C1"/>
              <w:left w:val="single" w:sz="4" w:space="0" w:color="B0B7BB"/>
              <w:bottom w:val="single" w:sz="12" w:space="0" w:color="C1C1C1"/>
              <w:right w:val="single" w:sz="12" w:space="0" w:color="C1C1C1"/>
            </w:tcBorders>
            <w:shd w:val="clear" w:color="auto" w:fill="auto"/>
            <w:noWrap/>
            <w:vAlign w:val="bottom"/>
            <w:hideMark/>
          </w:tcPr>
          <w:p w:rsidR="003F0DA0" w:rsidRPr="00894B33" w:rsidRDefault="003F0DA0" w:rsidP="0068165C">
            <w:pPr>
              <w:pStyle w:val="TCTableBody"/>
              <w:rPr>
                <w:color w:val="000000"/>
                <w:sz w:val="22"/>
                <w:szCs w:val="22"/>
              </w:rPr>
            </w:pPr>
            <w:r w:rsidRPr="00894B33">
              <w:rPr>
                <w:color w:val="000000"/>
                <w:sz w:val="22"/>
                <w:szCs w:val="22"/>
              </w:rPr>
              <w:t>&lt;LOD</w:t>
            </w:r>
          </w:p>
        </w:tc>
      </w:tr>
    </w:tbl>
    <w:p w:rsidR="003F0DA0" w:rsidRDefault="003F0DA0" w:rsidP="0068165C">
      <w:pPr>
        <w:pStyle w:val="TFReferencesSection"/>
        <w:spacing w:line="360" w:lineRule="auto"/>
        <w:ind w:firstLine="0"/>
      </w:pPr>
    </w:p>
    <w:p w:rsidR="003F0DA0" w:rsidRDefault="003F0DA0" w:rsidP="0068165C">
      <w:pPr>
        <w:pStyle w:val="TFReferencesSection"/>
        <w:spacing w:line="240" w:lineRule="auto"/>
        <w:ind w:firstLine="0"/>
      </w:pPr>
      <w:r w:rsidRPr="00750A95">
        <w:rPr>
          <w:b/>
        </w:rPr>
        <w:t>Table S4,</w:t>
      </w:r>
      <w:r>
        <w:t xml:space="preserve"> Comparison of PAH biomarker results with data from the 2011-2012 NHANES</w:t>
      </w:r>
      <w:proofErr w:type="gramStart"/>
      <w:r>
        <w:t>.</w:t>
      </w:r>
      <w:r>
        <w:rPr>
          <w:noProof/>
        </w:rPr>
        <w:t>(</w:t>
      </w:r>
      <w:proofErr w:type="gramEnd"/>
      <w:r w:rsidR="00F64636">
        <w:rPr>
          <w:noProof/>
        </w:rPr>
        <w:t>CDC, 2015</w:t>
      </w:r>
      <w:r>
        <w:rPr>
          <w:noProof/>
        </w:rPr>
        <w:t>)</w:t>
      </w:r>
      <w: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519"/>
        <w:gridCol w:w="1518"/>
        <w:gridCol w:w="1809"/>
        <w:gridCol w:w="1809"/>
      </w:tblGrid>
      <w:tr w:rsidR="003F0DA0" w:rsidRPr="00746A9A" w:rsidTr="00447139">
        <w:trPr>
          <w:cantSplit/>
          <w:trHeight w:val="288"/>
          <w:tblHeader/>
        </w:trPr>
        <w:tc>
          <w:tcPr>
            <w:tcW w:w="1427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:rsidR="003F0DA0" w:rsidRPr="00746A9A" w:rsidRDefault="003F0DA0" w:rsidP="0068165C">
            <w:pPr>
              <w:pStyle w:val="TCTableBody"/>
            </w:pPr>
            <w:r w:rsidRPr="00746A9A">
              <w:t> </w:t>
            </w:r>
          </w:p>
        </w:tc>
        <w:tc>
          <w:tcPr>
            <w:tcW w:w="163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  <w:r>
              <w:t>Current Study</w:t>
            </w:r>
          </w:p>
        </w:tc>
        <w:tc>
          <w:tcPr>
            <w:tcW w:w="194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2011-2012 NHANES</w:t>
            </w:r>
          </w:p>
        </w:tc>
      </w:tr>
      <w:tr w:rsidR="003F0DA0" w:rsidRPr="00746A9A" w:rsidTr="00447139">
        <w:trPr>
          <w:cantSplit/>
          <w:trHeight w:val="288"/>
          <w:tblHeader/>
        </w:trPr>
        <w:tc>
          <w:tcPr>
            <w:tcW w:w="1427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</w:p>
        </w:tc>
        <w:tc>
          <w:tcPr>
            <w:tcW w:w="8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  <w:r w:rsidRPr="00746A9A">
              <w:t>Nonsmoker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  <w:r>
              <w:t>Smoker</w:t>
            </w:r>
          </w:p>
        </w:tc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  <w:jc w:val="left"/>
            </w:pPr>
            <w:r w:rsidRPr="00746A9A">
              <w:t>Nonsmoker</w:t>
            </w:r>
          </w:p>
        </w:tc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Smoker</w:t>
            </w:r>
          </w:p>
        </w:tc>
      </w:tr>
      <w:tr w:rsidR="003F0DA0" w:rsidRPr="00746A9A" w:rsidTr="00447139">
        <w:trPr>
          <w:cantSplit/>
          <w:trHeight w:val="225"/>
          <w:tblHeader/>
        </w:trPr>
        <w:tc>
          <w:tcPr>
            <w:tcW w:w="1427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 w:rsidRPr="00746A9A">
              <w:t>Compound</w:t>
            </w:r>
          </w:p>
        </w:tc>
        <w:tc>
          <w:tcPr>
            <w:tcW w:w="8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F0DA0" w:rsidRDefault="003F0DA0" w:rsidP="0068165C">
            <w:pPr>
              <w:pStyle w:val="TCTableBody"/>
            </w:pPr>
            <w:r>
              <w:t>GM (pg/mL)</w:t>
            </w:r>
          </w:p>
        </w:tc>
        <w:tc>
          <w:tcPr>
            <w:tcW w:w="81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F0DA0" w:rsidRDefault="003F0DA0" w:rsidP="0068165C">
            <w:pPr>
              <w:pStyle w:val="TCTableBody"/>
            </w:pPr>
            <w:r>
              <w:t>GM (pg/mL)</w:t>
            </w:r>
          </w:p>
        </w:tc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  <w:r>
              <w:t>GM (pg/mL)</w:t>
            </w:r>
          </w:p>
        </w:tc>
        <w:tc>
          <w:tcPr>
            <w:tcW w:w="97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0DA0" w:rsidRPr="00746A9A" w:rsidRDefault="003F0DA0" w:rsidP="0068165C">
            <w:pPr>
              <w:pStyle w:val="TCTableBody"/>
            </w:pPr>
            <w:r>
              <w:t>GM (pg/mL)</w:t>
            </w:r>
          </w:p>
        </w:tc>
      </w:tr>
      <w:tr w:rsidR="003F0DA0" w:rsidRPr="000A6ADF" w:rsidTr="00447139">
        <w:trPr>
          <w:trHeight w:val="315"/>
        </w:trPr>
        <w:tc>
          <w:tcPr>
            <w:tcW w:w="14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 w:rsidRPr="00746A9A">
              <w:t> </w:t>
            </w:r>
            <w:r w:rsidRPr="000A6ADF">
              <w:t>1-</w:t>
            </w:r>
            <w:r>
              <w:t>Hydroxynaphthalene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793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5,060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1,190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9,590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 w:rsidRPr="00746A9A">
              <w:t> </w:t>
            </w:r>
            <w:r>
              <w:t>2</w:t>
            </w:r>
            <w:r w:rsidRPr="000A6ADF">
              <w:t>-</w:t>
            </w:r>
            <w:r>
              <w:t>Hydroxynaphthalene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2,370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14,100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3,170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12,400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2-Hydroxyfluorene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183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717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164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1160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3-Hydroxyfluorene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53.5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351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58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605</w:t>
            </w:r>
          </w:p>
        </w:tc>
      </w:tr>
      <w:tr w:rsidR="003F0DA0" w:rsidRPr="000A6ADF" w:rsidTr="00DA0B67">
        <w:trPr>
          <w:trHeight w:val="300"/>
        </w:trPr>
        <w:tc>
          <w:tcPr>
            <w:tcW w:w="142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9-Hydroxyfluorene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261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513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207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609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1-Hydroxyphenanthrene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131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201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115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198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2-Hydroxyphenanthrene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78.5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126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54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113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3-Hydroxyphenanthrene</w:t>
            </w:r>
          </w:p>
        </w:tc>
        <w:tc>
          <w:tcPr>
            <w:tcW w:w="815" w:type="pct"/>
            <w:tcBorders>
              <w:left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69.7</w:t>
            </w:r>
          </w:p>
        </w:tc>
        <w:tc>
          <w:tcPr>
            <w:tcW w:w="815" w:type="pct"/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159</w:t>
            </w:r>
          </w:p>
        </w:tc>
        <w:tc>
          <w:tcPr>
            <w:tcW w:w="971" w:type="pct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49</w:t>
            </w:r>
          </w:p>
        </w:tc>
        <w:tc>
          <w:tcPr>
            <w:tcW w:w="971" w:type="pct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140</w:t>
            </w:r>
          </w:p>
        </w:tc>
      </w:tr>
      <w:tr w:rsidR="003F0DA0" w:rsidRPr="000A6ADF" w:rsidTr="00DA0B67">
        <w:trPr>
          <w:trHeight w:val="315"/>
        </w:trPr>
        <w:tc>
          <w:tcPr>
            <w:tcW w:w="142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F0DA0" w:rsidRPr="00746A9A" w:rsidRDefault="003F0DA0" w:rsidP="0068165C">
            <w:pPr>
              <w:pStyle w:val="TCTableBody"/>
              <w:jc w:val="left"/>
            </w:pPr>
            <w:r>
              <w:t>4-Hydroxyphenanthrene</w:t>
            </w:r>
          </w:p>
        </w:tc>
        <w:tc>
          <w:tcPr>
            <w:tcW w:w="815" w:type="pct"/>
            <w:tcBorders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25.1</w:t>
            </w:r>
          </w:p>
        </w:tc>
        <w:tc>
          <w:tcPr>
            <w:tcW w:w="815" w:type="pct"/>
            <w:tcBorders>
              <w:bottom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41.1</w:t>
            </w:r>
          </w:p>
        </w:tc>
        <w:tc>
          <w:tcPr>
            <w:tcW w:w="971" w:type="pct"/>
            <w:tcBorders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18</w:t>
            </w:r>
          </w:p>
        </w:tc>
        <w:tc>
          <w:tcPr>
            <w:tcW w:w="971" w:type="pct"/>
            <w:tcBorders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39</w:t>
            </w:r>
          </w:p>
        </w:tc>
      </w:tr>
      <w:tr w:rsidR="003F0DA0" w:rsidRPr="00C662AA" w:rsidTr="00DA0B67">
        <w:trPr>
          <w:trHeight w:val="260"/>
        </w:trPr>
        <w:tc>
          <w:tcPr>
            <w:tcW w:w="1427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F0DA0" w:rsidRPr="00774EB7" w:rsidRDefault="003F0DA0" w:rsidP="0068165C">
            <w:pPr>
              <w:pStyle w:val="TCTableBody"/>
              <w:jc w:val="left"/>
            </w:pPr>
            <w:r w:rsidRPr="00774EB7">
              <w:t>1-Hydroxypyrene</w:t>
            </w:r>
          </w:p>
        </w:tc>
        <w:tc>
          <w:tcPr>
            <w:tcW w:w="815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795"/>
              </w:tabs>
            </w:pPr>
            <w:r>
              <w:t>100</w:t>
            </w:r>
          </w:p>
        </w:tc>
        <w:tc>
          <w:tcPr>
            <w:tcW w:w="815" w:type="pct"/>
            <w:tcBorders>
              <w:top w:val="dotted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F0DA0" w:rsidRDefault="003F0DA0" w:rsidP="0068165C">
            <w:pPr>
              <w:pStyle w:val="TCTableBody"/>
              <w:tabs>
                <w:tab w:val="decimal" w:pos="806"/>
              </w:tabs>
            </w:pPr>
            <w:r>
              <w:t>223</w:t>
            </w:r>
          </w:p>
        </w:tc>
        <w:tc>
          <w:tcPr>
            <w:tcW w:w="971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103"/>
              </w:tabs>
            </w:pPr>
            <w:r>
              <w:t>83</w:t>
            </w:r>
          </w:p>
        </w:tc>
        <w:tc>
          <w:tcPr>
            <w:tcW w:w="971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3F0DA0" w:rsidRDefault="003F0DA0" w:rsidP="0068165C">
            <w:pPr>
              <w:pStyle w:val="TCTableBody"/>
              <w:tabs>
                <w:tab w:val="decimal" w:pos="1049"/>
              </w:tabs>
            </w:pPr>
            <w:r>
              <w:t>243</w:t>
            </w:r>
          </w:p>
        </w:tc>
      </w:tr>
    </w:tbl>
    <w:p w:rsidR="003F0DA0" w:rsidRDefault="003F0DA0" w:rsidP="0068165C">
      <w:pPr>
        <w:pStyle w:val="TFReferencesSection"/>
        <w:spacing w:line="240" w:lineRule="auto"/>
        <w:ind w:firstLine="0"/>
      </w:pPr>
    </w:p>
    <w:p w:rsidR="003F0DA0" w:rsidRDefault="003F0DA0" w:rsidP="0068165C"/>
    <w:p w:rsidR="0068165C" w:rsidRDefault="0068165C" w:rsidP="0068165C">
      <w:pPr>
        <w:pStyle w:val="EndNoteBibliography"/>
        <w:ind w:left="630" w:hanging="630"/>
      </w:pPr>
      <w:r>
        <w:t>REFERENCES</w:t>
      </w:r>
    </w:p>
    <w:p w:rsidR="003F0DA0" w:rsidRPr="00336FCD" w:rsidRDefault="00F64636" w:rsidP="0068165C">
      <w:pPr>
        <w:pStyle w:val="EndNoteBibliography"/>
        <w:ind w:left="630" w:hanging="630"/>
      </w:pPr>
      <w:r>
        <w:t>CDC</w:t>
      </w:r>
      <w:r w:rsidR="002531FE" w:rsidRPr="0099520B">
        <w:t xml:space="preserve">. </w:t>
      </w:r>
      <w:r w:rsidR="002531FE" w:rsidRPr="00896FD3">
        <w:rPr>
          <w:i/>
        </w:rPr>
        <w:t>Fourth Report on Human Exposure to Environmental Chemicals, Updated Tables (February, 2015)</w:t>
      </w:r>
      <w:r w:rsidR="002531FE">
        <w:rPr>
          <w:i/>
        </w:rPr>
        <w:t>,</w:t>
      </w:r>
      <w:r w:rsidR="002531FE" w:rsidRPr="0099520B">
        <w:t xml:space="preserve"> Centers for Disease Control and Prevention</w:t>
      </w:r>
      <w:r w:rsidR="002531FE">
        <w:t>, Atlanta, 2015,</w:t>
      </w:r>
      <w:r w:rsidR="002531FE" w:rsidRPr="0099520B">
        <w:t xml:space="preserve"> </w:t>
      </w:r>
      <w:r w:rsidR="002531FE" w:rsidRPr="00A965FA">
        <w:t>https://www.cdc.gov/exposurereport/</w:t>
      </w:r>
      <w:r w:rsidR="002531FE">
        <w:t xml:space="preserve"> accessed Jan 23, 2017</w:t>
      </w:r>
      <w:r w:rsidR="002531FE" w:rsidRPr="0099520B">
        <w:t>.</w:t>
      </w:r>
    </w:p>
    <w:p w:rsidR="003F0DA0" w:rsidRDefault="003F0DA0" w:rsidP="0068165C"/>
    <w:p w:rsidR="00FC70C6" w:rsidRDefault="00FC70C6" w:rsidP="0068165C">
      <w:pPr>
        <w:spacing w:line="360" w:lineRule="auto"/>
      </w:pPr>
    </w:p>
    <w:sectPr w:rsidR="00FC70C6" w:rsidSect="0065510C">
      <w:pgSz w:w="12240" w:h="15840" w:code="1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F9" w:rsidRDefault="00CE6637">
      <w:pPr>
        <w:spacing w:after="0"/>
      </w:pPr>
      <w:r>
        <w:separator/>
      </w:r>
    </w:p>
  </w:endnote>
  <w:endnote w:type="continuationSeparator" w:id="0">
    <w:p w:rsidR="007450F9" w:rsidRDefault="00CE6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3C" w:rsidRDefault="003F0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97F3C" w:rsidRDefault="009F57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F3C" w:rsidRDefault="003F0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76B">
      <w:rPr>
        <w:rStyle w:val="PageNumber"/>
        <w:noProof/>
      </w:rPr>
      <w:t>5</w:t>
    </w:r>
    <w:r>
      <w:rPr>
        <w:rStyle w:val="PageNumber"/>
      </w:rPr>
      <w:fldChar w:fldCharType="end"/>
    </w:r>
  </w:p>
  <w:p w:rsidR="00397F3C" w:rsidRDefault="009F576B" w:rsidP="002C6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F9" w:rsidRDefault="00CE6637">
      <w:pPr>
        <w:spacing w:after="0"/>
      </w:pPr>
      <w:r>
        <w:separator/>
      </w:r>
    </w:p>
  </w:footnote>
  <w:footnote w:type="continuationSeparator" w:id="0">
    <w:p w:rsidR="007450F9" w:rsidRDefault="00CE66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5263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4C1A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729A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DA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C20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0A1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22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E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0E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42A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26860"/>
    <w:multiLevelType w:val="hybridMultilevel"/>
    <w:tmpl w:val="92569ADA"/>
    <w:lvl w:ilvl="0" w:tplc="1DBE7582">
      <w:start w:val="1"/>
      <w:numFmt w:val="decimal"/>
      <w:lvlText w:val="(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2BBB6685"/>
    <w:multiLevelType w:val="hybridMultilevel"/>
    <w:tmpl w:val="93465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B443A"/>
    <w:multiLevelType w:val="hybridMultilevel"/>
    <w:tmpl w:val="333E368C"/>
    <w:lvl w:ilvl="0" w:tplc="3636415E">
      <w:start w:val="1"/>
      <w:numFmt w:val="bullet"/>
      <w:lvlText w:val="-"/>
      <w:lvlJc w:val="left"/>
      <w:pPr>
        <w:ind w:left="4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25356CC"/>
    <w:multiLevelType w:val="hybridMultilevel"/>
    <w:tmpl w:val="0DEA2736"/>
    <w:lvl w:ilvl="0" w:tplc="2B90B3C4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220483"/>
    <w:multiLevelType w:val="hybridMultilevel"/>
    <w:tmpl w:val="A4E6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9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20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4B02B53"/>
    <w:multiLevelType w:val="hybridMultilevel"/>
    <w:tmpl w:val="80E69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0D024B"/>
    <w:multiLevelType w:val="hybridMultilevel"/>
    <w:tmpl w:val="C7B053B8"/>
    <w:lvl w:ilvl="0" w:tplc="B47C761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6460A"/>
    <w:multiLevelType w:val="hybridMultilevel"/>
    <w:tmpl w:val="A4E6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095B"/>
    <w:multiLevelType w:val="hybridMultilevel"/>
    <w:tmpl w:val="4E047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38583D"/>
    <w:multiLevelType w:val="hybridMultilevel"/>
    <w:tmpl w:val="50B20F26"/>
    <w:lvl w:ilvl="0" w:tplc="B552C1A4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D6BF8"/>
    <w:multiLevelType w:val="hybridMultilevel"/>
    <w:tmpl w:val="3C1E97E4"/>
    <w:lvl w:ilvl="0" w:tplc="12A00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17E9"/>
    <w:multiLevelType w:val="multilevel"/>
    <w:tmpl w:val="84A67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8" w15:restartNumberingAfterBreak="0">
    <w:nsid w:val="7E27044F"/>
    <w:multiLevelType w:val="hybridMultilevel"/>
    <w:tmpl w:val="1026D02A"/>
    <w:lvl w:ilvl="0" w:tplc="0B0C2154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0"/>
  </w:num>
  <w:num w:numId="4">
    <w:abstractNumId w:val="18"/>
  </w:num>
  <w:num w:numId="5">
    <w:abstractNumId w:val="15"/>
  </w:num>
  <w:num w:numId="6">
    <w:abstractNumId w:val="1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11"/>
  </w:num>
  <w:num w:numId="11">
    <w:abstractNumId w:val="12"/>
  </w:num>
  <w:num w:numId="12">
    <w:abstractNumId w:val="22"/>
  </w:num>
  <w:num w:numId="13">
    <w:abstractNumId w:val="23"/>
  </w:num>
  <w:num w:numId="14">
    <w:abstractNumId w:val="28"/>
  </w:num>
  <w:num w:numId="15">
    <w:abstractNumId w:val="25"/>
  </w:num>
  <w:num w:numId="16">
    <w:abstractNumId w:val="16"/>
  </w:num>
  <w:num w:numId="17">
    <w:abstractNumId w:val="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F0DA0"/>
    <w:rsid w:val="002531FE"/>
    <w:rsid w:val="003F0DA0"/>
    <w:rsid w:val="0068165C"/>
    <w:rsid w:val="00714226"/>
    <w:rsid w:val="007450F9"/>
    <w:rsid w:val="009D5E75"/>
    <w:rsid w:val="009F576B"/>
    <w:rsid w:val="00AC2F55"/>
    <w:rsid w:val="00AC62A3"/>
    <w:rsid w:val="00C81709"/>
    <w:rsid w:val="00CE6637"/>
    <w:rsid w:val="00D26908"/>
    <w:rsid w:val="00DB20D7"/>
    <w:rsid w:val="00E42630"/>
    <w:rsid w:val="00F6463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9188"/>
  <w15:chartTrackingRefBased/>
  <w15:docId w15:val="{E8E97F2C-D40F-4DB9-BE70-9E7EE628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DA0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TAMainText"/>
    <w:next w:val="TAMainText"/>
    <w:link w:val="Heading1Char"/>
    <w:qFormat/>
    <w:rsid w:val="003F0D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DA0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DA0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D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DA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FollowedHyperlink">
    <w:name w:val="FollowedHyperlink"/>
    <w:rsid w:val="003F0DA0"/>
    <w:rPr>
      <w:color w:val="800080"/>
      <w:u w:val="single"/>
    </w:rPr>
  </w:style>
  <w:style w:type="paragraph" w:styleId="BodyText">
    <w:name w:val="Body Text"/>
    <w:basedOn w:val="Normal"/>
    <w:link w:val="BodyTextChar"/>
    <w:rsid w:val="003F0DA0"/>
    <w:pPr>
      <w:jc w:val="center"/>
    </w:pPr>
    <w:rPr>
      <w:b/>
      <w:sz w:val="40"/>
    </w:rPr>
  </w:style>
  <w:style w:type="character" w:customStyle="1" w:styleId="BodyTextChar">
    <w:name w:val="Body Text Char"/>
    <w:basedOn w:val="DefaultParagraphFont"/>
    <w:link w:val="BodyText"/>
    <w:rsid w:val="003F0DA0"/>
    <w:rPr>
      <w:rFonts w:ascii="Times" w:eastAsia="Times New Roman" w:hAnsi="Times" w:cs="Times New Roman"/>
      <w:b/>
      <w:sz w:val="40"/>
      <w:szCs w:val="20"/>
    </w:rPr>
  </w:style>
  <w:style w:type="paragraph" w:styleId="FootnoteText">
    <w:name w:val="footnote text"/>
    <w:basedOn w:val="Normal"/>
    <w:next w:val="TFReferencesSection"/>
    <w:link w:val="FootnoteTextChar"/>
    <w:semiHidden/>
    <w:rsid w:val="003F0DA0"/>
  </w:style>
  <w:style w:type="character" w:customStyle="1" w:styleId="FootnoteTextChar">
    <w:name w:val="Footnote Text Char"/>
    <w:basedOn w:val="DefaultParagraphFont"/>
    <w:link w:val="FootnoteText"/>
    <w:semiHidden/>
    <w:rsid w:val="003F0DA0"/>
    <w:rPr>
      <w:rFonts w:ascii="Times" w:eastAsia="Times New Roman" w:hAnsi="Times" w:cs="Times New Roman"/>
      <w:sz w:val="24"/>
      <w:szCs w:val="20"/>
    </w:rPr>
  </w:style>
  <w:style w:type="paragraph" w:customStyle="1" w:styleId="TFReferencesSection">
    <w:name w:val="TF_References_Section"/>
    <w:basedOn w:val="Normal"/>
    <w:link w:val="TFReferencesSectionChar"/>
    <w:rsid w:val="003F0DA0"/>
    <w:pPr>
      <w:spacing w:line="480" w:lineRule="auto"/>
      <w:ind w:firstLine="187"/>
    </w:pPr>
  </w:style>
  <w:style w:type="paragraph" w:customStyle="1" w:styleId="TAMainText">
    <w:name w:val="TA_Main_Text"/>
    <w:basedOn w:val="Normal"/>
    <w:link w:val="TAMainTextChar"/>
    <w:rsid w:val="003F0DA0"/>
    <w:pPr>
      <w:spacing w:after="0" w:line="480" w:lineRule="auto"/>
      <w:ind w:firstLine="202"/>
    </w:pPr>
  </w:style>
  <w:style w:type="paragraph" w:customStyle="1" w:styleId="BATitle">
    <w:name w:val="BA_Title"/>
    <w:basedOn w:val="Normal"/>
    <w:next w:val="BBAuthorName"/>
    <w:rsid w:val="003F0DA0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3F0DA0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BIEmailAddress"/>
    <w:rsid w:val="003F0DA0"/>
    <w:pPr>
      <w:spacing w:after="240" w:line="480" w:lineRule="auto"/>
      <w:jc w:val="center"/>
    </w:pPr>
  </w:style>
  <w:style w:type="paragraph" w:customStyle="1" w:styleId="BIEmailAddress">
    <w:name w:val="BI_Email_Address"/>
    <w:basedOn w:val="Normal"/>
    <w:next w:val="AIReceivedDate"/>
    <w:rsid w:val="003F0DA0"/>
    <w:pPr>
      <w:spacing w:line="480" w:lineRule="auto"/>
    </w:pPr>
  </w:style>
  <w:style w:type="paragraph" w:customStyle="1" w:styleId="AIReceivedDate">
    <w:name w:val="AI_Received_Date"/>
    <w:basedOn w:val="Normal"/>
    <w:next w:val="BDAbstract"/>
    <w:rsid w:val="003F0DA0"/>
    <w:pPr>
      <w:spacing w:after="240" w:line="480" w:lineRule="auto"/>
    </w:pPr>
    <w:rPr>
      <w:b/>
    </w:rPr>
  </w:style>
  <w:style w:type="paragraph" w:customStyle="1" w:styleId="BDAbstract">
    <w:name w:val="BD_Abstract"/>
    <w:basedOn w:val="Normal"/>
    <w:next w:val="TAMainText"/>
    <w:rsid w:val="003F0DA0"/>
    <w:pPr>
      <w:spacing w:before="360" w:after="360" w:line="480" w:lineRule="auto"/>
    </w:pPr>
  </w:style>
  <w:style w:type="paragraph" w:customStyle="1" w:styleId="TDAcknowledgments">
    <w:name w:val="TD_Acknowledgments"/>
    <w:basedOn w:val="Normal"/>
    <w:next w:val="Normal"/>
    <w:rsid w:val="003F0DA0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rsid w:val="003F0DA0"/>
    <w:pPr>
      <w:spacing w:line="480" w:lineRule="auto"/>
      <w:ind w:firstLine="187"/>
    </w:pPr>
  </w:style>
  <w:style w:type="paragraph" w:customStyle="1" w:styleId="VCSchemeTitle">
    <w:name w:val="VC_Scheme_Title"/>
    <w:basedOn w:val="Normal"/>
    <w:next w:val="Normal"/>
    <w:rsid w:val="003F0DA0"/>
    <w:pPr>
      <w:spacing w:line="480" w:lineRule="auto"/>
    </w:pPr>
  </w:style>
  <w:style w:type="paragraph" w:customStyle="1" w:styleId="VDTableTitle">
    <w:name w:val="VD_Table_Title"/>
    <w:basedOn w:val="Normal"/>
    <w:next w:val="Normal"/>
    <w:rsid w:val="003F0DA0"/>
    <w:pPr>
      <w:spacing w:line="480" w:lineRule="auto"/>
    </w:pPr>
  </w:style>
  <w:style w:type="paragraph" w:customStyle="1" w:styleId="VAFigureCaption">
    <w:name w:val="VA_Figure_Caption"/>
    <w:basedOn w:val="Normal"/>
    <w:next w:val="Normal"/>
    <w:rsid w:val="003F0DA0"/>
    <w:pPr>
      <w:spacing w:line="480" w:lineRule="auto"/>
    </w:pPr>
  </w:style>
  <w:style w:type="paragraph" w:customStyle="1" w:styleId="VBChartTitle">
    <w:name w:val="VB_Chart_Title"/>
    <w:basedOn w:val="Normal"/>
    <w:next w:val="Normal"/>
    <w:rsid w:val="003F0DA0"/>
    <w:pPr>
      <w:spacing w:line="480" w:lineRule="auto"/>
    </w:pPr>
  </w:style>
  <w:style w:type="paragraph" w:customStyle="1" w:styleId="FETableFootnote">
    <w:name w:val="FE_Table_Footnote"/>
    <w:basedOn w:val="Normal"/>
    <w:next w:val="Normal"/>
    <w:rsid w:val="003F0DA0"/>
    <w:pPr>
      <w:ind w:firstLine="187"/>
    </w:pPr>
  </w:style>
  <w:style w:type="paragraph" w:customStyle="1" w:styleId="FCChartFootnote">
    <w:name w:val="FC_Chart_Footnote"/>
    <w:basedOn w:val="Normal"/>
    <w:next w:val="Normal"/>
    <w:rsid w:val="003F0DA0"/>
    <w:pPr>
      <w:ind w:firstLine="187"/>
    </w:pPr>
  </w:style>
  <w:style w:type="paragraph" w:customStyle="1" w:styleId="FDSchemeFootnote">
    <w:name w:val="FD_Scheme_Footnote"/>
    <w:basedOn w:val="Normal"/>
    <w:next w:val="Normal"/>
    <w:rsid w:val="003F0DA0"/>
    <w:pPr>
      <w:ind w:firstLine="187"/>
    </w:pPr>
  </w:style>
  <w:style w:type="paragraph" w:customStyle="1" w:styleId="TCTableBody">
    <w:name w:val="TC_Table_Body"/>
    <w:basedOn w:val="Normal"/>
    <w:rsid w:val="003F0DA0"/>
  </w:style>
  <w:style w:type="paragraph" w:customStyle="1" w:styleId="AFTitleRunningHead">
    <w:name w:val="AF_Title_Running_Head"/>
    <w:basedOn w:val="Normal"/>
    <w:next w:val="TAMainText"/>
    <w:rsid w:val="003F0DA0"/>
    <w:pPr>
      <w:spacing w:line="480" w:lineRule="auto"/>
    </w:pPr>
  </w:style>
  <w:style w:type="paragraph" w:customStyle="1" w:styleId="BEAuthorBiography">
    <w:name w:val="BE_Author_Biography"/>
    <w:basedOn w:val="Normal"/>
    <w:rsid w:val="003F0DA0"/>
    <w:pPr>
      <w:spacing w:line="480" w:lineRule="auto"/>
    </w:pPr>
  </w:style>
  <w:style w:type="paragraph" w:customStyle="1" w:styleId="FACorrespondingAuthorFootnote">
    <w:name w:val="FA_Corresponding_Author_Footnote"/>
    <w:basedOn w:val="Normal"/>
    <w:next w:val="TAMainText"/>
    <w:rsid w:val="003F0DA0"/>
    <w:pPr>
      <w:spacing w:line="480" w:lineRule="auto"/>
    </w:pPr>
  </w:style>
  <w:style w:type="paragraph" w:customStyle="1" w:styleId="SNSynopsisTOC">
    <w:name w:val="SN_Synopsis_TOC"/>
    <w:basedOn w:val="Normal"/>
    <w:rsid w:val="003F0DA0"/>
    <w:pPr>
      <w:spacing w:line="480" w:lineRule="auto"/>
    </w:pPr>
  </w:style>
  <w:style w:type="character" w:styleId="Hyperlink">
    <w:name w:val="Hyperlink"/>
    <w:rsid w:val="003F0DA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F0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DA0"/>
    <w:rPr>
      <w:rFonts w:ascii="Times" w:eastAsia="Times New Roman" w:hAnsi="Times" w:cs="Times New Roman"/>
      <w:sz w:val="24"/>
      <w:szCs w:val="20"/>
    </w:rPr>
  </w:style>
  <w:style w:type="paragraph" w:customStyle="1" w:styleId="BGKeywords">
    <w:name w:val="BG_Keywords"/>
    <w:basedOn w:val="Normal"/>
    <w:rsid w:val="003F0DA0"/>
    <w:pPr>
      <w:spacing w:line="480" w:lineRule="auto"/>
    </w:pPr>
  </w:style>
  <w:style w:type="paragraph" w:customStyle="1" w:styleId="BHBriefs">
    <w:name w:val="BH_Briefs"/>
    <w:basedOn w:val="Normal"/>
    <w:rsid w:val="003F0DA0"/>
    <w:pPr>
      <w:spacing w:line="480" w:lineRule="auto"/>
    </w:pPr>
  </w:style>
  <w:style w:type="character" w:styleId="PageNumber">
    <w:name w:val="page number"/>
    <w:basedOn w:val="DefaultParagraphFont"/>
    <w:rsid w:val="003F0DA0"/>
  </w:style>
  <w:style w:type="paragraph" w:styleId="BalloonText">
    <w:name w:val="Balloon Text"/>
    <w:basedOn w:val="Normal"/>
    <w:link w:val="BalloonTextChar"/>
    <w:semiHidden/>
    <w:rsid w:val="003F0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F0DA0"/>
    <w:rPr>
      <w:rFonts w:ascii="Tahoma" w:eastAsia="Times New Roman" w:hAnsi="Tahoma" w:cs="Tahoma"/>
      <w:sz w:val="16"/>
      <w:szCs w:val="16"/>
    </w:r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3F0DA0"/>
    <w:pPr>
      <w:spacing w:after="0"/>
      <w:jc w:val="left"/>
    </w:pPr>
    <w:rPr>
      <w:rFonts w:ascii="Times New Roman" w:hAnsi="Times New Roman"/>
      <w:kern w:val="20"/>
      <w:szCs w:val="24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3F0DA0"/>
    <w:rPr>
      <w:rFonts w:ascii="Times New Roman" w:eastAsia="Times New Roman" w:hAnsi="Times New Roman" w:cs="Times New Roman"/>
      <w:kern w:val="20"/>
      <w:sz w:val="24"/>
      <w:szCs w:val="24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3F0DA0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3F0DA0"/>
    <w:rPr>
      <w:rFonts w:ascii="Times" w:eastAsia="Times New Roman" w:hAnsi="Times" w:cs="Times New Roman"/>
      <w:b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3F0DA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F0D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F0DA0"/>
    <w:rPr>
      <w:b/>
      <w:bCs/>
    </w:rPr>
  </w:style>
  <w:style w:type="paragraph" w:styleId="EndnoteText">
    <w:name w:val="endnote text"/>
    <w:basedOn w:val="Normal"/>
    <w:link w:val="EndnoteTextChar"/>
    <w:rsid w:val="003F0DA0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0DA0"/>
    <w:rPr>
      <w:rFonts w:ascii="Times" w:eastAsia="Times New Roman" w:hAnsi="Times" w:cs="Times New Roman"/>
      <w:sz w:val="20"/>
      <w:szCs w:val="20"/>
    </w:rPr>
  </w:style>
  <w:style w:type="character" w:styleId="EndnoteReference">
    <w:name w:val="endnote reference"/>
    <w:basedOn w:val="DefaultParagraphFont"/>
    <w:rsid w:val="003F0DA0"/>
    <w:rPr>
      <w:vertAlign w:val="superscript"/>
    </w:rPr>
  </w:style>
  <w:style w:type="character" w:styleId="FootnoteReference">
    <w:name w:val="footnote reference"/>
    <w:basedOn w:val="DefaultParagraphFont"/>
    <w:rsid w:val="003F0D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F0DA0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3F0D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D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DA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F0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DA0"/>
    <w:rPr>
      <w:rFonts w:ascii="Times" w:eastAsia="Times New Roman" w:hAnsi="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0DA0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0DA0"/>
    <w:rPr>
      <w:b/>
      <w:bCs/>
      <w:color w:val="5B9BD5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F0DA0"/>
    <w:rPr>
      <w:color w:val="808080"/>
    </w:rPr>
  </w:style>
  <w:style w:type="table" w:styleId="TableGrid">
    <w:name w:val="Table Grid"/>
    <w:basedOn w:val="TableNormal"/>
    <w:rsid w:val="003F0DA0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0D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F0DA0"/>
    <w:rPr>
      <w:rFonts w:ascii="Times" w:eastAsia="Times New Roman" w:hAnsi="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3F0DA0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  <w:style w:type="character" w:styleId="LineNumber">
    <w:name w:val="line number"/>
    <w:basedOn w:val="DefaultParagraphFont"/>
    <w:semiHidden/>
    <w:unhideWhenUsed/>
    <w:rsid w:val="003F0DA0"/>
  </w:style>
  <w:style w:type="character" w:customStyle="1" w:styleId="TAMainTextChar">
    <w:name w:val="TA_Main_Text Char"/>
    <w:basedOn w:val="DefaultParagraphFont"/>
    <w:link w:val="TAMainText"/>
    <w:rsid w:val="003F0DA0"/>
    <w:rPr>
      <w:rFonts w:ascii="Times" w:eastAsia="Times New Roman" w:hAnsi="Times" w:cs="Times New Roman"/>
      <w:sz w:val="24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F0DA0"/>
    <w:pPr>
      <w:spacing w:after="0"/>
      <w:jc w:val="center"/>
    </w:pPr>
    <w:rPr>
      <w:rFonts w:cs="Times"/>
      <w:noProof/>
    </w:rPr>
  </w:style>
  <w:style w:type="character" w:customStyle="1" w:styleId="TFReferencesSectionChar">
    <w:name w:val="TF_References_Section Char"/>
    <w:basedOn w:val="DefaultParagraphFont"/>
    <w:link w:val="TFReferencesSection"/>
    <w:rsid w:val="003F0DA0"/>
    <w:rPr>
      <w:rFonts w:ascii="Times" w:eastAsia="Times New Roman" w:hAnsi="Times" w:cs="Times New Roman"/>
      <w:sz w:val="24"/>
      <w:szCs w:val="20"/>
    </w:rPr>
  </w:style>
  <w:style w:type="character" w:customStyle="1" w:styleId="EndNoteBibliographyTitleChar">
    <w:name w:val="EndNote Bibliography Title Char"/>
    <w:basedOn w:val="TFReferencesSectionChar"/>
    <w:link w:val="EndNoteBibliographyTitle"/>
    <w:rsid w:val="003F0DA0"/>
    <w:rPr>
      <w:rFonts w:ascii="Times" w:eastAsia="Times New Roman" w:hAnsi="Times" w:cs="Times"/>
      <w:noProof/>
      <w:sz w:val="24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3F0DA0"/>
    <w:rPr>
      <w:rFonts w:cs="Times"/>
      <w:noProof/>
    </w:rPr>
  </w:style>
  <w:style w:type="character" w:customStyle="1" w:styleId="EndNoteBibliographyChar">
    <w:name w:val="EndNote Bibliography Char"/>
    <w:basedOn w:val="TFReferencesSectionChar"/>
    <w:link w:val="EndNoteBibliography"/>
    <w:rsid w:val="003F0DA0"/>
    <w:rPr>
      <w:rFonts w:ascii="Times" w:eastAsia="Times New Roman" w:hAnsi="Times" w:cs="Times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ilton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Donald (CDC/ONDIEH/NCEH)</dc:creator>
  <cp:keywords/>
  <dc:description/>
  <cp:lastModifiedBy>Hilton, Donald (CDC/ONDIEH/NCEH)</cp:lastModifiedBy>
  <cp:revision>3</cp:revision>
  <dcterms:created xsi:type="dcterms:W3CDTF">2017-09-15T17:51:00Z</dcterms:created>
  <dcterms:modified xsi:type="dcterms:W3CDTF">2017-09-15T17:52:00Z</dcterms:modified>
</cp:coreProperties>
</file>