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F8E" w:rsidRDefault="00C56F8E" w:rsidP="00C56F8E">
      <w:pPr>
        <w:pStyle w:val="Heading2"/>
      </w:pPr>
      <w:r>
        <w:t>Supplemental Digital Content 3</w:t>
      </w:r>
      <w:r w:rsidRPr="0049641A">
        <w:t xml:space="preserve">: </w:t>
      </w:r>
      <w:r>
        <w:t>Detailed Costs</w:t>
      </w:r>
    </w:p>
    <w:p w:rsidR="00C56F8E" w:rsidRPr="00CD30DC" w:rsidRDefault="00C56F8E" w:rsidP="00C56F8E">
      <w:pPr>
        <w:rPr>
          <w:i/>
          <w:sz w:val="24"/>
        </w:rPr>
      </w:pPr>
      <w:r w:rsidRPr="00CD30DC">
        <w:rPr>
          <w:i/>
          <w:sz w:val="24"/>
        </w:rPr>
        <w:t>Labor</w:t>
      </w:r>
    </w:p>
    <w:tbl>
      <w:tblPr>
        <w:tblW w:w="5000" w:type="pct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4301"/>
        <w:gridCol w:w="759"/>
        <w:gridCol w:w="759"/>
        <w:gridCol w:w="474"/>
        <w:gridCol w:w="547"/>
        <w:gridCol w:w="474"/>
        <w:gridCol w:w="547"/>
        <w:gridCol w:w="547"/>
        <w:gridCol w:w="687"/>
        <w:gridCol w:w="692"/>
        <w:gridCol w:w="511"/>
        <w:gridCol w:w="511"/>
        <w:gridCol w:w="697"/>
        <w:gridCol w:w="767"/>
        <w:gridCol w:w="687"/>
      </w:tblGrid>
      <w:tr w:rsidR="00C56F8E" w:rsidRPr="002C634C" w:rsidTr="003B3E19">
        <w:trPr>
          <w:trHeight w:val="330"/>
        </w:trPr>
        <w:tc>
          <w:tcPr>
            <w:tcW w:w="165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START activities</w:t>
            </w:r>
          </w:p>
        </w:tc>
        <w:tc>
          <w:tcPr>
            <w:tcW w:w="2117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Resource use</w:t>
            </w:r>
            <w:r w:rsidRPr="005F6596">
              <w:rPr>
                <w:rFonts w:ascii="Calibri" w:hAnsi="Calibri" w:cs="Times New Roman"/>
                <w:b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Total labor cost (2011$)</w:t>
            </w:r>
            <w:r>
              <w:rPr>
                <w:rFonts w:ascii="Calibri" w:hAnsi="Calibri" w:cs="Times New Roman"/>
                <w:sz w:val="18"/>
                <w:szCs w:val="18"/>
                <w:vertAlign w:val="superscript"/>
              </w:rPr>
              <w:t>‡</w:t>
            </w:r>
          </w:p>
        </w:tc>
      </w:tr>
      <w:tr w:rsidR="00C56F8E" w:rsidRPr="002C634C" w:rsidTr="003B3E19">
        <w:trPr>
          <w:trHeight w:val="315"/>
        </w:trPr>
        <w:tc>
          <w:tcPr>
            <w:tcW w:w="16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VP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HR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Manager</w:t>
            </w:r>
          </w:p>
        </w:tc>
        <w:tc>
          <w:tcPr>
            <w:tcW w:w="4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Employee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Total (h)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VP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HR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Manager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Employee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Total ($)</w:t>
            </w:r>
          </w:p>
        </w:tc>
      </w:tr>
      <w:tr w:rsidR="00C56F8E" w:rsidRPr="002C634C" w:rsidTr="003B3E19">
        <w:trPr>
          <w:trHeight w:val="360"/>
        </w:trPr>
        <w:tc>
          <w:tcPr>
            <w:tcW w:w="16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Customization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N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N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N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N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C56F8E" w:rsidRPr="002C634C" w:rsidTr="003B3E19">
        <w:trPr>
          <w:trHeight w:val="300"/>
        </w:trPr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Understanding the Corporate Environment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       1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  4.00 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-   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-   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-   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-   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-  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   -  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291</w:t>
            </w:r>
          </w:p>
        </w:tc>
      </w:tr>
      <w:tr w:rsidR="00C56F8E" w:rsidRPr="002C634C" w:rsidTr="003B3E19">
        <w:trPr>
          <w:trHeight w:val="300"/>
        </w:trPr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Per-site briefing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     -  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      -   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26 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-  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   -  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52.00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806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1,536</w:t>
            </w:r>
          </w:p>
        </w:tc>
      </w:tr>
      <w:tr w:rsidR="00C56F8E" w:rsidRPr="002C634C" w:rsidTr="003B3E19">
        <w:trPr>
          <w:trHeight w:val="300"/>
        </w:trPr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Site-level info gathering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     -  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      -   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-   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-   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-  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   -  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6.50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183</w:t>
            </w:r>
          </w:p>
        </w:tc>
      </w:tr>
      <w:tr w:rsidR="00C56F8E" w:rsidRPr="002C634C" w:rsidTr="003B3E19">
        <w:trPr>
          <w:trHeight w:val="300"/>
        </w:trPr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Piloting iPods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     -  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      -   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-   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-   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-  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   -  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42</w:t>
            </w:r>
          </w:p>
        </w:tc>
      </w:tr>
      <w:tr w:rsidR="00C56F8E" w:rsidRPr="002C634C" w:rsidTr="003B3E19">
        <w:trPr>
          <w:trHeight w:val="300"/>
        </w:trPr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Supervisor support behaviors identification - </w:t>
            </w:r>
            <w:proofErr w:type="spellStart"/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Empl</w:t>
            </w:r>
            <w:proofErr w:type="spellEnd"/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Focus Groups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     -  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      -   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-   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-   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514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626</w:t>
            </w:r>
          </w:p>
        </w:tc>
      </w:tr>
      <w:tr w:rsidR="00C56F8E" w:rsidRPr="002C634C" w:rsidTr="003B3E19">
        <w:trPr>
          <w:trHeight w:val="300"/>
        </w:trPr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Supervisor support behaviors identification - </w:t>
            </w:r>
            <w:proofErr w:type="spellStart"/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Mgr</w:t>
            </w:r>
            <w:proofErr w:type="spellEnd"/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One-on-Ones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     -  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      -   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-  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   -  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591</w:t>
            </w:r>
          </w:p>
        </w:tc>
      </w:tr>
      <w:tr w:rsidR="00C56F8E" w:rsidRPr="002C634C" w:rsidTr="003B3E19">
        <w:trPr>
          <w:trHeight w:val="300"/>
        </w:trPr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Supervisor support behaviors identification - </w:t>
            </w:r>
            <w:proofErr w:type="spellStart"/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Mgr</w:t>
            </w:r>
            <w:proofErr w:type="spellEnd"/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Focus Groups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     -  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      -   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-  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   -  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496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552</w:t>
            </w:r>
          </w:p>
        </w:tc>
      </w:tr>
      <w:tr w:rsidR="00C56F8E" w:rsidRPr="002C634C" w:rsidTr="003B3E19">
        <w:trPr>
          <w:trHeight w:val="300"/>
        </w:trPr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Adaptation of training content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     -  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      -   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-   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-   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-  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   -  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225</w:t>
            </w:r>
          </w:p>
        </w:tc>
      </w:tr>
      <w:tr w:rsidR="00C56F8E" w:rsidRPr="002C634C" w:rsidTr="003B3E19">
        <w:trPr>
          <w:trHeight w:val="300"/>
        </w:trPr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Collection of company pictures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     -  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      -   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-   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-   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-  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   -  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84</w:t>
            </w:r>
          </w:p>
        </w:tc>
      </w:tr>
      <w:tr w:rsidR="00C56F8E" w:rsidRPr="002C634C" w:rsidTr="003B3E19">
        <w:trPr>
          <w:trHeight w:val="315"/>
        </w:trPr>
        <w:tc>
          <w:tcPr>
            <w:tcW w:w="16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Video filming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       2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  2.00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-   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-   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-  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   -  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319</w:t>
            </w:r>
          </w:p>
        </w:tc>
      </w:tr>
      <w:tr w:rsidR="00C56F8E" w:rsidRPr="002C634C" w:rsidTr="003B3E19">
        <w:trPr>
          <w:trHeight w:val="300"/>
        </w:trPr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Total customization</w:t>
            </w:r>
          </w:p>
        </w:tc>
        <w:tc>
          <w:tcPr>
            <w:tcW w:w="586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76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581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1,741</w:t>
            </w: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1,612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514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4,449</w:t>
            </w:r>
          </w:p>
        </w:tc>
      </w:tr>
      <w:tr w:rsidR="00C56F8E" w:rsidRPr="002C634C" w:rsidTr="003B3E19">
        <w:trPr>
          <w:trHeight w:val="315"/>
        </w:trPr>
        <w:tc>
          <w:tcPr>
            <w:tcW w:w="16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Start-up activities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C56F8E" w:rsidRPr="002C634C" w:rsidTr="003B3E19">
        <w:trPr>
          <w:trHeight w:val="300"/>
        </w:trPr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Contract negotiations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       1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  2.00 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-   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-   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-   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-   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-  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   -  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145</w:t>
            </w:r>
          </w:p>
        </w:tc>
      </w:tr>
      <w:tr w:rsidR="00C56F8E" w:rsidRPr="002C634C" w:rsidTr="003B3E19">
        <w:trPr>
          <w:trHeight w:val="300"/>
        </w:trPr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Planning/ additional communication--START Readiness Session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       1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54.03 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-   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-   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1.08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-  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   -  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211.05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3,927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4,868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8,795</w:t>
            </w:r>
          </w:p>
        </w:tc>
      </w:tr>
      <w:tr w:rsidR="00C56F8E" w:rsidRPr="002C634C" w:rsidTr="003B3E19">
        <w:trPr>
          <w:trHeight w:val="300"/>
        </w:trPr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Scheduling participatory sessions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     -  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      -   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-   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-   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-  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   -  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39.00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1,095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1,095</w:t>
            </w:r>
          </w:p>
        </w:tc>
      </w:tr>
      <w:tr w:rsidR="00C56F8E" w:rsidRPr="002C634C" w:rsidTr="003B3E19">
        <w:trPr>
          <w:trHeight w:val="300"/>
        </w:trPr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Scheduling CBT and BSM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     -  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      -   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-   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-   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-  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   -  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3.25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91</w:t>
            </w:r>
          </w:p>
        </w:tc>
      </w:tr>
      <w:tr w:rsidR="00C56F8E" w:rsidRPr="002C634C" w:rsidTr="003B3E19">
        <w:trPr>
          <w:trHeight w:val="300"/>
        </w:trPr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Preparing CBT and BSM equipment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     -  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      -   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-   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-   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-  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   -  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13.00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365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365</w:t>
            </w:r>
          </w:p>
        </w:tc>
      </w:tr>
      <w:tr w:rsidR="00C56F8E" w:rsidRPr="002C634C" w:rsidTr="003B3E19">
        <w:trPr>
          <w:trHeight w:val="315"/>
        </w:trPr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Preparation of Handouts for Sessions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     -  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      -   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31.67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-   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-   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-  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   -  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31.67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889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889</w:t>
            </w:r>
          </w:p>
        </w:tc>
      </w:tr>
      <w:tr w:rsidR="00C56F8E" w:rsidRPr="002C634C" w:rsidTr="003B3E19">
        <w:trPr>
          <w:trHeight w:val="300"/>
        </w:trPr>
        <w:tc>
          <w:tcPr>
            <w:tcW w:w="165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Total start-up</w:t>
            </w:r>
          </w:p>
        </w:tc>
        <w:tc>
          <w:tcPr>
            <w:tcW w:w="586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476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4,073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2,441</w:t>
            </w: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4,868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11,381</w:t>
            </w:r>
          </w:p>
        </w:tc>
      </w:tr>
      <w:tr w:rsidR="00C56F8E" w:rsidRPr="002C634C" w:rsidTr="003B3E19">
        <w:trPr>
          <w:trHeight w:val="315"/>
        </w:trPr>
        <w:tc>
          <w:tcPr>
            <w:tcW w:w="16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Implementation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C56F8E" w:rsidRPr="002C634C" w:rsidTr="003B3E19">
        <w:trPr>
          <w:trHeight w:val="300"/>
        </w:trPr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Participatory sessions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     -  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      -   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-   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-   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59 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3.42 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474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2.97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1,607.85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6,212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29,923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36,135</w:t>
            </w:r>
          </w:p>
        </w:tc>
      </w:tr>
      <w:tr w:rsidR="00C56F8E" w:rsidRPr="002C634C" w:rsidTr="003B3E19">
        <w:trPr>
          <w:trHeight w:val="300"/>
        </w:trPr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START Moving Forward Session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     -  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      -   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-   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-   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143 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1.05 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-  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   -  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150.63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5,771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5,771</w:t>
            </w:r>
          </w:p>
        </w:tc>
      </w:tr>
      <w:tr w:rsidR="00C56F8E" w:rsidRPr="002C634C" w:rsidTr="003B3E19">
        <w:trPr>
          <w:trHeight w:val="300"/>
        </w:trPr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Outside activities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     -  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      -   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13 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0.29 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31 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0.08 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243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0.08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26.62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621</w:t>
            </w:r>
          </w:p>
        </w:tc>
      </w:tr>
      <w:tr w:rsidR="00C56F8E" w:rsidRPr="002C634C" w:rsidTr="003B3E19">
        <w:trPr>
          <w:trHeight w:val="300"/>
        </w:trPr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lastRenderedPageBreak/>
              <w:t>CBT training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     -  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      -   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-   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-   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60 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0.88 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-  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   -  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52.88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1,542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1,542</w:t>
            </w:r>
          </w:p>
        </w:tc>
      </w:tr>
      <w:tr w:rsidR="00C56F8E" w:rsidRPr="002C634C" w:rsidTr="003B3E19">
        <w:trPr>
          <w:trHeight w:val="300"/>
        </w:trPr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BSM training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     -  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      -   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-   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-   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56 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0.51 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-  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   -  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28.60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827</w:t>
            </w:r>
          </w:p>
        </w:tc>
      </w:tr>
      <w:tr w:rsidR="00C56F8E" w:rsidRPr="002C634C" w:rsidTr="003B3E19">
        <w:trPr>
          <w:trHeight w:val="300"/>
        </w:trPr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Meeting 1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     -  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      -   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13 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0.33 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60 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0.33 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-  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   -  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24.33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717</w:t>
            </w:r>
          </w:p>
        </w:tc>
      </w:tr>
      <w:tr w:rsidR="00C56F8E" w:rsidRPr="002C634C" w:rsidTr="003B3E19">
        <w:trPr>
          <w:trHeight w:val="300"/>
        </w:trPr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Meeting 2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     -  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      -   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13 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0.81 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42 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0.25 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-  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   -  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21.00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603</w:t>
            </w:r>
          </w:p>
        </w:tc>
      </w:tr>
      <w:tr w:rsidR="00C56F8E" w:rsidRPr="002C634C" w:rsidTr="003B3E19">
        <w:trPr>
          <w:trHeight w:val="300"/>
        </w:trPr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BSM feedback 1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     -  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      -   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13 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1.81 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-   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-   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-  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   -  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23.50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660</w:t>
            </w:r>
          </w:p>
        </w:tc>
      </w:tr>
      <w:tr w:rsidR="00C56F8E" w:rsidRPr="002C634C" w:rsidTr="003B3E19">
        <w:trPr>
          <w:trHeight w:val="315"/>
        </w:trPr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BSM feedback 2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     -  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      -   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13 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1.62 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-   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-   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-  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   -  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21.00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590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590</w:t>
            </w:r>
          </w:p>
        </w:tc>
      </w:tr>
      <w:tr w:rsidR="00C56F8E" w:rsidRPr="002C634C" w:rsidTr="003B3E19">
        <w:trPr>
          <w:trHeight w:val="300"/>
        </w:trPr>
        <w:tc>
          <w:tcPr>
            <w:tcW w:w="165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Total implementation</w:t>
            </w:r>
          </w:p>
        </w:tc>
        <w:tc>
          <w:tcPr>
            <w:tcW w:w="586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467</w:t>
            </w:r>
          </w:p>
        </w:tc>
        <w:tc>
          <w:tcPr>
            <w:tcW w:w="476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1,427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1,956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1,773</w:t>
            </w: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15,337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30,356</w:t>
            </w:r>
          </w:p>
        </w:tc>
        <w:tc>
          <w:tcPr>
            <w:tcW w:w="26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47,466</w:t>
            </w:r>
          </w:p>
        </w:tc>
      </w:tr>
      <w:tr w:rsidR="00C56F8E" w:rsidRPr="002C634C" w:rsidTr="003B3E19">
        <w:trPr>
          <w:trHeight w:val="315"/>
        </w:trPr>
        <w:tc>
          <w:tcPr>
            <w:tcW w:w="16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Total labor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676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1,451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2,402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4,654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5,954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21,817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30,870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C634C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63,295</w:t>
            </w:r>
          </w:p>
        </w:tc>
      </w:tr>
    </w:tbl>
    <w:p w:rsidR="00C56F8E" w:rsidRDefault="00C56F8E" w:rsidP="00C56F8E">
      <w:pPr>
        <w:spacing w:after="0" w:line="240" w:lineRule="auto"/>
        <w:ind w:left="187" w:hanging="187"/>
        <w:rPr>
          <w:rFonts w:asciiTheme="majorBidi" w:hAnsiTheme="majorBidi" w:cstheme="majorBidi"/>
          <w:sz w:val="18"/>
          <w:szCs w:val="18"/>
        </w:rPr>
      </w:pPr>
      <w:r w:rsidRPr="002C634C">
        <w:rPr>
          <w:rFonts w:asciiTheme="majorBidi" w:hAnsiTheme="majorBidi" w:cstheme="majorBidi"/>
          <w:sz w:val="18"/>
          <w:szCs w:val="18"/>
        </w:rPr>
        <w:t xml:space="preserve">BSM, behavioral self-monitoring; CBT, computer-based training; HR, human resources; </w:t>
      </w:r>
    </w:p>
    <w:p w:rsidR="00C56F8E" w:rsidRPr="002C634C" w:rsidRDefault="00C56F8E" w:rsidP="00C56F8E">
      <w:pPr>
        <w:spacing w:after="0" w:line="240" w:lineRule="auto"/>
        <w:ind w:left="187" w:hanging="187"/>
        <w:rPr>
          <w:rFonts w:asciiTheme="majorBidi" w:hAnsiTheme="majorBidi" w:cstheme="majorBidi"/>
          <w:sz w:val="18"/>
          <w:szCs w:val="18"/>
        </w:rPr>
      </w:pPr>
      <w:r w:rsidRPr="002C634C">
        <w:rPr>
          <w:rFonts w:asciiTheme="majorBidi" w:hAnsiTheme="majorBidi" w:cstheme="majorBidi"/>
          <w:sz w:val="18"/>
          <w:szCs w:val="18"/>
        </w:rPr>
        <w:t>Note: numbers might not add up due to rounding</w:t>
      </w:r>
    </w:p>
    <w:p w:rsidR="00C56F8E" w:rsidRPr="002C634C" w:rsidRDefault="00C56F8E" w:rsidP="00C56F8E">
      <w:pPr>
        <w:spacing w:after="0" w:line="240" w:lineRule="auto"/>
        <w:rPr>
          <w:rFonts w:asciiTheme="majorBidi" w:hAnsiTheme="majorBidi" w:cstheme="majorBidi"/>
          <w:sz w:val="18"/>
          <w:szCs w:val="18"/>
        </w:rPr>
      </w:pPr>
      <w:r w:rsidRPr="005F6596">
        <w:rPr>
          <w:rFonts w:ascii="Calibri" w:hAnsi="Calibri" w:cs="Times New Roman"/>
          <w:b/>
          <w:sz w:val="18"/>
          <w:szCs w:val="18"/>
          <w:vertAlign w:val="superscript"/>
        </w:rPr>
        <w:t>†</w:t>
      </w:r>
      <w:r w:rsidRPr="002C634C">
        <w:rPr>
          <w:rFonts w:asciiTheme="majorBidi" w:hAnsiTheme="majorBidi" w:cstheme="majorBidi"/>
          <w:sz w:val="18"/>
          <w:szCs w:val="18"/>
        </w:rPr>
        <w:t xml:space="preserve">Time (hours) and staff number needed to complete each activity. </w:t>
      </w:r>
    </w:p>
    <w:p w:rsidR="00C56F8E" w:rsidRDefault="00C56F8E" w:rsidP="00C56F8E">
      <w:pPr>
        <w:spacing w:after="0" w:line="240" w:lineRule="auto"/>
        <w:rPr>
          <w:rFonts w:asciiTheme="majorBidi" w:hAnsiTheme="majorBidi" w:cstheme="majorBidi"/>
          <w:sz w:val="18"/>
          <w:szCs w:val="18"/>
        </w:rPr>
        <w:sectPr w:rsidR="00C56F8E" w:rsidSect="003852B3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Calibri" w:hAnsi="Calibri" w:cs="Times New Roman"/>
          <w:sz w:val="18"/>
          <w:szCs w:val="18"/>
          <w:vertAlign w:val="superscript"/>
        </w:rPr>
        <w:t>‡</w:t>
      </w:r>
      <w:r w:rsidRPr="002C634C">
        <w:rPr>
          <w:rFonts w:asciiTheme="majorBidi" w:hAnsiTheme="majorBidi" w:cstheme="majorBidi"/>
          <w:sz w:val="18"/>
          <w:szCs w:val="18"/>
        </w:rPr>
        <w:t>Cost calculated as the quantity of resources multiplied by unit costs. Unit costs were based on average wage per ho</w:t>
      </w:r>
      <w:r>
        <w:rPr>
          <w:rFonts w:asciiTheme="majorBidi" w:hAnsiTheme="majorBidi" w:cstheme="majorBidi"/>
          <w:sz w:val="18"/>
          <w:szCs w:val="18"/>
        </w:rPr>
        <w:t>ur by staff type loaded with 30 percent</w:t>
      </w:r>
      <w:r w:rsidRPr="002C634C">
        <w:rPr>
          <w:rFonts w:asciiTheme="majorBidi" w:hAnsiTheme="majorBidi" w:cstheme="majorBidi"/>
          <w:sz w:val="18"/>
          <w:szCs w:val="18"/>
        </w:rPr>
        <w:t xml:space="preserve"> fringe rate. Average labor cost per hour of $28.08 for HR, $31.00 for managers, $72.68 for VP and $21.42 for employees was used for all customization and start-up activities. For implementation costs, the average wages was used for HR, but true wages were used for</w:t>
      </w:r>
      <w:r>
        <w:rPr>
          <w:rFonts w:asciiTheme="majorBidi" w:hAnsiTheme="majorBidi" w:cstheme="majorBidi"/>
          <w:sz w:val="18"/>
          <w:szCs w:val="18"/>
        </w:rPr>
        <w:t xml:space="preserve"> employees and managers except for </w:t>
      </w:r>
      <w:r w:rsidRPr="002C634C">
        <w:rPr>
          <w:rFonts w:asciiTheme="majorBidi" w:hAnsiTheme="majorBidi" w:cstheme="majorBidi"/>
          <w:sz w:val="18"/>
          <w:szCs w:val="18"/>
        </w:rPr>
        <w:t>START Moving Forward, for which we didn't have actual wage data.</w:t>
      </w:r>
    </w:p>
    <w:p w:rsidR="00C56F8E" w:rsidRDefault="00C56F8E" w:rsidP="00C56F8E">
      <w:r>
        <w:rPr>
          <w:i/>
          <w:sz w:val="24"/>
        </w:rPr>
        <w:lastRenderedPageBreak/>
        <w:t>Non-l</w:t>
      </w:r>
      <w:r w:rsidRPr="00CD30DC">
        <w:rPr>
          <w:i/>
          <w:sz w:val="24"/>
        </w:rPr>
        <w:t>abor</w:t>
      </w:r>
      <w:r w:rsidRPr="0049641A"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30"/>
        <w:gridCol w:w="3160"/>
        <w:gridCol w:w="1170"/>
      </w:tblGrid>
      <w:tr w:rsidR="00C56F8E" w:rsidRPr="002C634C" w:rsidTr="003B3E19">
        <w:trPr>
          <w:trHeight w:val="525"/>
        </w:trPr>
        <w:tc>
          <w:tcPr>
            <w:tcW w:w="268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56F8E" w:rsidRPr="002C634C" w:rsidRDefault="00C56F8E" w:rsidP="003B3E19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6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START activities</w:t>
            </w:r>
          </w:p>
        </w:tc>
        <w:tc>
          <w:tcPr>
            <w:tcW w:w="168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6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 Resources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6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Unit Cost (2011$)</w:t>
            </w:r>
          </w:p>
        </w:tc>
      </w:tr>
      <w:tr w:rsidR="00C56F8E" w:rsidRPr="002C634C" w:rsidTr="003B3E19">
        <w:trPr>
          <w:trHeight w:val="315"/>
        </w:trPr>
        <w:tc>
          <w:tcPr>
            <w:tcW w:w="268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hideMark/>
          </w:tcPr>
          <w:p w:rsidR="00C56F8E" w:rsidRPr="002C634C" w:rsidRDefault="00C56F8E" w:rsidP="003B3E1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Start-up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56F8E" w:rsidRPr="002C634C" w:rsidTr="003B3E19">
        <w:trPr>
          <w:trHeight w:val="300"/>
        </w:trPr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F8E" w:rsidRPr="002C634C" w:rsidRDefault="00C56F8E" w:rsidP="003B3E1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Contract for participatory sessions</w:t>
            </w:r>
          </w:p>
        </w:tc>
        <w:tc>
          <w:tcPr>
            <w:tcW w:w="1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545 employees</w:t>
            </w:r>
            <w:r w:rsidRPr="005F6596">
              <w:rPr>
                <w:rFonts w:ascii="Calibri" w:hAnsi="Calibri" w:cs="Times New Roman"/>
                <w:b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.33</w:t>
            </w:r>
            <w:r w:rsidRPr="002C6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C56F8E" w:rsidRPr="002C634C" w:rsidTr="003B3E19">
        <w:trPr>
          <w:trHeight w:val="300"/>
        </w:trPr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F8E" w:rsidRPr="002C634C" w:rsidRDefault="00C56F8E" w:rsidP="003B3E1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License for CBT</w:t>
            </w:r>
          </w:p>
        </w:tc>
        <w:tc>
          <w:tcPr>
            <w:tcW w:w="1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license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1,750 </w:t>
            </w:r>
          </w:p>
        </w:tc>
      </w:tr>
      <w:tr w:rsidR="00C56F8E" w:rsidRPr="002C634C" w:rsidTr="003B3E19">
        <w:trPr>
          <w:trHeight w:val="300"/>
        </w:trPr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F8E" w:rsidRPr="002C634C" w:rsidRDefault="00C56F8E" w:rsidP="003B3E1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BSM iPod application</w:t>
            </w:r>
          </w:p>
        </w:tc>
        <w:tc>
          <w:tcPr>
            <w:tcW w:w="1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download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</w:p>
        </w:tc>
      </w:tr>
      <w:tr w:rsidR="00C56F8E" w:rsidRPr="002C634C" w:rsidTr="003B3E19">
        <w:trPr>
          <w:trHeight w:val="300"/>
        </w:trPr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F8E" w:rsidRPr="002C634C" w:rsidRDefault="00C56F8E" w:rsidP="003B3E1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Equipment (iPods)</w:t>
            </w:r>
          </w:p>
        </w:tc>
        <w:tc>
          <w:tcPr>
            <w:tcW w:w="1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iPods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149 </w:t>
            </w:r>
          </w:p>
        </w:tc>
      </w:tr>
      <w:tr w:rsidR="00C56F8E" w:rsidRPr="002C634C" w:rsidTr="003B3E19">
        <w:trPr>
          <w:trHeight w:val="300"/>
        </w:trPr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F8E" w:rsidRPr="002C634C" w:rsidRDefault="00C56F8E" w:rsidP="003B3E1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Inter-site travel</w:t>
            </w:r>
            <w:r>
              <w:rPr>
                <w:rFonts w:ascii="Calibri" w:hAnsi="Calibri" w:cs="Times New Roman"/>
                <w:sz w:val="18"/>
                <w:szCs w:val="18"/>
                <w:vertAlign w:val="superscript"/>
              </w:rPr>
              <w:t>‡</w:t>
            </w:r>
          </w:p>
        </w:tc>
        <w:tc>
          <w:tcPr>
            <w:tcW w:w="1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2,46</w:t>
            </w:r>
            <w:r w:rsidRPr="002C6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miles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0.51 </w:t>
            </w:r>
          </w:p>
        </w:tc>
      </w:tr>
      <w:tr w:rsidR="00C56F8E" w:rsidRPr="002C634C" w:rsidTr="003B3E19">
        <w:trPr>
          <w:trHeight w:val="300"/>
        </w:trPr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6F8E" w:rsidRPr="002C634C" w:rsidRDefault="00C56F8E" w:rsidP="003B3E1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Total </w:t>
            </w:r>
          </w:p>
        </w:tc>
        <w:tc>
          <w:tcPr>
            <w:tcW w:w="1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349,864</w:t>
            </w:r>
          </w:p>
        </w:tc>
      </w:tr>
      <w:tr w:rsidR="00C56F8E" w:rsidRPr="002C634C" w:rsidTr="003B3E19">
        <w:trPr>
          <w:trHeight w:val="315"/>
        </w:trPr>
        <w:tc>
          <w:tcPr>
            <w:tcW w:w="268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hideMark/>
          </w:tcPr>
          <w:p w:rsidR="00C56F8E" w:rsidRPr="002C634C" w:rsidRDefault="00C56F8E" w:rsidP="003B3E1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Implementation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56F8E" w:rsidRPr="002C634C" w:rsidTr="003B3E19">
        <w:trPr>
          <w:trHeight w:val="300"/>
        </w:trPr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F8E" w:rsidRPr="002C634C" w:rsidRDefault="00C56F8E" w:rsidP="003B3E1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Space for participatory session</w:t>
            </w:r>
          </w:p>
        </w:tc>
        <w:tc>
          <w:tcPr>
            <w:tcW w:w="1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1607.85 person-hours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0.03 </w:t>
            </w:r>
          </w:p>
        </w:tc>
      </w:tr>
      <w:tr w:rsidR="00C56F8E" w:rsidRPr="002C634C" w:rsidTr="003B3E19">
        <w:trPr>
          <w:trHeight w:val="300"/>
        </w:trPr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F8E" w:rsidRPr="002C634C" w:rsidRDefault="00C56F8E" w:rsidP="003B3E1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Space for CBT training</w:t>
            </w:r>
          </w:p>
        </w:tc>
        <w:tc>
          <w:tcPr>
            <w:tcW w:w="1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52.88 person-hours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0.03 </w:t>
            </w:r>
          </w:p>
        </w:tc>
      </w:tr>
      <w:tr w:rsidR="00C56F8E" w:rsidRPr="002C634C" w:rsidTr="003B3E19">
        <w:trPr>
          <w:trHeight w:val="300"/>
        </w:trPr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F8E" w:rsidRPr="002C634C" w:rsidRDefault="00C56F8E" w:rsidP="003B3E1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Space for meeting 1</w:t>
            </w:r>
          </w:p>
        </w:tc>
        <w:tc>
          <w:tcPr>
            <w:tcW w:w="1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24.33 person-hours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0.03 </w:t>
            </w:r>
          </w:p>
        </w:tc>
      </w:tr>
      <w:tr w:rsidR="00C56F8E" w:rsidRPr="002C634C" w:rsidTr="003B3E19">
        <w:trPr>
          <w:trHeight w:val="300"/>
        </w:trPr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F8E" w:rsidRPr="002C634C" w:rsidRDefault="00C56F8E" w:rsidP="003B3E1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Space for meeting 2 </w:t>
            </w:r>
          </w:p>
        </w:tc>
        <w:tc>
          <w:tcPr>
            <w:tcW w:w="1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person-hours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0.03 </w:t>
            </w:r>
          </w:p>
        </w:tc>
      </w:tr>
      <w:tr w:rsidR="00C56F8E" w:rsidRPr="002C634C" w:rsidTr="003B3E19">
        <w:trPr>
          <w:trHeight w:val="300"/>
        </w:trPr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6F8E" w:rsidRPr="002C634C" w:rsidRDefault="00C56F8E" w:rsidP="003B3E1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Materials: Single-sided copies, black and white</w:t>
            </w:r>
          </w:p>
        </w:tc>
        <w:tc>
          <w:tcPr>
            <w:tcW w:w="1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 copies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0.09 </w:t>
            </w:r>
          </w:p>
        </w:tc>
      </w:tr>
      <w:tr w:rsidR="00C56F8E" w:rsidRPr="002C634C" w:rsidTr="003B3E19">
        <w:trPr>
          <w:trHeight w:val="300"/>
        </w:trPr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6F8E" w:rsidRPr="002C634C" w:rsidRDefault="00C56F8E" w:rsidP="003B3E1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Materials: Double-sided copies, black and white</w:t>
            </w:r>
          </w:p>
        </w:tc>
        <w:tc>
          <w:tcPr>
            <w:tcW w:w="1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1768 copies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0.07 </w:t>
            </w:r>
          </w:p>
        </w:tc>
      </w:tr>
      <w:tr w:rsidR="00C56F8E" w:rsidRPr="002C634C" w:rsidTr="003B3E19">
        <w:trPr>
          <w:trHeight w:val="300"/>
        </w:trPr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6F8E" w:rsidRPr="002C634C" w:rsidRDefault="00C56F8E" w:rsidP="003B3E1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Materials: Single-sided copies, color</w:t>
            </w:r>
          </w:p>
        </w:tc>
        <w:tc>
          <w:tcPr>
            <w:tcW w:w="1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6440 copies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0.38 </w:t>
            </w:r>
          </w:p>
        </w:tc>
      </w:tr>
      <w:tr w:rsidR="00C56F8E" w:rsidRPr="002C634C" w:rsidTr="003B3E19">
        <w:trPr>
          <w:trHeight w:val="300"/>
        </w:trPr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6F8E" w:rsidRPr="002C634C" w:rsidRDefault="00C56F8E" w:rsidP="003B3E1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Materials: Double-sided copies, color</w:t>
            </w:r>
          </w:p>
        </w:tc>
        <w:tc>
          <w:tcPr>
            <w:tcW w:w="1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3120 copies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0.47 </w:t>
            </w:r>
          </w:p>
        </w:tc>
      </w:tr>
      <w:tr w:rsidR="00C56F8E" w:rsidRPr="002C634C" w:rsidTr="003B3E19">
        <w:trPr>
          <w:trHeight w:val="300"/>
        </w:trPr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6F8E" w:rsidRPr="002C634C" w:rsidRDefault="00C56F8E" w:rsidP="003B3E1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Materials: 2' x 3' color Posters</w:t>
            </w:r>
          </w:p>
        </w:tc>
        <w:tc>
          <w:tcPr>
            <w:tcW w:w="1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posters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C56F8E" w:rsidRPr="002C634C" w:rsidTr="003B3E19">
        <w:trPr>
          <w:trHeight w:val="300"/>
        </w:trPr>
        <w:tc>
          <w:tcPr>
            <w:tcW w:w="268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C56F8E" w:rsidRPr="002C634C" w:rsidRDefault="00C56F8E" w:rsidP="003B3E1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C56F8E" w:rsidRPr="002C634C" w:rsidRDefault="00C56F8E" w:rsidP="003B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4,677</w:t>
            </w:r>
          </w:p>
        </w:tc>
      </w:tr>
    </w:tbl>
    <w:p w:rsidR="00C56F8E" w:rsidRPr="003D0D7E" w:rsidRDefault="00C56F8E" w:rsidP="00C56F8E">
      <w:pPr>
        <w:spacing w:after="0" w:line="240" w:lineRule="auto"/>
        <w:ind w:left="187" w:hanging="187"/>
        <w:rPr>
          <w:rFonts w:asciiTheme="majorBidi" w:hAnsiTheme="majorBidi" w:cstheme="majorBidi"/>
          <w:sz w:val="20"/>
          <w:szCs w:val="20"/>
        </w:rPr>
      </w:pPr>
      <w:r w:rsidRPr="003D0D7E">
        <w:rPr>
          <w:rFonts w:asciiTheme="majorBidi" w:hAnsiTheme="majorBidi" w:cstheme="majorBidi"/>
          <w:sz w:val="20"/>
          <w:szCs w:val="20"/>
        </w:rPr>
        <w:t>BSM, behavioral self-monitoring; CBT, computer-based training</w:t>
      </w:r>
    </w:p>
    <w:p w:rsidR="00C56F8E" w:rsidRPr="003D0D7E" w:rsidRDefault="00C56F8E" w:rsidP="00C56F8E">
      <w:pPr>
        <w:spacing w:after="0" w:line="240" w:lineRule="auto"/>
        <w:ind w:left="187" w:hanging="187"/>
        <w:rPr>
          <w:rFonts w:asciiTheme="majorBidi" w:hAnsiTheme="majorBidi" w:cstheme="majorBidi"/>
          <w:sz w:val="20"/>
          <w:szCs w:val="20"/>
        </w:rPr>
      </w:pPr>
      <w:r w:rsidRPr="003D0D7E">
        <w:rPr>
          <w:rFonts w:asciiTheme="majorBidi" w:hAnsiTheme="majorBidi" w:cstheme="majorBidi"/>
          <w:sz w:val="20"/>
          <w:szCs w:val="20"/>
        </w:rPr>
        <w:t>Note: numbers might not add up due to rounding</w:t>
      </w:r>
    </w:p>
    <w:p w:rsidR="00C56F8E" w:rsidRPr="003D0D7E" w:rsidRDefault="00C56F8E" w:rsidP="00C56F8E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5F6596">
        <w:rPr>
          <w:rFonts w:ascii="Calibri" w:hAnsi="Calibri" w:cs="Times New Roman"/>
          <w:b/>
          <w:sz w:val="18"/>
          <w:szCs w:val="18"/>
          <w:vertAlign w:val="superscript"/>
        </w:rPr>
        <w:t>†</w:t>
      </w:r>
      <w:r w:rsidRPr="003D0D7E">
        <w:rPr>
          <w:rFonts w:asciiTheme="majorBidi" w:hAnsiTheme="majorBidi" w:cstheme="majorBidi"/>
          <w:sz w:val="20"/>
          <w:szCs w:val="20"/>
        </w:rPr>
        <w:t xml:space="preserve">Total number of START eligible employees and managers that participated in at least one session. </w:t>
      </w:r>
    </w:p>
    <w:p w:rsidR="00C56F8E" w:rsidRPr="003D0D7E" w:rsidRDefault="00C56F8E" w:rsidP="00C56F8E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="Calibri" w:hAnsi="Calibri" w:cs="Times New Roman"/>
          <w:sz w:val="18"/>
          <w:szCs w:val="18"/>
          <w:vertAlign w:val="superscript"/>
        </w:rPr>
        <w:t>‡</w:t>
      </w:r>
      <w:r w:rsidRPr="003D0D7E">
        <w:rPr>
          <w:rFonts w:asciiTheme="majorBidi" w:hAnsiTheme="majorBidi" w:cstheme="majorBidi"/>
          <w:sz w:val="20"/>
          <w:szCs w:val="20"/>
        </w:rPr>
        <w:t>VP travel to each site and back to her office for START Readiness Sessions</w:t>
      </w:r>
    </w:p>
    <w:p w:rsidR="00C56F8E" w:rsidRPr="007B5FD1" w:rsidRDefault="00C56F8E" w:rsidP="00C56F8E">
      <w:pPr>
        <w:pStyle w:val="Heading2"/>
        <w:rPr>
          <w:rFonts w:ascii="Arial" w:eastAsiaTheme="minorHAnsi" w:hAnsi="Arial" w:cs="Arial"/>
        </w:rPr>
      </w:pPr>
    </w:p>
    <w:p w:rsidR="00254028" w:rsidRDefault="00C56F8E">
      <w:bookmarkStart w:id="0" w:name="_GoBack"/>
      <w:bookmarkEnd w:id="0"/>
    </w:p>
    <w:sectPr w:rsidR="00254028" w:rsidSect="00CD30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F8E"/>
    <w:rsid w:val="00532F6B"/>
    <w:rsid w:val="00BC510F"/>
    <w:rsid w:val="00C5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E99F5-B4C6-4A51-9733-B6F1CACB1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F8E"/>
    <w:pPr>
      <w:spacing w:after="200" w:line="276" w:lineRule="auto"/>
    </w:pPr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6F8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56F8E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5998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Dowd, William</dc:creator>
  <cp:keywords/>
  <dc:description/>
  <cp:lastModifiedBy>Dowd, William</cp:lastModifiedBy>
  <cp:revision>1</cp:revision>
  <dcterms:created xsi:type="dcterms:W3CDTF">2017-04-13T20:59:00Z</dcterms:created>
  <dcterms:modified xsi:type="dcterms:W3CDTF">2017-04-13T20:59:00Z</dcterms:modified>
</cp:coreProperties>
</file>