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C" w:rsidRPr="00780FCC" w:rsidRDefault="00780FCC" w:rsidP="00780FCC">
      <w:pPr>
        <w:pStyle w:val="Heading1"/>
        <w:spacing w:line="360" w:lineRule="auto"/>
        <w:rPr>
          <w:rFonts w:ascii="Times New Roman" w:hAnsi="Times New Roman" w:cs="Times New Roman"/>
          <w:b/>
          <w:color w:val="auto"/>
          <w:szCs w:val="36"/>
        </w:rPr>
      </w:pPr>
      <w:r w:rsidRPr="00780FCC">
        <w:rPr>
          <w:rFonts w:ascii="Times New Roman" w:hAnsi="Times New Roman" w:cs="Times New Roman"/>
          <w:b/>
          <w:color w:val="auto"/>
          <w:szCs w:val="36"/>
        </w:rPr>
        <w:t>S1 Table. Duration of adult syphilis infection, in years</w:t>
      </w:r>
    </w:p>
    <w:p w:rsidR="00780FCC" w:rsidRPr="00977039" w:rsidRDefault="00780FCC" w:rsidP="00780FCC">
      <w:pPr>
        <w:spacing w:line="360" w:lineRule="auto"/>
        <w:contextualSpacing/>
        <w:rPr>
          <w:rFonts w:eastAsiaTheme="minorEastAsia"/>
          <w:sz w:val="22"/>
          <w:szCs w:val="22"/>
        </w:rPr>
      </w:pPr>
    </w:p>
    <w:tbl>
      <w:tblPr>
        <w:tblStyle w:val="TableGrid"/>
        <w:tblW w:w="10710" w:type="dxa"/>
        <w:tblInd w:w="-275" w:type="dxa"/>
        <w:tblLook w:val="04A0" w:firstRow="1" w:lastRow="0" w:firstColumn="1" w:lastColumn="0" w:noHBand="0" w:noVBand="1"/>
      </w:tblPr>
      <w:tblGrid>
        <w:gridCol w:w="2145"/>
        <w:gridCol w:w="1275"/>
        <w:gridCol w:w="2340"/>
        <w:gridCol w:w="3150"/>
        <w:gridCol w:w="1800"/>
      </w:tblGrid>
      <w:tr w:rsidR="00780FCC" w:rsidRPr="00977039" w:rsidTr="00D72BA6">
        <w:trPr>
          <w:tblHeader/>
        </w:trPr>
        <w:tc>
          <w:tcPr>
            <w:tcW w:w="2145" w:type="dxa"/>
          </w:tcPr>
          <w:p w:rsidR="00780FCC" w:rsidRPr="00977039" w:rsidRDefault="00780FCC" w:rsidP="00D72BA6">
            <w:pPr>
              <w:spacing w:line="360" w:lineRule="auto"/>
              <w:contextualSpacing/>
              <w:rPr>
                <w:rFonts w:eastAsiaTheme="minorEastAsia"/>
                <w:b/>
                <w:sz w:val="22"/>
                <w:szCs w:val="22"/>
              </w:rPr>
            </w:pPr>
          </w:p>
        </w:tc>
        <w:tc>
          <w:tcPr>
            <w:tcW w:w="1275" w:type="dxa"/>
          </w:tcPr>
          <w:p w:rsidR="00780FCC" w:rsidRPr="00977039" w:rsidRDefault="00780FCC" w:rsidP="00D72BA6">
            <w:pPr>
              <w:spacing w:line="360" w:lineRule="auto"/>
              <w:contextualSpacing/>
              <w:rPr>
                <w:rFonts w:eastAsiaTheme="minorEastAsia"/>
                <w:b/>
                <w:sz w:val="22"/>
                <w:szCs w:val="22"/>
              </w:rPr>
            </w:pPr>
          </w:p>
        </w:tc>
        <w:tc>
          <w:tcPr>
            <w:tcW w:w="7290" w:type="dxa"/>
            <w:gridSpan w:val="3"/>
          </w:tcPr>
          <w:p w:rsidR="00780FCC" w:rsidRPr="00977039" w:rsidRDefault="00780FCC" w:rsidP="00D72BA6">
            <w:pPr>
              <w:spacing w:line="360" w:lineRule="auto"/>
              <w:contextualSpacing/>
              <w:jc w:val="center"/>
              <w:rPr>
                <w:rFonts w:eastAsiaTheme="minorEastAsia"/>
                <w:b/>
                <w:sz w:val="22"/>
                <w:szCs w:val="22"/>
              </w:rPr>
            </w:pPr>
            <w:r w:rsidRPr="00977039">
              <w:rPr>
                <w:rFonts w:eastAsiaTheme="minorEastAsia"/>
                <w:b/>
                <w:sz w:val="22"/>
                <w:szCs w:val="22"/>
              </w:rPr>
              <w:t>Treatment access region</w:t>
            </w:r>
          </w:p>
        </w:tc>
      </w:tr>
      <w:tr w:rsidR="00780FCC" w:rsidRPr="00977039" w:rsidTr="00D72BA6">
        <w:trPr>
          <w:tblHeader/>
        </w:trPr>
        <w:tc>
          <w:tcPr>
            <w:tcW w:w="2145" w:type="dxa"/>
          </w:tcPr>
          <w:p w:rsidR="00780FCC" w:rsidRPr="00977039" w:rsidRDefault="00780FCC" w:rsidP="00D72BA6">
            <w:pPr>
              <w:spacing w:line="360" w:lineRule="auto"/>
              <w:contextualSpacing/>
              <w:rPr>
                <w:rFonts w:eastAsiaTheme="minorEastAsia"/>
                <w:b/>
                <w:sz w:val="22"/>
                <w:szCs w:val="22"/>
              </w:rPr>
            </w:pPr>
          </w:p>
        </w:tc>
        <w:tc>
          <w:tcPr>
            <w:tcW w:w="1275" w:type="dxa"/>
          </w:tcPr>
          <w:p w:rsidR="00780FCC" w:rsidRPr="00977039" w:rsidRDefault="00780FCC" w:rsidP="00D72BA6">
            <w:pPr>
              <w:spacing w:line="360" w:lineRule="auto"/>
              <w:contextualSpacing/>
              <w:rPr>
                <w:rFonts w:eastAsiaTheme="minorEastAsia"/>
                <w:b/>
                <w:sz w:val="22"/>
                <w:szCs w:val="22"/>
              </w:rPr>
            </w:pPr>
            <w:r w:rsidRPr="00977039">
              <w:rPr>
                <w:rFonts w:eastAsiaTheme="minorEastAsia"/>
                <w:b/>
                <w:sz w:val="22"/>
                <w:szCs w:val="22"/>
              </w:rPr>
              <w:t>Infection stage</w:t>
            </w:r>
          </w:p>
        </w:tc>
        <w:tc>
          <w:tcPr>
            <w:tcW w:w="2340" w:type="dxa"/>
          </w:tcPr>
          <w:p w:rsidR="00780FCC" w:rsidRPr="00977039" w:rsidRDefault="00780FCC" w:rsidP="00D72BA6">
            <w:pPr>
              <w:spacing w:line="360" w:lineRule="auto"/>
              <w:contextualSpacing/>
              <w:rPr>
                <w:rFonts w:eastAsiaTheme="minorEastAsia"/>
                <w:b/>
                <w:sz w:val="22"/>
                <w:szCs w:val="22"/>
              </w:rPr>
            </w:pPr>
            <w:r w:rsidRPr="00977039">
              <w:rPr>
                <w:b/>
                <w:bCs/>
                <w:color w:val="000000"/>
                <w:sz w:val="22"/>
                <w:szCs w:val="22"/>
              </w:rPr>
              <w:t>A. Australasia, high-income North America &amp; Asia Pacific, Western Europe</w:t>
            </w:r>
          </w:p>
        </w:tc>
        <w:tc>
          <w:tcPr>
            <w:tcW w:w="3150" w:type="dxa"/>
          </w:tcPr>
          <w:p w:rsidR="00780FCC" w:rsidRPr="00977039" w:rsidRDefault="00780FCC" w:rsidP="00D72BA6">
            <w:pPr>
              <w:spacing w:line="360" w:lineRule="auto"/>
              <w:contextualSpacing/>
              <w:rPr>
                <w:rFonts w:eastAsiaTheme="minorEastAsia"/>
                <w:b/>
                <w:sz w:val="22"/>
                <w:szCs w:val="22"/>
              </w:rPr>
            </w:pPr>
            <w:r w:rsidRPr="00977039">
              <w:rPr>
                <w:b/>
                <w:bCs/>
                <w:color w:val="000000"/>
                <w:sz w:val="22"/>
                <w:szCs w:val="22"/>
              </w:rPr>
              <w:t>B.  Americas excluding North America, Oceania, Central Asia, Central Europe, Eastern Mediterranean (incl. Morocco)</w:t>
            </w:r>
          </w:p>
        </w:tc>
        <w:tc>
          <w:tcPr>
            <w:tcW w:w="1800" w:type="dxa"/>
            <w:vAlign w:val="center"/>
          </w:tcPr>
          <w:p w:rsidR="00780FCC" w:rsidRPr="00977039" w:rsidRDefault="00780FCC" w:rsidP="00D72BA6">
            <w:pPr>
              <w:spacing w:line="360" w:lineRule="auto"/>
              <w:contextualSpacing/>
              <w:rPr>
                <w:rFonts w:eastAsiaTheme="minorEastAsia"/>
                <w:b/>
                <w:sz w:val="22"/>
                <w:szCs w:val="22"/>
              </w:rPr>
            </w:pPr>
            <w:r w:rsidRPr="00977039">
              <w:rPr>
                <w:b/>
                <w:bCs/>
                <w:color w:val="000000"/>
                <w:sz w:val="22"/>
                <w:szCs w:val="22"/>
              </w:rPr>
              <w:t>C. Sub-Saharan Africa, South &amp; South-East Asia</w:t>
            </w:r>
          </w:p>
        </w:tc>
      </w:tr>
      <w:tr w:rsidR="00780FCC" w:rsidRPr="00977039" w:rsidTr="00D72BA6">
        <w:tc>
          <w:tcPr>
            <w:tcW w:w="2145" w:type="dxa"/>
            <w:vMerge w:val="restart"/>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Duration if treated, by stage at which treated</w:t>
            </w: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Primary</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1 month</w:t>
            </w:r>
          </w:p>
        </w:tc>
      </w:tr>
      <w:tr w:rsidR="00780FCC" w:rsidRPr="00977039" w:rsidTr="00D72BA6">
        <w:tc>
          <w:tcPr>
            <w:tcW w:w="2145" w:type="dxa"/>
            <w:vMerge/>
          </w:tcPr>
          <w:p w:rsidR="00780FCC" w:rsidRPr="00977039" w:rsidRDefault="00780FCC" w:rsidP="00D72BA6">
            <w:pPr>
              <w:spacing w:line="360" w:lineRule="auto"/>
              <w:contextualSpacing/>
              <w:rPr>
                <w:rFonts w:eastAsiaTheme="minorEastAsia"/>
                <w:sz w:val="22"/>
                <w:szCs w:val="22"/>
              </w:rPr>
            </w:pP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Secondary</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3 months</w:t>
            </w:r>
          </w:p>
        </w:tc>
      </w:tr>
      <w:tr w:rsidR="00780FCC" w:rsidRPr="00977039" w:rsidTr="00D72BA6">
        <w:tc>
          <w:tcPr>
            <w:tcW w:w="2145" w:type="dxa"/>
            <w:vMerge/>
          </w:tcPr>
          <w:p w:rsidR="00780FCC" w:rsidRPr="00977039" w:rsidRDefault="00780FCC" w:rsidP="00D72BA6">
            <w:pPr>
              <w:spacing w:line="360" w:lineRule="auto"/>
              <w:contextualSpacing/>
              <w:rPr>
                <w:rFonts w:eastAsiaTheme="minorEastAsia"/>
                <w:sz w:val="22"/>
                <w:szCs w:val="22"/>
              </w:rPr>
            </w:pP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Latent</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3 years</w:t>
            </w:r>
          </w:p>
        </w:tc>
      </w:tr>
      <w:tr w:rsidR="00780FCC" w:rsidRPr="00977039" w:rsidTr="00D72BA6">
        <w:tc>
          <w:tcPr>
            <w:tcW w:w="214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Duration of infection, when untreated</w:t>
            </w: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Tertiary</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15 years</w:t>
            </w:r>
          </w:p>
        </w:tc>
      </w:tr>
      <w:tr w:rsidR="00780FCC" w:rsidRPr="00977039" w:rsidTr="00D72BA6">
        <w:tc>
          <w:tcPr>
            <w:tcW w:w="2145" w:type="dxa"/>
            <w:vMerge w:val="restart"/>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 of episodes symptomatic</w:t>
            </w: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Primary</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40%</w:t>
            </w:r>
          </w:p>
        </w:tc>
      </w:tr>
      <w:tr w:rsidR="00780FCC" w:rsidRPr="00977039" w:rsidTr="00D72BA6">
        <w:tc>
          <w:tcPr>
            <w:tcW w:w="2145" w:type="dxa"/>
            <w:vMerge/>
          </w:tcPr>
          <w:p w:rsidR="00780FCC" w:rsidRPr="00977039" w:rsidRDefault="00780FCC" w:rsidP="00D72BA6">
            <w:pPr>
              <w:spacing w:line="360" w:lineRule="auto"/>
              <w:contextualSpacing/>
              <w:rPr>
                <w:rFonts w:eastAsiaTheme="minorEastAsia"/>
                <w:sz w:val="22"/>
                <w:szCs w:val="22"/>
              </w:rPr>
            </w:pPr>
          </w:p>
        </w:tc>
        <w:tc>
          <w:tcPr>
            <w:tcW w:w="1275" w:type="dxa"/>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Secondary</w:t>
            </w:r>
          </w:p>
        </w:tc>
        <w:tc>
          <w:tcPr>
            <w:tcW w:w="7290" w:type="dxa"/>
            <w:gridSpan w:val="3"/>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60%</w:t>
            </w:r>
          </w:p>
        </w:tc>
      </w:tr>
      <w:tr w:rsidR="00780FCC" w:rsidRPr="00977039" w:rsidTr="00D72BA6">
        <w:tc>
          <w:tcPr>
            <w:tcW w:w="3420" w:type="dxa"/>
            <w:gridSpan w:val="2"/>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Weighted average duration of (active) infection (2012)</w:t>
            </w:r>
          </w:p>
        </w:tc>
        <w:tc>
          <w:tcPr>
            <w:tcW w:w="234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1.28 years</w:t>
            </w:r>
          </w:p>
        </w:tc>
        <w:tc>
          <w:tcPr>
            <w:tcW w:w="315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2.42 years</w:t>
            </w:r>
          </w:p>
        </w:tc>
        <w:tc>
          <w:tcPr>
            <w:tcW w:w="180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4.13 years</w:t>
            </w:r>
          </w:p>
        </w:tc>
      </w:tr>
      <w:tr w:rsidR="00780FCC" w:rsidRPr="00977039" w:rsidTr="00D72BA6">
        <w:tc>
          <w:tcPr>
            <w:tcW w:w="3420" w:type="dxa"/>
            <w:gridSpan w:val="2"/>
          </w:tcPr>
          <w:p w:rsidR="00780FCC" w:rsidRPr="00977039" w:rsidRDefault="00780FCC" w:rsidP="00D72BA6">
            <w:pPr>
              <w:spacing w:line="360" w:lineRule="auto"/>
              <w:contextualSpacing/>
              <w:rPr>
                <w:rFonts w:eastAsiaTheme="minorEastAsia"/>
                <w:sz w:val="22"/>
                <w:szCs w:val="22"/>
              </w:rPr>
            </w:pPr>
            <w:r w:rsidRPr="00977039">
              <w:rPr>
                <w:rFonts w:eastAsiaTheme="minorEastAsia"/>
                <w:sz w:val="22"/>
                <w:szCs w:val="22"/>
              </w:rPr>
              <w:t>% of symptomatic episodes treated (2012)</w:t>
            </w:r>
          </w:p>
        </w:tc>
        <w:tc>
          <w:tcPr>
            <w:tcW w:w="234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85%</w:t>
            </w:r>
          </w:p>
        </w:tc>
        <w:tc>
          <w:tcPr>
            <w:tcW w:w="315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60%</w:t>
            </w:r>
          </w:p>
        </w:tc>
        <w:tc>
          <w:tcPr>
            <w:tcW w:w="1800" w:type="dxa"/>
          </w:tcPr>
          <w:p w:rsidR="00780FCC" w:rsidRPr="00977039" w:rsidRDefault="00780FCC" w:rsidP="00D72BA6">
            <w:pPr>
              <w:spacing w:line="360" w:lineRule="auto"/>
              <w:contextualSpacing/>
              <w:jc w:val="center"/>
              <w:rPr>
                <w:rFonts w:eastAsiaTheme="minorEastAsia"/>
                <w:sz w:val="22"/>
                <w:szCs w:val="22"/>
              </w:rPr>
            </w:pPr>
            <w:r w:rsidRPr="00977039">
              <w:rPr>
                <w:rFonts w:eastAsiaTheme="minorEastAsia"/>
                <w:sz w:val="22"/>
                <w:szCs w:val="22"/>
              </w:rPr>
              <w:t>35%</w:t>
            </w:r>
          </w:p>
        </w:tc>
      </w:tr>
    </w:tbl>
    <w:p w:rsidR="00780FCC" w:rsidRPr="00977039" w:rsidRDefault="00780FCC" w:rsidP="00780FCC">
      <w:pPr>
        <w:spacing w:line="360" w:lineRule="auto"/>
        <w:contextualSpacing/>
        <w:rPr>
          <w:rFonts w:eastAsiaTheme="minorEastAsia"/>
          <w:sz w:val="22"/>
          <w:szCs w:val="22"/>
        </w:rPr>
      </w:pPr>
    </w:p>
    <w:p w:rsidR="00780FCC" w:rsidRPr="00977039" w:rsidRDefault="00780FCC" w:rsidP="00780FCC">
      <w:pPr>
        <w:spacing w:line="360" w:lineRule="auto"/>
        <w:contextualSpacing/>
        <w:rPr>
          <w:rFonts w:eastAsiaTheme="minorEastAsia"/>
          <w:sz w:val="22"/>
          <w:szCs w:val="22"/>
        </w:rPr>
      </w:pPr>
      <w:r>
        <w:rPr>
          <w:sz w:val="22"/>
          <w:szCs w:val="22"/>
        </w:rPr>
        <w:t xml:space="preserve">Legend to </w:t>
      </w:r>
      <w:bookmarkStart w:id="0" w:name="_GoBack"/>
      <w:bookmarkEnd w:id="0"/>
      <w:r w:rsidRPr="00977039">
        <w:rPr>
          <w:sz w:val="22"/>
          <w:szCs w:val="22"/>
        </w:rPr>
        <w:t>S1</w:t>
      </w:r>
      <w:r>
        <w:rPr>
          <w:sz w:val="22"/>
          <w:szCs w:val="22"/>
        </w:rPr>
        <w:t xml:space="preserve"> Table</w:t>
      </w:r>
      <w:r w:rsidRPr="00977039">
        <w:rPr>
          <w:sz w:val="22"/>
          <w:szCs w:val="22"/>
        </w:rPr>
        <w:t xml:space="preserve">: The Spectrum-STI model uses these durations to </w:t>
      </w:r>
      <w:r w:rsidRPr="00977039">
        <w:rPr>
          <w:rFonts w:eastAsiaTheme="minorEastAsia"/>
          <w:sz w:val="22"/>
          <w:szCs w:val="22"/>
        </w:rPr>
        <w:t>estimate an annual incidence rate from annual prevalence. The weighted average duration is calculated by weighing the durations for treated and untreated fractions, by their respective proportions of episodes, in turn calculated from the proportions of infections that are symptomatic and treated. All assumptions are taken as equal for adult women and adult men.</w:t>
      </w:r>
    </w:p>
    <w:p w:rsidR="00E6464C" w:rsidRDefault="00E6464C"/>
    <w:sectPr w:rsidR="00E6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C"/>
    <w:rsid w:val="001918E1"/>
    <w:rsid w:val="00780FCC"/>
    <w:rsid w:val="00E6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628B"/>
  <w15:chartTrackingRefBased/>
  <w15:docId w15:val="{6479B518-9980-4F59-BC94-65AA457C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0F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80F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FCC"/>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Korenromp</dc:creator>
  <cp:keywords/>
  <dc:description/>
  <cp:lastModifiedBy>Eline Korenromp</cp:lastModifiedBy>
  <cp:revision>1</cp:revision>
  <dcterms:created xsi:type="dcterms:W3CDTF">2017-07-07T08:53:00Z</dcterms:created>
  <dcterms:modified xsi:type="dcterms:W3CDTF">2017-07-07T08:54:00Z</dcterms:modified>
</cp:coreProperties>
</file>