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D8" w:rsidRPr="00F35AF2" w:rsidRDefault="001A79D8" w:rsidP="001A79D8">
      <w:pPr>
        <w:spacing w:after="0"/>
        <w:rPr>
          <w:rFonts w:ascii="Times New Roman" w:hAnsi="Times New Roman"/>
          <w:b/>
          <w:sz w:val="24"/>
          <w:szCs w:val="24"/>
        </w:rPr>
      </w:pPr>
      <w:r w:rsidRPr="00F35AF2">
        <w:rPr>
          <w:rFonts w:ascii="Times New Roman" w:hAnsi="Times New Roman"/>
          <w:b/>
          <w:bCs/>
          <w:sz w:val="24"/>
          <w:szCs w:val="24"/>
        </w:rPr>
        <w:t>The burden and clinical presentation of pulmonary tuberculosis in adults</w:t>
      </w:r>
      <w:r w:rsidRPr="00F35AF2">
        <w:rPr>
          <w:rFonts w:ascii="Times New Roman" w:hAnsi="Times New Roman"/>
          <w:b/>
          <w:sz w:val="24"/>
          <w:szCs w:val="24"/>
        </w:rPr>
        <w:t xml:space="preserve"> with severe respiratory illness in a high HIV prevalence setting, 2012-2014- (Supplementary Material)</w:t>
      </w:r>
    </w:p>
    <w:p w:rsidR="0005787F" w:rsidRPr="00F35AF2" w:rsidRDefault="0005787F" w:rsidP="001A79D8">
      <w:pPr>
        <w:spacing w:after="0"/>
        <w:rPr>
          <w:rFonts w:ascii="Times New Roman" w:hAnsi="Times New Roman"/>
          <w:b/>
          <w:sz w:val="24"/>
          <w:szCs w:val="24"/>
        </w:rPr>
      </w:pPr>
    </w:p>
    <w:p w:rsidR="001A79D8" w:rsidRPr="00F35AF2" w:rsidRDefault="001A79D8" w:rsidP="001A79D8">
      <w:pPr>
        <w:spacing w:after="0" w:line="480" w:lineRule="auto"/>
        <w:rPr>
          <w:rFonts w:ascii="Times New Roman" w:hAnsi="Times New Roman"/>
          <w:b/>
          <w:bCs/>
          <w:sz w:val="24"/>
          <w:szCs w:val="24"/>
        </w:rPr>
      </w:pPr>
      <w:r w:rsidRPr="00F35AF2">
        <w:rPr>
          <w:rFonts w:ascii="Times New Roman" w:hAnsi="Times New Roman"/>
          <w:b/>
          <w:bCs/>
          <w:sz w:val="24"/>
          <w:szCs w:val="24"/>
        </w:rPr>
        <w:t>Authors:</w:t>
      </w:r>
    </w:p>
    <w:p w:rsidR="001A79D8" w:rsidRPr="00F35AF2" w:rsidRDefault="001A79D8" w:rsidP="001A79D8">
      <w:pPr>
        <w:spacing w:after="0" w:line="480" w:lineRule="auto"/>
        <w:rPr>
          <w:rFonts w:ascii="Times New Roman" w:hAnsi="Times New Roman"/>
          <w:sz w:val="24"/>
          <w:szCs w:val="24"/>
          <w:vertAlign w:val="superscript"/>
          <w:lang w:val="en-GB"/>
        </w:rPr>
      </w:pPr>
      <w:r w:rsidRPr="00F35AF2">
        <w:rPr>
          <w:rFonts w:ascii="Times New Roman" w:hAnsi="Times New Roman"/>
          <w:sz w:val="24"/>
          <w:szCs w:val="24"/>
          <w:lang w:val="en-GB"/>
        </w:rPr>
        <w:t>Sibongile Walaza</w:t>
      </w:r>
      <w:r w:rsidRPr="00F35AF2">
        <w:rPr>
          <w:rFonts w:ascii="Times New Roman" w:hAnsi="Times New Roman"/>
          <w:sz w:val="24"/>
          <w:szCs w:val="24"/>
          <w:vertAlign w:val="superscript"/>
          <w:lang w:val="en-GB"/>
        </w:rPr>
        <w:t>1,2</w:t>
      </w:r>
      <w:r w:rsidRPr="00F35AF2">
        <w:rPr>
          <w:rFonts w:ascii="Times New Roman" w:hAnsi="Times New Roman"/>
          <w:sz w:val="24"/>
          <w:szCs w:val="24"/>
          <w:lang w:val="en-GB"/>
        </w:rPr>
        <w:t>, Stefano Tempia</w:t>
      </w:r>
      <w:r w:rsidRPr="00F35AF2">
        <w:rPr>
          <w:rFonts w:ascii="Times New Roman" w:hAnsi="Times New Roman"/>
          <w:sz w:val="24"/>
          <w:szCs w:val="24"/>
          <w:vertAlign w:val="superscript"/>
          <w:lang w:val="en-GB"/>
        </w:rPr>
        <w:t>1,3,4</w:t>
      </w:r>
      <w:r w:rsidRPr="00F35AF2">
        <w:rPr>
          <w:rFonts w:ascii="Times New Roman" w:hAnsi="Times New Roman"/>
          <w:sz w:val="24"/>
          <w:szCs w:val="24"/>
          <w:lang w:val="en-GB"/>
        </w:rPr>
        <w:t>, Andries Dreyer</w:t>
      </w:r>
      <w:r w:rsidRPr="00F35AF2">
        <w:rPr>
          <w:rFonts w:ascii="Times New Roman" w:hAnsi="Times New Roman"/>
          <w:sz w:val="24"/>
          <w:szCs w:val="24"/>
          <w:vertAlign w:val="superscript"/>
          <w:lang w:val="en-GB"/>
        </w:rPr>
        <w:t>5</w:t>
      </w:r>
      <w:r w:rsidRPr="00F35AF2">
        <w:rPr>
          <w:rFonts w:ascii="Times New Roman" w:hAnsi="Times New Roman"/>
          <w:sz w:val="24"/>
          <w:szCs w:val="24"/>
          <w:lang w:val="en-GB"/>
        </w:rPr>
        <w:t>, Halima Dawood</w:t>
      </w:r>
      <w:r w:rsidRPr="00F35AF2">
        <w:rPr>
          <w:rFonts w:ascii="Times New Roman" w:hAnsi="Times New Roman"/>
          <w:sz w:val="24"/>
          <w:szCs w:val="24"/>
          <w:vertAlign w:val="superscript"/>
          <w:lang w:val="en-GB"/>
        </w:rPr>
        <w:t>6</w:t>
      </w:r>
      <w:r w:rsidRPr="00F35AF2">
        <w:rPr>
          <w:rFonts w:ascii="Times New Roman" w:hAnsi="Times New Roman"/>
          <w:sz w:val="24"/>
          <w:szCs w:val="24"/>
          <w:lang w:val="en-GB"/>
        </w:rPr>
        <w:t>, Ebrahim Variava</w:t>
      </w:r>
      <w:r w:rsidRPr="00F35AF2">
        <w:rPr>
          <w:rFonts w:ascii="Times New Roman" w:hAnsi="Times New Roman"/>
          <w:sz w:val="24"/>
          <w:szCs w:val="24"/>
          <w:vertAlign w:val="superscript"/>
          <w:lang w:val="en-GB"/>
        </w:rPr>
        <w:t>7,8,9</w:t>
      </w:r>
      <w:r w:rsidRPr="00F35AF2">
        <w:rPr>
          <w:rFonts w:ascii="Times New Roman" w:hAnsi="Times New Roman"/>
          <w:sz w:val="24"/>
          <w:szCs w:val="24"/>
          <w:lang w:val="en-GB"/>
        </w:rPr>
        <w:t>, Neil A Martinson</w:t>
      </w:r>
      <w:r w:rsidRPr="00F35AF2">
        <w:rPr>
          <w:rFonts w:ascii="Times New Roman" w:hAnsi="Times New Roman"/>
          <w:sz w:val="24"/>
          <w:szCs w:val="24"/>
          <w:vertAlign w:val="superscript"/>
          <w:lang w:val="en-GB"/>
        </w:rPr>
        <w:t>9,11,12</w:t>
      </w:r>
      <w:r w:rsidRPr="00F35AF2">
        <w:rPr>
          <w:rFonts w:ascii="Times New Roman" w:hAnsi="Times New Roman"/>
          <w:sz w:val="24"/>
          <w:szCs w:val="24"/>
          <w:lang w:val="en-GB"/>
        </w:rPr>
        <w:t>, Jocelyn Moyes</w:t>
      </w:r>
      <w:r w:rsidRPr="00F35AF2">
        <w:rPr>
          <w:rFonts w:ascii="Times New Roman" w:hAnsi="Times New Roman"/>
          <w:sz w:val="24"/>
          <w:szCs w:val="24"/>
          <w:vertAlign w:val="superscript"/>
          <w:lang w:val="en-GB"/>
        </w:rPr>
        <w:t>1,2</w:t>
      </w:r>
      <w:r w:rsidRPr="00F35AF2">
        <w:rPr>
          <w:rFonts w:ascii="Times New Roman" w:hAnsi="Times New Roman"/>
          <w:sz w:val="24"/>
          <w:szCs w:val="24"/>
          <w:lang w:val="en-GB"/>
        </w:rPr>
        <w:t>, Adam L. Cohen</w:t>
      </w:r>
      <w:r w:rsidRPr="00F35AF2">
        <w:rPr>
          <w:rFonts w:ascii="Times New Roman" w:hAnsi="Times New Roman"/>
          <w:sz w:val="24"/>
          <w:szCs w:val="24"/>
          <w:vertAlign w:val="superscript"/>
          <w:lang w:val="en-GB"/>
        </w:rPr>
        <w:t>3,4</w:t>
      </w:r>
      <w:r w:rsidR="00DB1BEA" w:rsidRPr="00F35AF2">
        <w:rPr>
          <w:rFonts w:ascii="Times New Roman" w:hAnsi="Times New Roman"/>
          <w:sz w:val="24"/>
          <w:szCs w:val="24"/>
          <w:vertAlign w:val="superscript"/>
          <w:lang w:val="en-GB"/>
        </w:rPr>
        <w:t>,10</w:t>
      </w:r>
      <w:r w:rsidRPr="00F35AF2">
        <w:rPr>
          <w:rFonts w:ascii="Times New Roman" w:hAnsi="Times New Roman"/>
          <w:sz w:val="24"/>
          <w:szCs w:val="24"/>
          <w:lang w:val="en-GB"/>
        </w:rPr>
        <w:t>, Nicole Wolter</w:t>
      </w:r>
      <w:r w:rsidRPr="00F35AF2">
        <w:rPr>
          <w:rFonts w:ascii="Times New Roman" w:hAnsi="Times New Roman"/>
          <w:sz w:val="24"/>
          <w:szCs w:val="24"/>
          <w:vertAlign w:val="superscript"/>
          <w:lang w:val="en-GB"/>
        </w:rPr>
        <w:t>1,13</w:t>
      </w:r>
      <w:r w:rsidRPr="00F35AF2">
        <w:rPr>
          <w:rFonts w:ascii="Times New Roman" w:hAnsi="Times New Roman"/>
          <w:sz w:val="24"/>
          <w:szCs w:val="24"/>
          <w:lang w:val="en-GB"/>
        </w:rPr>
        <w:t>, Claire von Mollendorf</w:t>
      </w:r>
      <w:r w:rsidRPr="00F35AF2">
        <w:rPr>
          <w:rFonts w:ascii="Times New Roman" w:hAnsi="Times New Roman"/>
          <w:sz w:val="24"/>
          <w:szCs w:val="24"/>
          <w:vertAlign w:val="superscript"/>
          <w:lang w:val="en-GB"/>
        </w:rPr>
        <w:t>1,2</w:t>
      </w:r>
      <w:r w:rsidRPr="00F35AF2">
        <w:rPr>
          <w:rFonts w:ascii="Times New Roman" w:hAnsi="Times New Roman"/>
          <w:sz w:val="24"/>
          <w:szCs w:val="24"/>
          <w:lang w:val="en-GB"/>
        </w:rPr>
        <w:t>, Anne von Gottberg</w:t>
      </w:r>
      <w:r w:rsidRPr="00F35AF2">
        <w:rPr>
          <w:rFonts w:ascii="Times New Roman" w:hAnsi="Times New Roman"/>
          <w:sz w:val="24"/>
          <w:szCs w:val="24"/>
          <w:vertAlign w:val="superscript"/>
          <w:lang w:val="en-GB"/>
        </w:rPr>
        <w:t>1,</w:t>
      </w:r>
      <w:r w:rsidR="00BF67DD" w:rsidRPr="00F35AF2">
        <w:rPr>
          <w:rFonts w:ascii="Times New Roman" w:hAnsi="Times New Roman"/>
          <w:sz w:val="24"/>
          <w:szCs w:val="24"/>
          <w:vertAlign w:val="superscript"/>
          <w:lang w:val="en-GB"/>
        </w:rPr>
        <w:t>1</w:t>
      </w:r>
      <w:r w:rsidRPr="00F35AF2">
        <w:rPr>
          <w:rFonts w:ascii="Times New Roman" w:hAnsi="Times New Roman"/>
          <w:sz w:val="24"/>
          <w:szCs w:val="24"/>
          <w:vertAlign w:val="superscript"/>
          <w:lang w:val="en-GB"/>
        </w:rPr>
        <w:t>3</w:t>
      </w:r>
      <w:r w:rsidRPr="00F35AF2">
        <w:rPr>
          <w:rFonts w:ascii="Times New Roman" w:hAnsi="Times New Roman"/>
          <w:sz w:val="24"/>
          <w:szCs w:val="24"/>
          <w:lang w:val="en-GB"/>
        </w:rPr>
        <w:t>, Sumayya Haffejee</w:t>
      </w:r>
      <w:r w:rsidRPr="00F35AF2">
        <w:rPr>
          <w:rFonts w:ascii="Times New Roman" w:hAnsi="Times New Roman"/>
          <w:sz w:val="24"/>
          <w:szCs w:val="24"/>
          <w:vertAlign w:val="superscript"/>
          <w:lang w:val="en-GB"/>
        </w:rPr>
        <w:t>6</w:t>
      </w:r>
      <w:r w:rsidRPr="00F35AF2">
        <w:rPr>
          <w:rFonts w:ascii="Times New Roman" w:hAnsi="Times New Roman"/>
          <w:sz w:val="24"/>
          <w:szCs w:val="24"/>
          <w:lang w:val="en-GB"/>
        </w:rPr>
        <w:t>, Florette Truenicht</w:t>
      </w:r>
      <w:r w:rsidRPr="00F35AF2">
        <w:rPr>
          <w:rFonts w:ascii="Times New Roman" w:hAnsi="Times New Roman"/>
          <w:sz w:val="24"/>
          <w:szCs w:val="24"/>
          <w:vertAlign w:val="superscript"/>
          <w:lang w:val="en-GB"/>
        </w:rPr>
        <w:t>1</w:t>
      </w:r>
      <w:r w:rsidRPr="00F35AF2">
        <w:rPr>
          <w:rFonts w:ascii="Times New Roman" w:hAnsi="Times New Roman"/>
          <w:sz w:val="24"/>
          <w:szCs w:val="24"/>
          <w:lang w:val="en-GB"/>
        </w:rPr>
        <w:t>, Orienka Hellferscee</w:t>
      </w:r>
      <w:r w:rsidRPr="00F35AF2">
        <w:rPr>
          <w:rFonts w:ascii="Times New Roman" w:hAnsi="Times New Roman"/>
          <w:sz w:val="24"/>
          <w:szCs w:val="24"/>
          <w:vertAlign w:val="superscript"/>
          <w:lang w:val="en-GB"/>
        </w:rPr>
        <w:t>1,13</w:t>
      </w:r>
      <w:r w:rsidRPr="00F35AF2">
        <w:rPr>
          <w:rFonts w:ascii="Times New Roman" w:hAnsi="Times New Roman"/>
          <w:sz w:val="24"/>
          <w:szCs w:val="24"/>
          <w:lang w:val="en-GB"/>
        </w:rPr>
        <w:t>, Nazir Ismail</w:t>
      </w:r>
      <w:r w:rsidRPr="00F35AF2">
        <w:rPr>
          <w:rFonts w:ascii="Times New Roman" w:hAnsi="Times New Roman"/>
          <w:sz w:val="24"/>
          <w:szCs w:val="24"/>
          <w:vertAlign w:val="superscript"/>
          <w:lang w:val="en-GB"/>
        </w:rPr>
        <w:t>5,14</w:t>
      </w:r>
      <w:r w:rsidRPr="00F35AF2">
        <w:rPr>
          <w:rFonts w:ascii="Times New Roman" w:hAnsi="Times New Roman"/>
          <w:sz w:val="24"/>
          <w:szCs w:val="24"/>
          <w:lang w:val="en-GB"/>
        </w:rPr>
        <w:t>, Cheryl Cohen</w:t>
      </w:r>
      <w:r w:rsidRPr="00F35AF2">
        <w:rPr>
          <w:rFonts w:ascii="Times New Roman" w:hAnsi="Times New Roman"/>
          <w:sz w:val="24"/>
          <w:szCs w:val="24"/>
          <w:vertAlign w:val="superscript"/>
          <w:lang w:val="en-GB"/>
        </w:rPr>
        <w:t>1,2</w:t>
      </w:r>
    </w:p>
    <w:p w:rsidR="001A79D8" w:rsidRPr="00F35AF2" w:rsidRDefault="001A79D8" w:rsidP="001A79D8">
      <w:pPr>
        <w:spacing w:after="0" w:line="480" w:lineRule="auto"/>
        <w:rPr>
          <w:rFonts w:ascii="Times New Roman" w:hAnsi="Times New Roman"/>
          <w:b/>
          <w:bCs/>
          <w:sz w:val="24"/>
          <w:szCs w:val="24"/>
        </w:rPr>
      </w:pPr>
      <w:r w:rsidRPr="00F35AF2">
        <w:rPr>
          <w:rFonts w:ascii="Times New Roman" w:hAnsi="Times New Roman"/>
          <w:b/>
          <w:bCs/>
          <w:sz w:val="24"/>
          <w:szCs w:val="24"/>
        </w:rPr>
        <w:t>Affiliations</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Centre for Respiratory Diseases and Meningitis, National Institute for Communicable Diseases of the National Health Laboratory Service, Johannesburg, South Africa</w:t>
      </w:r>
    </w:p>
    <w:p w:rsidR="001A79D8" w:rsidRPr="00F35AF2" w:rsidRDefault="001A79D8" w:rsidP="001A79D8">
      <w:pPr>
        <w:pStyle w:val="ListParagraph"/>
        <w:numPr>
          <w:ilvl w:val="0"/>
          <w:numId w:val="1"/>
        </w:numPr>
        <w:spacing w:line="360" w:lineRule="auto"/>
        <w:jc w:val="both"/>
        <w:rPr>
          <w:rFonts w:ascii="Times New Roman" w:hAnsi="Times New Roman"/>
          <w:spacing w:val="7"/>
          <w:sz w:val="24"/>
          <w:szCs w:val="24"/>
        </w:rPr>
      </w:pPr>
      <w:r w:rsidRPr="00F35AF2">
        <w:rPr>
          <w:rFonts w:ascii="Times New Roman" w:hAnsi="Times New Roman"/>
          <w:spacing w:val="7"/>
          <w:sz w:val="24"/>
          <w:szCs w:val="24"/>
        </w:rPr>
        <w:t>School of Public Health, Faculty of Health Sciences, Universi</w:t>
      </w:r>
      <w:bookmarkStart w:id="0" w:name="_GoBack"/>
      <w:bookmarkEnd w:id="0"/>
      <w:r w:rsidRPr="00F35AF2">
        <w:rPr>
          <w:rFonts w:ascii="Times New Roman" w:hAnsi="Times New Roman"/>
          <w:spacing w:val="7"/>
          <w:sz w:val="24"/>
          <w:szCs w:val="24"/>
        </w:rPr>
        <w:t>ty of the Witwatersrand, Johannesburg, South Africa</w:t>
      </w:r>
    </w:p>
    <w:p w:rsidR="001A79D8" w:rsidRPr="00F35AF2" w:rsidRDefault="001A79D8" w:rsidP="001A79D8">
      <w:pPr>
        <w:pStyle w:val="ListParagraph"/>
        <w:numPr>
          <w:ilvl w:val="0"/>
          <w:numId w:val="1"/>
        </w:numPr>
        <w:spacing w:line="360" w:lineRule="auto"/>
        <w:jc w:val="both"/>
        <w:rPr>
          <w:rFonts w:ascii="Times New Roman" w:hAnsi="Times New Roman"/>
          <w:sz w:val="24"/>
          <w:szCs w:val="24"/>
        </w:rPr>
      </w:pPr>
      <w:r w:rsidRPr="00F35AF2">
        <w:rPr>
          <w:rFonts w:ascii="Times New Roman" w:hAnsi="Times New Roman"/>
          <w:sz w:val="24"/>
          <w:szCs w:val="24"/>
        </w:rPr>
        <w:t>Influenza Division, Centers for Disease Control and Prevention, Atlanta, Georgia, United States of America</w:t>
      </w:r>
    </w:p>
    <w:p w:rsidR="001A79D8" w:rsidRPr="00F35AF2" w:rsidRDefault="001A79D8" w:rsidP="001A79D8">
      <w:pPr>
        <w:pStyle w:val="ListParagraph"/>
        <w:numPr>
          <w:ilvl w:val="0"/>
          <w:numId w:val="1"/>
        </w:numPr>
        <w:spacing w:line="360" w:lineRule="auto"/>
        <w:rPr>
          <w:rFonts w:ascii="Times New Roman" w:hAnsi="Times New Roman"/>
          <w:sz w:val="24"/>
          <w:szCs w:val="24"/>
        </w:rPr>
      </w:pPr>
      <w:r w:rsidRPr="00F35AF2">
        <w:rPr>
          <w:rFonts w:ascii="Times New Roman" w:hAnsi="Times New Roman"/>
          <w:sz w:val="24"/>
          <w:szCs w:val="24"/>
        </w:rPr>
        <w:t>Influenza Program, Centers for Disease Control and Prevention, Pretoria, South Africa</w:t>
      </w:r>
    </w:p>
    <w:p w:rsidR="001A79D8" w:rsidRPr="00F35AF2" w:rsidRDefault="001A79D8" w:rsidP="001A79D8">
      <w:pPr>
        <w:pStyle w:val="ListParagraph"/>
        <w:numPr>
          <w:ilvl w:val="0"/>
          <w:numId w:val="1"/>
        </w:numPr>
        <w:spacing w:line="360" w:lineRule="auto"/>
        <w:rPr>
          <w:rFonts w:ascii="Times New Roman" w:hAnsi="Times New Roman"/>
          <w:sz w:val="24"/>
          <w:szCs w:val="24"/>
        </w:rPr>
      </w:pPr>
      <w:r w:rsidRPr="00F35AF2">
        <w:rPr>
          <w:rFonts w:ascii="Times New Roman" w:hAnsi="Times New Roman"/>
          <w:sz w:val="24"/>
          <w:szCs w:val="24"/>
        </w:rPr>
        <w:t>Centre for tuberculosis,  National Institute for Communicable Diseases of the National Health Laboratory Service, Johannesburg, South Africa</w:t>
      </w:r>
      <w:r w:rsidRPr="00F35AF2" w:rsidDel="00141A94">
        <w:rPr>
          <w:rFonts w:ascii="Times New Roman" w:hAnsi="Times New Roman"/>
          <w:sz w:val="24"/>
          <w:szCs w:val="24"/>
        </w:rPr>
        <w:t xml:space="preserve"> </w:t>
      </w:r>
    </w:p>
    <w:p w:rsidR="001A79D8" w:rsidRPr="00F35AF2" w:rsidRDefault="001A79D8" w:rsidP="001A79D8">
      <w:pPr>
        <w:pStyle w:val="ListParagraph"/>
        <w:numPr>
          <w:ilvl w:val="0"/>
          <w:numId w:val="1"/>
        </w:numPr>
        <w:spacing w:line="360" w:lineRule="auto"/>
        <w:rPr>
          <w:rFonts w:ascii="Times New Roman" w:hAnsi="Times New Roman"/>
          <w:sz w:val="24"/>
          <w:szCs w:val="24"/>
        </w:rPr>
      </w:pPr>
      <w:r w:rsidRPr="00F35AF2">
        <w:rPr>
          <w:rFonts w:ascii="Times New Roman" w:hAnsi="Times New Roman"/>
          <w:sz w:val="24"/>
          <w:szCs w:val="24"/>
        </w:rPr>
        <w:t>Pietermaritzburg Metropolitan Hospital Complex, KwaZulu- Natal, South Africa</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Department of Medicine, Klerksdorp Tshepong Hospital, North West Province,</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 xml:space="preserve">School of Clinical Medicine, Faculty of Health Sciences, University of Witwatersrand, Johannesburg, South Africa </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Perinatal HIV Research Unit, MRC Soweto Matlosana Collaborating Centre for HIV/AIDS and TB</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 xml:space="preserve"> Division of</w:t>
      </w:r>
      <w:r w:rsidRPr="00F35AF2">
        <w:rPr>
          <w:rFonts w:ascii="Times New Roman" w:hAnsi="Times New Roman"/>
          <w:color w:val="000001"/>
          <w:spacing w:val="7"/>
          <w:sz w:val="24"/>
          <w:szCs w:val="24"/>
        </w:rPr>
        <w:t xml:space="preserve"> Global Health Protection, Centers for Disease Control and Prevention, Pretoria, South Africa</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lastRenderedPageBreak/>
        <w:t xml:space="preserve"> DST/NRF Centre of Excellence for Biomedical Tuberculosis Research, University of the Witwatersrand, Johannesburg, South Africa</w:t>
      </w:r>
    </w:p>
    <w:p w:rsidR="001A79D8" w:rsidRPr="00F35AF2" w:rsidRDefault="001A79D8" w:rsidP="001A79D8">
      <w:pPr>
        <w:numPr>
          <w:ilvl w:val="0"/>
          <w:numId w:val="1"/>
        </w:numPr>
        <w:spacing w:after="0" w:line="360" w:lineRule="auto"/>
        <w:rPr>
          <w:rFonts w:ascii="Times New Roman" w:hAnsi="Times New Roman"/>
          <w:sz w:val="24"/>
          <w:szCs w:val="24"/>
        </w:rPr>
      </w:pPr>
      <w:r w:rsidRPr="00F35AF2">
        <w:rPr>
          <w:rFonts w:ascii="Times New Roman" w:hAnsi="Times New Roman"/>
          <w:sz w:val="24"/>
          <w:szCs w:val="24"/>
        </w:rPr>
        <w:t xml:space="preserve"> Johns Hopkins University Center for TB Research, Baltimore, MD</w:t>
      </w:r>
    </w:p>
    <w:p w:rsidR="001A79D8" w:rsidRPr="00F35AF2" w:rsidRDefault="001A79D8" w:rsidP="001A79D8">
      <w:pPr>
        <w:numPr>
          <w:ilvl w:val="0"/>
          <w:numId w:val="1"/>
        </w:numPr>
        <w:spacing w:after="0" w:line="480" w:lineRule="auto"/>
        <w:rPr>
          <w:rFonts w:ascii="Times New Roman" w:hAnsi="Times New Roman"/>
          <w:b/>
          <w:bCs/>
          <w:sz w:val="24"/>
          <w:szCs w:val="24"/>
        </w:rPr>
      </w:pPr>
      <w:r w:rsidRPr="00F35AF2">
        <w:rPr>
          <w:rFonts w:ascii="Times New Roman" w:hAnsi="Times New Roman"/>
          <w:sz w:val="24"/>
          <w:szCs w:val="24"/>
        </w:rPr>
        <w:t xml:space="preserve"> School of Pathology, Faculty of Health Sciences, University of the Witwatersrand</w:t>
      </w:r>
      <w:r w:rsidR="00D12609" w:rsidRPr="00F35AF2">
        <w:rPr>
          <w:rFonts w:ascii="Times New Roman" w:hAnsi="Times New Roman"/>
          <w:sz w:val="24"/>
          <w:szCs w:val="24"/>
        </w:rPr>
        <w:t xml:space="preserve"> </w:t>
      </w:r>
      <w:r w:rsidRPr="00F35AF2">
        <w:rPr>
          <w:rFonts w:ascii="Times New Roman" w:hAnsi="Times New Roman"/>
          <w:sz w:val="24"/>
          <w:szCs w:val="24"/>
        </w:rPr>
        <w:t>Faculty of Health Sciences, University of Pretoria, Pretoria</w:t>
      </w:r>
    </w:p>
    <w:p w:rsidR="00DB1BEA" w:rsidRPr="00F35AF2" w:rsidRDefault="00DB1BEA">
      <w:pPr>
        <w:rPr>
          <w:rFonts w:ascii="Times New Roman" w:hAnsi="Times New Roman"/>
          <w:sz w:val="24"/>
          <w:szCs w:val="24"/>
        </w:rPr>
      </w:pPr>
      <w:r w:rsidRPr="00F35AF2">
        <w:rPr>
          <w:rFonts w:ascii="Times New Roman" w:hAnsi="Times New Roman"/>
          <w:sz w:val="24"/>
          <w:szCs w:val="24"/>
        </w:rPr>
        <w:br w:type="page"/>
      </w:r>
    </w:p>
    <w:p w:rsidR="00C3556B" w:rsidRPr="00F35AF2" w:rsidRDefault="00C3556B" w:rsidP="00DB1BEA">
      <w:pPr>
        <w:spacing w:after="0" w:line="480" w:lineRule="auto"/>
        <w:ind w:left="720"/>
        <w:rPr>
          <w:rFonts w:ascii="Times New Roman" w:hAnsi="Times New Roman"/>
          <w:b/>
          <w:bCs/>
          <w:sz w:val="24"/>
          <w:szCs w:val="24"/>
        </w:rPr>
        <w:sectPr w:rsidR="00C3556B" w:rsidRPr="00F35AF2" w:rsidSect="00251FC5">
          <w:type w:val="continuous"/>
          <w:pgSz w:w="16838" w:h="11906" w:orient="landscape"/>
          <w:pgMar w:top="1440" w:right="1440" w:bottom="1440" w:left="1440" w:header="709" w:footer="709" w:gutter="0"/>
          <w:cols w:space="708"/>
          <w:docGrid w:linePitch="360"/>
        </w:sectPr>
      </w:pPr>
    </w:p>
    <w:p w:rsidR="00DB1BEA" w:rsidRPr="00F35AF2" w:rsidRDefault="00DB1BEA" w:rsidP="00DB1BEA">
      <w:pPr>
        <w:spacing w:after="0" w:line="480" w:lineRule="auto"/>
        <w:ind w:left="720"/>
        <w:rPr>
          <w:rFonts w:ascii="Times New Roman" w:hAnsi="Times New Roman"/>
          <w:b/>
          <w:bCs/>
          <w:sz w:val="24"/>
          <w:szCs w:val="24"/>
        </w:rPr>
      </w:pPr>
    </w:p>
    <w:p w:rsidR="001A79D8" w:rsidRPr="00F35AF2" w:rsidRDefault="001A79D8">
      <w:pPr>
        <w:rPr>
          <w:rFonts w:ascii="Times New Roman" w:hAnsi="Times New Roman"/>
          <w:b/>
          <w:sz w:val="24"/>
          <w:szCs w:val="24"/>
        </w:rPr>
      </w:pPr>
    </w:p>
    <w:p w:rsidR="001A79D8" w:rsidRPr="00F35AF2" w:rsidRDefault="001A79D8" w:rsidP="00F15264">
      <w:pPr>
        <w:spacing w:line="480" w:lineRule="auto"/>
        <w:rPr>
          <w:rFonts w:ascii="Times New Roman" w:hAnsi="Times New Roman"/>
          <w:b/>
          <w:sz w:val="24"/>
          <w:szCs w:val="24"/>
        </w:rPr>
      </w:pPr>
    </w:p>
    <w:p w:rsidR="004939F5" w:rsidRPr="00F35AF2" w:rsidRDefault="00DB1BEA" w:rsidP="00C3556B">
      <w:pPr>
        <w:spacing w:line="480" w:lineRule="auto"/>
        <w:rPr>
          <w:rFonts w:ascii="Times New Roman" w:hAnsi="Times New Roman"/>
          <w:b/>
          <w:color w:val="000000"/>
          <w:sz w:val="24"/>
          <w:szCs w:val="24"/>
        </w:rPr>
      </w:pPr>
      <w:r w:rsidRPr="00F35AF2">
        <w:rPr>
          <w:rFonts w:ascii="Times New Roman" w:hAnsi="Times New Roman"/>
          <w:b/>
          <w:sz w:val="24"/>
          <w:szCs w:val="24"/>
        </w:rPr>
        <w:t>Supplementary</w:t>
      </w:r>
      <w:r w:rsidR="00B96080" w:rsidRPr="00F35AF2">
        <w:rPr>
          <w:rFonts w:ascii="Times New Roman" w:hAnsi="Times New Roman"/>
          <w:b/>
          <w:sz w:val="24"/>
          <w:szCs w:val="24"/>
        </w:rPr>
        <w:t xml:space="preserve"> table1</w:t>
      </w:r>
      <w:r w:rsidR="001A79D8" w:rsidRPr="00F35AF2">
        <w:rPr>
          <w:rFonts w:ascii="Times New Roman" w:hAnsi="Times New Roman"/>
          <w:b/>
          <w:sz w:val="24"/>
          <w:szCs w:val="24"/>
        </w:rPr>
        <w:t xml:space="preserve">: Comparison of </w:t>
      </w:r>
      <w:r w:rsidR="004939F5" w:rsidRPr="00F35AF2">
        <w:rPr>
          <w:rFonts w:ascii="Times New Roman" w:hAnsi="Times New Roman"/>
          <w:b/>
          <w:sz w:val="24"/>
          <w:szCs w:val="24"/>
        </w:rPr>
        <w:t>characteristics and presentation of in</w:t>
      </w:r>
      <w:r w:rsidR="004939F5" w:rsidRPr="00F35AF2">
        <w:rPr>
          <w:rFonts w:ascii="Times New Roman" w:hAnsi="Times New Roman"/>
          <w:b/>
          <w:color w:val="000000"/>
          <w:sz w:val="24"/>
          <w:szCs w:val="24"/>
        </w:rPr>
        <w:t xml:space="preserve">dividuals≥ 15 years of age tested and not tested for tuberculosis </w:t>
      </w:r>
      <w:r w:rsidR="00B96080" w:rsidRPr="00F35AF2">
        <w:rPr>
          <w:rFonts w:ascii="Times New Roman" w:hAnsi="Times New Roman"/>
          <w:b/>
          <w:color w:val="000000"/>
          <w:sz w:val="24"/>
          <w:szCs w:val="24"/>
        </w:rPr>
        <w:t>(</w:t>
      </w:r>
      <w:r w:rsidR="003358DB" w:rsidRPr="00F35AF2">
        <w:rPr>
          <w:rFonts w:ascii="Times New Roman" w:hAnsi="Times New Roman"/>
          <w:b/>
          <w:color w:val="000000"/>
          <w:sz w:val="24"/>
          <w:szCs w:val="24"/>
        </w:rPr>
        <w:t>N=2486</w:t>
      </w:r>
      <w:r w:rsidR="00B96080" w:rsidRPr="00F35AF2">
        <w:rPr>
          <w:rFonts w:ascii="Times New Roman" w:hAnsi="Times New Roman"/>
          <w:b/>
          <w:color w:val="000000"/>
          <w:sz w:val="24"/>
          <w:szCs w:val="24"/>
        </w:rPr>
        <w:t>)</w:t>
      </w:r>
    </w:p>
    <w:p w:rsidR="004939F5" w:rsidRPr="00F35AF2" w:rsidRDefault="004939F5" w:rsidP="00C3556B">
      <w:pPr>
        <w:spacing w:line="480" w:lineRule="auto"/>
        <w:rPr>
          <w:rFonts w:ascii="Times New Roman" w:hAnsi="Times New Roman"/>
          <w:b/>
          <w:sz w:val="24"/>
          <w:szCs w:val="24"/>
        </w:rPr>
      </w:pPr>
    </w:p>
    <w:tbl>
      <w:tblPr>
        <w:tblW w:w="0" w:type="auto"/>
        <w:tblLayout w:type="fixed"/>
        <w:tblLook w:val="04A0" w:firstRow="1" w:lastRow="0" w:firstColumn="1" w:lastColumn="0" w:noHBand="0" w:noVBand="1"/>
      </w:tblPr>
      <w:tblGrid>
        <w:gridCol w:w="1384"/>
        <w:gridCol w:w="1559"/>
        <w:gridCol w:w="1843"/>
        <w:gridCol w:w="1843"/>
        <w:gridCol w:w="1843"/>
        <w:gridCol w:w="1417"/>
        <w:gridCol w:w="1985"/>
        <w:gridCol w:w="1701"/>
      </w:tblGrid>
      <w:tr w:rsidR="004939F5" w:rsidRPr="00F35AF2" w:rsidTr="00E750C5">
        <w:trPr>
          <w:trHeight w:val="405"/>
        </w:trPr>
        <w:tc>
          <w:tcPr>
            <w:tcW w:w="1384" w:type="dxa"/>
            <w:vMerge w:val="restart"/>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559" w:type="dxa"/>
            <w:vMerge w:val="restart"/>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843" w:type="dxa"/>
            <w:vMerge w:val="restart"/>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Tested for tuberculosis</w:t>
            </w:r>
          </w:p>
        </w:tc>
        <w:tc>
          <w:tcPr>
            <w:tcW w:w="1843" w:type="dxa"/>
            <w:vMerge w:val="restart"/>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Not tested for tuberculosis</w:t>
            </w:r>
          </w:p>
        </w:tc>
        <w:tc>
          <w:tcPr>
            <w:tcW w:w="3260" w:type="dxa"/>
            <w:gridSpan w:val="2"/>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Univariate analysis </w:t>
            </w:r>
          </w:p>
        </w:tc>
        <w:tc>
          <w:tcPr>
            <w:tcW w:w="3686" w:type="dxa"/>
            <w:gridSpan w:val="2"/>
            <w:tcBorders>
              <w:top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Multivariable analysis </w:t>
            </w:r>
          </w:p>
        </w:tc>
      </w:tr>
      <w:tr w:rsidR="004939F5" w:rsidRPr="00F35AF2" w:rsidTr="00E750C5">
        <w:trPr>
          <w:trHeight w:val="405"/>
        </w:trPr>
        <w:tc>
          <w:tcPr>
            <w:tcW w:w="1384" w:type="dxa"/>
            <w:vMerge/>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559" w:type="dxa"/>
            <w:vMerge/>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843" w:type="dxa"/>
            <w:vMerge/>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p>
        </w:tc>
        <w:tc>
          <w:tcPr>
            <w:tcW w:w="1843" w:type="dxa"/>
            <w:vMerge/>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p>
        </w:tc>
        <w:tc>
          <w:tcPr>
            <w:tcW w:w="1843" w:type="dxa"/>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OR (95% CI)</w:t>
            </w:r>
          </w:p>
        </w:tc>
        <w:tc>
          <w:tcPr>
            <w:tcW w:w="1417" w:type="dxa"/>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P-value </w:t>
            </w:r>
          </w:p>
        </w:tc>
        <w:tc>
          <w:tcPr>
            <w:tcW w:w="1985" w:type="dxa"/>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OR (95% CI)</w:t>
            </w:r>
          </w:p>
        </w:tc>
        <w:tc>
          <w:tcPr>
            <w:tcW w:w="1701" w:type="dxa"/>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P-value </w:t>
            </w:r>
          </w:p>
        </w:tc>
      </w:tr>
      <w:tr w:rsidR="004939F5" w:rsidRPr="00F35AF2" w:rsidTr="00E750C5">
        <w:tc>
          <w:tcPr>
            <w:tcW w:w="1384"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Age</w:t>
            </w:r>
          </w:p>
        </w:tc>
        <w:tc>
          <w:tcPr>
            <w:tcW w:w="1559"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15-24</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170/2097 (8)</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236/389 (9)</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Reference </w:t>
            </w:r>
          </w:p>
        </w:tc>
        <w:tc>
          <w:tcPr>
            <w:tcW w:w="1417"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 </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Reference </w:t>
            </w: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1384"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559"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25-44</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1145/2097 (55)</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174/389 (45)</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w:t>
            </w:r>
            <w:r w:rsidR="007B459C" w:rsidRPr="00F35AF2">
              <w:rPr>
                <w:rFonts w:ascii="Times New Roman" w:hAnsi="Times New Roman"/>
                <w:sz w:val="24"/>
                <w:szCs w:val="24"/>
              </w:rPr>
              <w:t xml:space="preserve"> (0.5-1</w:t>
            </w:r>
            <w:r w:rsidRPr="00F35AF2">
              <w:rPr>
                <w:rFonts w:ascii="Times New Roman" w:hAnsi="Times New Roman"/>
                <w:sz w:val="24"/>
                <w:szCs w:val="24"/>
              </w:rPr>
              <w:t>.1)</w:t>
            </w:r>
          </w:p>
        </w:tc>
        <w:tc>
          <w:tcPr>
            <w:tcW w:w="1417" w:type="dxa"/>
          </w:tcPr>
          <w:p w:rsidR="004939F5" w:rsidRPr="00F35AF2" w:rsidRDefault="007B459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0.098</w:t>
            </w:r>
          </w:p>
        </w:tc>
        <w:tc>
          <w:tcPr>
            <w:tcW w:w="1985" w:type="dxa"/>
          </w:tcPr>
          <w:p w:rsidR="004939F5" w:rsidRPr="00F35AF2" w:rsidRDefault="00E41F6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w:t>
            </w:r>
            <w:r w:rsidR="00CA3B50" w:rsidRPr="00F35AF2">
              <w:rPr>
                <w:rFonts w:ascii="Times New Roman" w:hAnsi="Times New Roman"/>
                <w:sz w:val="24"/>
                <w:szCs w:val="24"/>
              </w:rPr>
              <w:t>0.5-1.2)</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0.184</w:t>
            </w:r>
          </w:p>
        </w:tc>
      </w:tr>
      <w:tr w:rsidR="004939F5" w:rsidRPr="00F35AF2" w:rsidTr="00E750C5">
        <w:tc>
          <w:tcPr>
            <w:tcW w:w="1384"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559"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45-64</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619 /2097 (30)</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125/389 (32)</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0.9</w:t>
            </w:r>
            <w:r w:rsidR="007B459C" w:rsidRPr="00F35AF2">
              <w:rPr>
                <w:rFonts w:ascii="Times New Roman" w:hAnsi="Times New Roman"/>
                <w:sz w:val="24"/>
                <w:szCs w:val="24"/>
              </w:rPr>
              <w:t xml:space="preserve"> (0.6-1</w:t>
            </w:r>
            <w:r w:rsidRPr="00F35AF2">
              <w:rPr>
                <w:rFonts w:ascii="Times New Roman" w:hAnsi="Times New Roman"/>
                <w:sz w:val="24"/>
                <w:szCs w:val="24"/>
              </w:rPr>
              <w:t>.</w:t>
            </w:r>
            <w:r w:rsidR="007B459C" w:rsidRPr="00F35AF2">
              <w:rPr>
                <w:rFonts w:ascii="Times New Roman" w:hAnsi="Times New Roman"/>
                <w:sz w:val="24"/>
                <w:szCs w:val="24"/>
              </w:rPr>
              <w:t>4</w:t>
            </w:r>
            <w:r w:rsidRPr="00F35AF2">
              <w:rPr>
                <w:rFonts w:ascii="Times New Roman" w:hAnsi="Times New Roman"/>
                <w:sz w:val="24"/>
                <w:szCs w:val="24"/>
              </w:rPr>
              <w:t>)</w:t>
            </w:r>
          </w:p>
        </w:tc>
        <w:tc>
          <w:tcPr>
            <w:tcW w:w="1417" w:type="dxa"/>
          </w:tcPr>
          <w:p w:rsidR="004939F5" w:rsidRPr="00F35AF2" w:rsidRDefault="007B459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0.819</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1.0 (0.6-1.6)</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0.945</w:t>
            </w:r>
          </w:p>
        </w:tc>
      </w:tr>
      <w:tr w:rsidR="004939F5" w:rsidRPr="00F35AF2" w:rsidTr="00E750C5">
        <w:tc>
          <w:tcPr>
            <w:tcW w:w="1384"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559"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65+</w:t>
            </w:r>
          </w:p>
        </w:tc>
        <w:tc>
          <w:tcPr>
            <w:tcW w:w="1843" w:type="dxa"/>
          </w:tcPr>
          <w:p w:rsidR="004939F5" w:rsidRPr="00F35AF2" w:rsidRDefault="007B459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163 </w:t>
            </w:r>
            <w:r w:rsidR="004939F5" w:rsidRPr="00F35AF2">
              <w:rPr>
                <w:rFonts w:ascii="Times New Roman" w:hAnsi="Times New Roman"/>
                <w:sz w:val="24"/>
                <w:szCs w:val="24"/>
              </w:rPr>
              <w:t>/2097 (8)</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54/389 (14)</w:t>
            </w:r>
          </w:p>
        </w:tc>
        <w:tc>
          <w:tcPr>
            <w:tcW w:w="1843" w:type="dxa"/>
          </w:tcPr>
          <w:p w:rsidR="004939F5" w:rsidRPr="00F35AF2" w:rsidRDefault="007B459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1.6 (1.0</w:t>
            </w:r>
            <w:r w:rsidR="004939F5" w:rsidRPr="00F35AF2">
              <w:rPr>
                <w:rFonts w:ascii="Times New Roman" w:hAnsi="Times New Roman"/>
                <w:sz w:val="24"/>
                <w:szCs w:val="24"/>
              </w:rPr>
              <w:t>-</w:t>
            </w:r>
            <w:r w:rsidRPr="00F35AF2">
              <w:rPr>
                <w:rFonts w:ascii="Times New Roman" w:hAnsi="Times New Roman"/>
                <w:sz w:val="24"/>
                <w:szCs w:val="24"/>
              </w:rPr>
              <w:t>2.5</w:t>
            </w:r>
            <w:r w:rsidR="004939F5" w:rsidRPr="00F35AF2">
              <w:rPr>
                <w:rFonts w:ascii="Times New Roman" w:hAnsi="Times New Roman"/>
                <w:sz w:val="24"/>
                <w:szCs w:val="24"/>
              </w:rPr>
              <w:t>)</w:t>
            </w:r>
          </w:p>
        </w:tc>
        <w:tc>
          <w:tcPr>
            <w:tcW w:w="1417" w:type="dxa"/>
          </w:tcPr>
          <w:p w:rsidR="004939F5" w:rsidRPr="00F35AF2" w:rsidRDefault="007B459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0.064</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 (0.8-2.3)</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0.256</w:t>
            </w: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Female gender</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1102/2096</w:t>
            </w:r>
            <w:r w:rsidR="004939F5" w:rsidRPr="00F35AF2">
              <w:rPr>
                <w:rFonts w:ascii="Times New Roman" w:hAnsi="Times New Roman"/>
                <w:sz w:val="24"/>
                <w:szCs w:val="24"/>
              </w:rPr>
              <w:t xml:space="preserve"> (5</w:t>
            </w:r>
            <w:r w:rsidRPr="00F35AF2">
              <w:rPr>
                <w:rFonts w:ascii="Times New Roman" w:hAnsi="Times New Roman"/>
                <w:sz w:val="24"/>
                <w:szCs w:val="24"/>
              </w:rPr>
              <w:t>3</w:t>
            </w:r>
            <w:r w:rsidR="004939F5" w:rsidRPr="00F35AF2">
              <w:rPr>
                <w:rFonts w:ascii="Times New Roman" w:hAnsi="Times New Roman"/>
                <w:sz w:val="24"/>
                <w:szCs w:val="24"/>
              </w:rPr>
              <w:t>)</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222/389</w:t>
            </w:r>
            <w:r w:rsidR="004939F5" w:rsidRPr="00F35AF2">
              <w:rPr>
                <w:rFonts w:ascii="Times New Roman" w:hAnsi="Times New Roman"/>
                <w:sz w:val="24"/>
                <w:szCs w:val="24"/>
              </w:rPr>
              <w:t xml:space="preserve"> (5</w:t>
            </w:r>
            <w:r w:rsidRPr="00F35AF2">
              <w:rPr>
                <w:rFonts w:ascii="Times New Roman" w:hAnsi="Times New Roman"/>
                <w:sz w:val="24"/>
                <w:szCs w:val="24"/>
              </w:rPr>
              <w:t>7</w:t>
            </w:r>
            <w:r w:rsidR="004939F5" w:rsidRPr="00F35AF2">
              <w:rPr>
                <w:rFonts w:ascii="Times New Roman" w:hAnsi="Times New Roman"/>
                <w:sz w:val="24"/>
                <w:szCs w:val="24"/>
              </w:rPr>
              <w:t>)</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 (1.0-1</w:t>
            </w:r>
            <w:r w:rsidR="004939F5" w:rsidRPr="00F35AF2">
              <w:rPr>
                <w:rFonts w:ascii="Times New Roman" w:hAnsi="Times New Roman"/>
                <w:sz w:val="24"/>
                <w:szCs w:val="24"/>
              </w:rPr>
              <w:t>.</w:t>
            </w:r>
            <w:r w:rsidRPr="00F35AF2">
              <w:rPr>
                <w:rFonts w:ascii="Times New Roman" w:hAnsi="Times New Roman"/>
                <w:sz w:val="24"/>
                <w:szCs w:val="24"/>
              </w:rPr>
              <w:t>5</w:t>
            </w:r>
            <w:r w:rsidR="004939F5" w:rsidRPr="00F35AF2">
              <w:rPr>
                <w:rFonts w:ascii="Times New Roman" w:hAnsi="Times New Roman"/>
                <w:sz w:val="24"/>
                <w:szCs w:val="24"/>
              </w:rPr>
              <w:t>)</w:t>
            </w:r>
          </w:p>
        </w:tc>
        <w:tc>
          <w:tcPr>
            <w:tcW w:w="1417"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0.103</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Tshepong </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1388/2097</w:t>
            </w:r>
            <w:r w:rsidR="004939F5" w:rsidRPr="00F35AF2">
              <w:rPr>
                <w:rFonts w:ascii="Times New Roman" w:hAnsi="Times New Roman"/>
                <w:sz w:val="24"/>
                <w:szCs w:val="24"/>
              </w:rPr>
              <w:t xml:space="preserve"> (6</w:t>
            </w:r>
            <w:r w:rsidRPr="00F35AF2">
              <w:rPr>
                <w:rFonts w:ascii="Times New Roman" w:hAnsi="Times New Roman"/>
                <w:sz w:val="24"/>
                <w:szCs w:val="24"/>
              </w:rPr>
              <w:t>6</w:t>
            </w:r>
            <w:r w:rsidR="004939F5" w:rsidRPr="00F35AF2">
              <w:rPr>
                <w:rFonts w:ascii="Times New Roman" w:hAnsi="Times New Roman"/>
                <w:sz w:val="24"/>
                <w:szCs w:val="24"/>
              </w:rPr>
              <w:t>)</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228/389 (59</w:t>
            </w:r>
            <w:r w:rsidR="004939F5" w:rsidRPr="00F35AF2">
              <w:rPr>
                <w:rFonts w:ascii="Times New Roman" w:hAnsi="Times New Roman"/>
                <w:sz w:val="24"/>
                <w:szCs w:val="24"/>
              </w:rPr>
              <w:t>)</w:t>
            </w:r>
          </w:p>
        </w:tc>
        <w:tc>
          <w:tcPr>
            <w:tcW w:w="1843"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(0.6-0.9</w:t>
            </w:r>
            <w:r w:rsidR="004939F5" w:rsidRPr="00F35AF2">
              <w:rPr>
                <w:rFonts w:ascii="Times New Roman" w:hAnsi="Times New Roman"/>
                <w:sz w:val="24"/>
                <w:szCs w:val="24"/>
              </w:rPr>
              <w:t>)</w:t>
            </w:r>
          </w:p>
        </w:tc>
        <w:tc>
          <w:tcPr>
            <w:tcW w:w="1417" w:type="dxa"/>
          </w:tcPr>
          <w:p w:rsidR="004939F5"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0.004</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(0.5-0.9)</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0.002</w:t>
            </w:r>
          </w:p>
        </w:tc>
      </w:tr>
      <w:tr w:rsidR="00CD1523" w:rsidRPr="00F35AF2" w:rsidTr="00E750C5">
        <w:tc>
          <w:tcPr>
            <w:tcW w:w="2943" w:type="dxa"/>
            <w:gridSpan w:val="2"/>
          </w:tcPr>
          <w:p w:rsidR="00CD1523"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color w:val="000000"/>
                <w:sz w:val="24"/>
                <w:szCs w:val="24"/>
              </w:rPr>
              <w:t xml:space="preserve">Duration of symptoms &gt;14 </w:t>
            </w:r>
            <w:r w:rsidRPr="00F35AF2">
              <w:rPr>
                <w:rFonts w:ascii="Times New Roman" w:hAnsi="Times New Roman"/>
                <w:color w:val="000000"/>
                <w:sz w:val="24"/>
                <w:szCs w:val="24"/>
              </w:rPr>
              <w:lastRenderedPageBreak/>
              <w:t>days</w:t>
            </w:r>
          </w:p>
        </w:tc>
        <w:tc>
          <w:tcPr>
            <w:tcW w:w="1843" w:type="dxa"/>
          </w:tcPr>
          <w:p w:rsidR="00CD1523" w:rsidRPr="00F35AF2" w:rsidRDefault="00CD1523"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lastRenderedPageBreak/>
              <w:t xml:space="preserve">1368 </w:t>
            </w:r>
            <w:r w:rsidR="001B2ACC" w:rsidRPr="00F35AF2">
              <w:rPr>
                <w:rFonts w:ascii="Times New Roman" w:hAnsi="Times New Roman"/>
                <w:sz w:val="24"/>
                <w:szCs w:val="24"/>
              </w:rPr>
              <w:t>/2097 (65</w:t>
            </w:r>
            <w:r w:rsidRPr="00F35AF2">
              <w:rPr>
                <w:rFonts w:ascii="Times New Roman" w:hAnsi="Times New Roman"/>
                <w:sz w:val="24"/>
                <w:szCs w:val="24"/>
              </w:rPr>
              <w:t>)</w:t>
            </w:r>
          </w:p>
        </w:tc>
        <w:tc>
          <w:tcPr>
            <w:tcW w:w="1843" w:type="dxa"/>
          </w:tcPr>
          <w:p w:rsidR="00CD1523"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252/389 (65)</w:t>
            </w:r>
          </w:p>
        </w:tc>
        <w:tc>
          <w:tcPr>
            <w:tcW w:w="1843" w:type="dxa"/>
          </w:tcPr>
          <w:p w:rsidR="00CD1523"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1.0 (0.8-1.3)</w:t>
            </w:r>
          </w:p>
        </w:tc>
        <w:tc>
          <w:tcPr>
            <w:tcW w:w="1417" w:type="dxa"/>
          </w:tcPr>
          <w:p w:rsidR="00CD1523"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0.863</w:t>
            </w:r>
          </w:p>
        </w:tc>
        <w:tc>
          <w:tcPr>
            <w:tcW w:w="1985" w:type="dxa"/>
          </w:tcPr>
          <w:p w:rsidR="00CD1523" w:rsidRPr="00F35AF2" w:rsidRDefault="00CD1523" w:rsidP="00C3556B">
            <w:pPr>
              <w:autoSpaceDE w:val="0"/>
              <w:autoSpaceDN w:val="0"/>
              <w:adjustRightInd w:val="0"/>
              <w:spacing w:after="0" w:line="480" w:lineRule="auto"/>
              <w:rPr>
                <w:rFonts w:ascii="Times New Roman" w:hAnsi="Times New Roman"/>
                <w:sz w:val="24"/>
                <w:szCs w:val="24"/>
              </w:rPr>
            </w:pPr>
          </w:p>
        </w:tc>
        <w:tc>
          <w:tcPr>
            <w:tcW w:w="1701" w:type="dxa"/>
          </w:tcPr>
          <w:p w:rsidR="00CD1523" w:rsidRPr="00F35AF2" w:rsidRDefault="00CD1523"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lastRenderedPageBreak/>
              <w:t>History of any cough</w:t>
            </w:r>
          </w:p>
        </w:tc>
        <w:tc>
          <w:tcPr>
            <w:tcW w:w="1843" w:type="dxa"/>
          </w:tcPr>
          <w:p w:rsidR="004939F5"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1980/2096 (94</w:t>
            </w:r>
            <w:r w:rsidR="004939F5" w:rsidRPr="00F35AF2">
              <w:rPr>
                <w:rFonts w:ascii="Times New Roman" w:hAnsi="Times New Roman"/>
                <w:sz w:val="24"/>
                <w:szCs w:val="24"/>
              </w:rPr>
              <w:t>)</w:t>
            </w:r>
          </w:p>
        </w:tc>
        <w:tc>
          <w:tcPr>
            <w:tcW w:w="1843" w:type="dxa"/>
          </w:tcPr>
          <w:p w:rsidR="004939F5"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332/389 (85</w:t>
            </w:r>
            <w:r w:rsidR="004939F5" w:rsidRPr="00F35AF2">
              <w:rPr>
                <w:rFonts w:ascii="Times New Roman" w:hAnsi="Times New Roman"/>
                <w:sz w:val="24"/>
                <w:szCs w:val="24"/>
              </w:rPr>
              <w:t>)</w:t>
            </w:r>
          </w:p>
        </w:tc>
        <w:tc>
          <w:tcPr>
            <w:tcW w:w="1843" w:type="dxa"/>
          </w:tcPr>
          <w:p w:rsidR="004939F5"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0.3 (0.2</w:t>
            </w:r>
            <w:r w:rsidR="004939F5" w:rsidRPr="00F35AF2">
              <w:rPr>
                <w:rFonts w:ascii="Times New Roman" w:hAnsi="Times New Roman"/>
                <w:sz w:val="24"/>
                <w:szCs w:val="24"/>
              </w:rPr>
              <w:t>-0.5)</w:t>
            </w:r>
          </w:p>
        </w:tc>
        <w:tc>
          <w:tcPr>
            <w:tcW w:w="1417" w:type="dxa"/>
          </w:tcPr>
          <w:p w:rsidR="004939F5" w:rsidRPr="00F35AF2" w:rsidRDefault="001B2A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w:t>
            </w:r>
            <w:r w:rsidR="004939F5" w:rsidRPr="00F35AF2">
              <w:rPr>
                <w:rFonts w:ascii="Times New Roman" w:hAnsi="Times New Roman"/>
                <w:sz w:val="24"/>
                <w:szCs w:val="24"/>
              </w:rPr>
              <w:t>0.001</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0.3 (0.2-0.5)</w:t>
            </w:r>
          </w:p>
        </w:tc>
        <w:tc>
          <w:tcPr>
            <w:tcW w:w="1701" w:type="dxa"/>
          </w:tcPr>
          <w:p w:rsidR="004939F5" w:rsidRPr="00F35AF2" w:rsidRDefault="00E95D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w:t>
            </w:r>
            <w:r w:rsidR="00CA3B50" w:rsidRPr="00F35AF2">
              <w:rPr>
                <w:rFonts w:ascii="Times New Roman" w:hAnsi="Times New Roman"/>
                <w:sz w:val="24"/>
                <w:szCs w:val="24"/>
              </w:rPr>
              <w:t>0.00</w:t>
            </w:r>
            <w:r w:rsidRPr="00F35AF2">
              <w:rPr>
                <w:rFonts w:ascii="Times New Roman" w:hAnsi="Times New Roman"/>
                <w:sz w:val="24"/>
                <w:szCs w:val="24"/>
              </w:rPr>
              <w:t>1</w:t>
            </w: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History of fever</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798/2083 (38</w:t>
            </w:r>
            <w:r w:rsidR="004939F5" w:rsidRPr="00F35AF2">
              <w:rPr>
                <w:rFonts w:ascii="Times New Roman" w:hAnsi="Times New Roman"/>
                <w:sz w:val="24"/>
                <w:szCs w:val="24"/>
              </w:rPr>
              <w:t>)</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145/386 (38</w:t>
            </w:r>
            <w:r w:rsidR="004939F5" w:rsidRPr="00F35AF2">
              <w:rPr>
                <w:rFonts w:ascii="Times New Roman" w:hAnsi="Times New Roman"/>
                <w:sz w:val="24"/>
                <w:szCs w:val="24"/>
              </w:rPr>
              <w:t>)</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1.0 (0.8-1.2</w:t>
            </w:r>
            <w:r w:rsidR="004939F5" w:rsidRPr="00F35AF2">
              <w:rPr>
                <w:rFonts w:ascii="Times New Roman" w:hAnsi="Times New Roman"/>
                <w:sz w:val="24"/>
                <w:szCs w:val="24"/>
              </w:rPr>
              <w:t>)</w:t>
            </w:r>
          </w:p>
        </w:tc>
        <w:tc>
          <w:tcPr>
            <w:tcW w:w="1417"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0.782</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1384"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Night sweats</w:t>
            </w:r>
          </w:p>
        </w:tc>
        <w:tc>
          <w:tcPr>
            <w:tcW w:w="1559"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1339/2094 (64</w:t>
            </w:r>
            <w:r w:rsidR="004939F5" w:rsidRPr="00F35AF2">
              <w:rPr>
                <w:rFonts w:ascii="Times New Roman" w:hAnsi="Times New Roman"/>
                <w:sz w:val="24"/>
                <w:szCs w:val="24"/>
              </w:rPr>
              <w:t>)</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216/389</w:t>
            </w:r>
            <w:r w:rsidR="004939F5" w:rsidRPr="00F35AF2">
              <w:rPr>
                <w:rFonts w:ascii="Times New Roman" w:hAnsi="Times New Roman"/>
                <w:sz w:val="24"/>
                <w:szCs w:val="24"/>
              </w:rPr>
              <w:t xml:space="preserve"> (74)</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(0.6</w:t>
            </w:r>
            <w:r w:rsidR="004939F5" w:rsidRPr="00F35AF2">
              <w:rPr>
                <w:rFonts w:ascii="Times New Roman" w:hAnsi="Times New Roman"/>
                <w:sz w:val="24"/>
                <w:szCs w:val="24"/>
              </w:rPr>
              <w:t>-0.9)</w:t>
            </w:r>
          </w:p>
        </w:tc>
        <w:tc>
          <w:tcPr>
            <w:tcW w:w="1417"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0.002</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(0.6-0.9)</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0.023</w:t>
            </w:r>
          </w:p>
        </w:tc>
      </w:tr>
      <w:tr w:rsidR="004939F5" w:rsidRPr="00F35AF2" w:rsidTr="00E750C5">
        <w:trPr>
          <w:trHeight w:val="405"/>
        </w:trPr>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Underlying medical condition*</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228/2096 (11</w:t>
            </w:r>
            <w:r w:rsidR="004939F5" w:rsidRPr="00F35AF2">
              <w:rPr>
                <w:rFonts w:ascii="Times New Roman" w:hAnsi="Times New Roman"/>
                <w:sz w:val="24"/>
                <w:szCs w:val="24"/>
              </w:rPr>
              <w:t>)</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47/389</w:t>
            </w:r>
            <w:r w:rsidR="004939F5" w:rsidRPr="00F35AF2">
              <w:rPr>
                <w:rFonts w:ascii="Times New Roman" w:hAnsi="Times New Roman"/>
                <w:sz w:val="24"/>
                <w:szCs w:val="24"/>
              </w:rPr>
              <w:t xml:space="preserve"> (4)</w:t>
            </w:r>
          </w:p>
        </w:tc>
        <w:tc>
          <w:tcPr>
            <w:tcW w:w="1843"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 (0.8</w:t>
            </w:r>
            <w:r w:rsidR="004939F5" w:rsidRPr="00F35AF2">
              <w:rPr>
                <w:rFonts w:ascii="Times New Roman" w:hAnsi="Times New Roman"/>
                <w:sz w:val="24"/>
                <w:szCs w:val="24"/>
              </w:rPr>
              <w:t>-</w:t>
            </w:r>
            <w:r w:rsidRPr="00F35AF2">
              <w:rPr>
                <w:rFonts w:ascii="Times New Roman" w:hAnsi="Times New Roman"/>
                <w:sz w:val="24"/>
                <w:szCs w:val="24"/>
              </w:rPr>
              <w:t>1</w:t>
            </w:r>
            <w:r w:rsidR="004939F5" w:rsidRPr="00F35AF2">
              <w:rPr>
                <w:rFonts w:ascii="Times New Roman" w:hAnsi="Times New Roman"/>
                <w:sz w:val="24"/>
                <w:szCs w:val="24"/>
              </w:rPr>
              <w:t>.</w:t>
            </w:r>
            <w:r w:rsidRPr="00F35AF2">
              <w:rPr>
                <w:rFonts w:ascii="Times New Roman" w:hAnsi="Times New Roman"/>
                <w:sz w:val="24"/>
                <w:szCs w:val="24"/>
              </w:rPr>
              <w:t>6</w:t>
            </w:r>
            <w:r w:rsidR="004939F5" w:rsidRPr="00F35AF2">
              <w:rPr>
                <w:rFonts w:ascii="Times New Roman" w:hAnsi="Times New Roman"/>
                <w:sz w:val="24"/>
                <w:szCs w:val="24"/>
              </w:rPr>
              <w:t>)</w:t>
            </w:r>
          </w:p>
        </w:tc>
        <w:tc>
          <w:tcPr>
            <w:tcW w:w="1417" w:type="dxa"/>
          </w:tcPr>
          <w:p w:rsidR="004939F5" w:rsidRPr="00F35AF2" w:rsidRDefault="00CA05DA"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0.487</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051DCB"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Diabetes</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60/2095 (3)</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17/389 (4)</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1.5 (0.9-2.7)</w:t>
            </w:r>
          </w:p>
        </w:tc>
        <w:tc>
          <w:tcPr>
            <w:tcW w:w="1417"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0.118</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051DCB"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HIV-infected</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1437/1877 (77)</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247/344(72)</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 (0.6-1.0)</w:t>
            </w:r>
          </w:p>
        </w:tc>
        <w:tc>
          <w:tcPr>
            <w:tcW w:w="1417"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0.056</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Mine Exposure</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241/2067</w:t>
            </w:r>
            <w:r w:rsidR="004939F5" w:rsidRPr="00F35AF2">
              <w:rPr>
                <w:rFonts w:ascii="Times New Roman" w:hAnsi="Times New Roman"/>
                <w:sz w:val="24"/>
                <w:szCs w:val="24"/>
              </w:rPr>
              <w:t xml:space="preserve"> (</w:t>
            </w:r>
            <w:r w:rsidRPr="00F35AF2">
              <w:rPr>
                <w:rFonts w:ascii="Times New Roman" w:hAnsi="Times New Roman"/>
                <w:sz w:val="24"/>
                <w:szCs w:val="24"/>
              </w:rPr>
              <w:t>12</w:t>
            </w:r>
            <w:r w:rsidR="004939F5" w:rsidRPr="00F35AF2">
              <w:rPr>
                <w:rFonts w:ascii="Times New Roman" w:hAnsi="Times New Roman"/>
                <w:sz w:val="24"/>
                <w:szCs w:val="24"/>
              </w:rPr>
              <w:t>)</w:t>
            </w:r>
          </w:p>
        </w:tc>
        <w:tc>
          <w:tcPr>
            <w:tcW w:w="1843" w:type="dxa"/>
          </w:tcPr>
          <w:p w:rsidR="004939F5" w:rsidRPr="00F35AF2" w:rsidRDefault="005614E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31/384 (8</w:t>
            </w:r>
            <w:r w:rsidR="004939F5" w:rsidRPr="00F35AF2">
              <w:rPr>
                <w:rFonts w:ascii="Times New Roman" w:hAnsi="Times New Roman"/>
                <w:sz w:val="24"/>
                <w:szCs w:val="24"/>
              </w:rPr>
              <w:t>)</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(0.5-1.9</w:t>
            </w:r>
            <w:r w:rsidR="004939F5" w:rsidRPr="00F35AF2">
              <w:rPr>
                <w:rFonts w:ascii="Times New Roman" w:hAnsi="Times New Roman"/>
                <w:sz w:val="24"/>
                <w:szCs w:val="24"/>
              </w:rPr>
              <w:t>)</w:t>
            </w:r>
          </w:p>
        </w:tc>
        <w:tc>
          <w:tcPr>
            <w:tcW w:w="1417"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0.041</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Influenza- positive</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113/2053 (6</w:t>
            </w:r>
            <w:r w:rsidR="004939F5" w:rsidRPr="00F35AF2">
              <w:rPr>
                <w:rFonts w:ascii="Times New Roman" w:hAnsi="Times New Roman"/>
                <w:sz w:val="24"/>
                <w:szCs w:val="24"/>
              </w:rPr>
              <w:t>)</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18/376 (5</w:t>
            </w:r>
            <w:r w:rsidR="004939F5" w:rsidRPr="00F35AF2">
              <w:rPr>
                <w:rFonts w:ascii="Times New Roman" w:hAnsi="Times New Roman"/>
                <w:sz w:val="24"/>
                <w:szCs w:val="24"/>
              </w:rPr>
              <w:t>)</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0.9 (0.5-1.4</w:t>
            </w:r>
            <w:r w:rsidR="004939F5" w:rsidRPr="00F35AF2">
              <w:rPr>
                <w:rFonts w:ascii="Times New Roman" w:hAnsi="Times New Roman"/>
                <w:sz w:val="24"/>
                <w:szCs w:val="24"/>
              </w:rPr>
              <w:t>)</w:t>
            </w:r>
          </w:p>
        </w:tc>
        <w:tc>
          <w:tcPr>
            <w:tcW w:w="1417"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0.572</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Pneumococal coinfection***</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254/1901</w:t>
            </w:r>
            <w:r w:rsidR="004939F5" w:rsidRPr="00F35AF2">
              <w:rPr>
                <w:rFonts w:ascii="Times New Roman" w:hAnsi="Times New Roman"/>
                <w:sz w:val="24"/>
                <w:szCs w:val="24"/>
              </w:rPr>
              <w:t xml:space="preserve"> (13)</w:t>
            </w:r>
          </w:p>
        </w:tc>
        <w:tc>
          <w:tcPr>
            <w:tcW w:w="1843" w:type="dxa"/>
          </w:tcPr>
          <w:p w:rsidR="004939F5" w:rsidRPr="00F35AF2" w:rsidRDefault="005A332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34/346 (10</w:t>
            </w:r>
            <w:r w:rsidR="004939F5" w:rsidRPr="00F35AF2">
              <w:rPr>
                <w:rFonts w:ascii="Times New Roman" w:hAnsi="Times New Roman"/>
                <w:sz w:val="24"/>
                <w:szCs w:val="24"/>
              </w:rPr>
              <w:t>)</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(0.5-1</w:t>
            </w:r>
            <w:r w:rsidR="004939F5" w:rsidRPr="00F35AF2">
              <w:rPr>
                <w:rFonts w:ascii="Times New Roman" w:hAnsi="Times New Roman"/>
                <w:sz w:val="24"/>
                <w:szCs w:val="24"/>
              </w:rPr>
              <w:t>.0)</w:t>
            </w:r>
          </w:p>
        </w:tc>
        <w:tc>
          <w:tcPr>
            <w:tcW w:w="1417"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0.072</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Viral co-infection</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588/2053 (29</w:t>
            </w:r>
            <w:r w:rsidR="004939F5" w:rsidRPr="00F35AF2">
              <w:rPr>
                <w:rFonts w:ascii="Times New Roman" w:hAnsi="Times New Roman"/>
                <w:sz w:val="24"/>
                <w:szCs w:val="24"/>
              </w:rPr>
              <w:t>)</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72/376 (1</w:t>
            </w:r>
            <w:r w:rsidR="004939F5" w:rsidRPr="00F35AF2">
              <w:rPr>
                <w:rFonts w:ascii="Times New Roman" w:hAnsi="Times New Roman"/>
                <w:sz w:val="24"/>
                <w:szCs w:val="24"/>
              </w:rPr>
              <w:t>9)</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0.6 (0.4-0.8</w:t>
            </w:r>
            <w:r w:rsidR="004939F5" w:rsidRPr="00F35AF2">
              <w:rPr>
                <w:rFonts w:ascii="Times New Roman" w:hAnsi="Times New Roman"/>
                <w:sz w:val="24"/>
                <w:szCs w:val="24"/>
              </w:rPr>
              <w:t>)</w:t>
            </w:r>
          </w:p>
        </w:tc>
        <w:tc>
          <w:tcPr>
            <w:tcW w:w="1417" w:type="dxa"/>
          </w:tcPr>
          <w:p w:rsidR="004939F5" w:rsidRPr="00F35AF2" w:rsidRDefault="00394032" w:rsidP="00C3556B">
            <w:pPr>
              <w:autoSpaceDE w:val="0"/>
              <w:autoSpaceDN w:val="0"/>
              <w:adjustRightInd w:val="0"/>
              <w:spacing w:after="0" w:line="480" w:lineRule="auto"/>
              <w:rPr>
                <w:rFonts w:ascii="Times New Roman" w:hAnsi="Times New Roman"/>
                <w:b/>
                <w:sz w:val="24"/>
                <w:szCs w:val="24"/>
              </w:rPr>
            </w:pPr>
            <w:r w:rsidRPr="00F35AF2">
              <w:rPr>
                <w:rFonts w:ascii="Times New Roman" w:hAnsi="Times New Roman"/>
                <w:sz w:val="24"/>
                <w:szCs w:val="24"/>
              </w:rPr>
              <w:t>&lt;0.001</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Required oxygen</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718/2029</w:t>
            </w:r>
            <w:r w:rsidR="004939F5" w:rsidRPr="00F35AF2">
              <w:rPr>
                <w:rFonts w:ascii="Times New Roman" w:hAnsi="Times New Roman"/>
                <w:sz w:val="24"/>
                <w:szCs w:val="24"/>
              </w:rPr>
              <w:t xml:space="preserve"> (3</w:t>
            </w:r>
            <w:r w:rsidRPr="00F35AF2">
              <w:rPr>
                <w:rFonts w:ascii="Times New Roman" w:hAnsi="Times New Roman"/>
                <w:sz w:val="24"/>
                <w:szCs w:val="24"/>
              </w:rPr>
              <w:t>5</w:t>
            </w:r>
            <w:r w:rsidR="004939F5" w:rsidRPr="00F35AF2">
              <w:rPr>
                <w:rFonts w:ascii="Times New Roman" w:hAnsi="Times New Roman"/>
                <w:sz w:val="24"/>
                <w:szCs w:val="24"/>
              </w:rPr>
              <w:t>)</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151/377 (40</w:t>
            </w:r>
            <w:r w:rsidR="004939F5" w:rsidRPr="00F35AF2">
              <w:rPr>
                <w:rFonts w:ascii="Times New Roman" w:hAnsi="Times New Roman"/>
                <w:sz w:val="24"/>
                <w:szCs w:val="24"/>
              </w:rPr>
              <w:t>)</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 (0.9-1.5</w:t>
            </w:r>
            <w:r w:rsidR="004939F5" w:rsidRPr="00F35AF2">
              <w:rPr>
                <w:rFonts w:ascii="Times New Roman" w:hAnsi="Times New Roman"/>
                <w:sz w:val="24"/>
                <w:szCs w:val="24"/>
              </w:rPr>
              <w:t>)</w:t>
            </w:r>
          </w:p>
        </w:tc>
        <w:tc>
          <w:tcPr>
            <w:tcW w:w="1417"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0.084</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Started on antibiotics</w:t>
            </w:r>
          </w:p>
        </w:tc>
        <w:tc>
          <w:tcPr>
            <w:tcW w:w="1843" w:type="dxa"/>
          </w:tcPr>
          <w:p w:rsidR="004939F5" w:rsidRPr="00F35AF2" w:rsidRDefault="00394032"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1975/2056</w:t>
            </w:r>
            <w:r w:rsidR="004939F5" w:rsidRPr="00F35AF2">
              <w:rPr>
                <w:rFonts w:ascii="Times New Roman" w:hAnsi="Times New Roman"/>
                <w:sz w:val="24"/>
                <w:szCs w:val="24"/>
              </w:rPr>
              <w:t xml:space="preserve"> (96)</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357/385 (93</w:t>
            </w:r>
            <w:r w:rsidR="004939F5" w:rsidRPr="00F35AF2">
              <w:rPr>
                <w:rFonts w:ascii="Times New Roman" w:hAnsi="Times New Roman"/>
                <w:sz w:val="24"/>
                <w:szCs w:val="24"/>
              </w:rPr>
              <w:t>)</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 (0.3-0.8</w:t>
            </w:r>
            <w:r w:rsidR="004939F5" w:rsidRPr="00F35AF2">
              <w:rPr>
                <w:rFonts w:ascii="Times New Roman" w:hAnsi="Times New Roman"/>
                <w:sz w:val="24"/>
                <w:szCs w:val="24"/>
              </w:rPr>
              <w:t>)</w:t>
            </w:r>
          </w:p>
        </w:tc>
        <w:tc>
          <w:tcPr>
            <w:tcW w:w="1417"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0.004</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lastRenderedPageBreak/>
              <w:t>Started on TB treatment***</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892</w:t>
            </w:r>
            <w:r w:rsidR="004939F5" w:rsidRPr="00F35AF2">
              <w:rPr>
                <w:rFonts w:ascii="Times New Roman" w:hAnsi="Times New Roman"/>
                <w:sz w:val="24"/>
                <w:szCs w:val="24"/>
              </w:rPr>
              <w:t>/</w:t>
            </w:r>
            <w:r w:rsidRPr="00F35AF2">
              <w:rPr>
                <w:rFonts w:ascii="Times New Roman" w:hAnsi="Times New Roman"/>
                <w:sz w:val="24"/>
                <w:szCs w:val="24"/>
              </w:rPr>
              <w:t>1918 (46</w:t>
            </w:r>
            <w:r w:rsidR="004939F5" w:rsidRPr="00F35AF2">
              <w:rPr>
                <w:rFonts w:ascii="Times New Roman" w:hAnsi="Times New Roman"/>
                <w:sz w:val="24"/>
                <w:szCs w:val="24"/>
              </w:rPr>
              <w:t>)</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164</w:t>
            </w:r>
            <w:r w:rsidR="004939F5" w:rsidRPr="00F35AF2">
              <w:rPr>
                <w:rFonts w:ascii="Times New Roman" w:hAnsi="Times New Roman"/>
                <w:sz w:val="24"/>
                <w:szCs w:val="24"/>
              </w:rPr>
              <w:t>/</w:t>
            </w:r>
            <w:r w:rsidRPr="00F35AF2">
              <w:rPr>
                <w:rFonts w:ascii="Times New Roman" w:hAnsi="Times New Roman"/>
                <w:sz w:val="24"/>
                <w:szCs w:val="24"/>
              </w:rPr>
              <w:t>342</w:t>
            </w:r>
            <w:r w:rsidR="004939F5" w:rsidRPr="00F35AF2">
              <w:rPr>
                <w:rFonts w:ascii="Times New Roman" w:hAnsi="Times New Roman"/>
                <w:sz w:val="24"/>
                <w:szCs w:val="24"/>
              </w:rPr>
              <w:t xml:space="preserve"> (</w:t>
            </w:r>
            <w:r w:rsidRPr="00F35AF2">
              <w:rPr>
                <w:rFonts w:ascii="Times New Roman" w:hAnsi="Times New Roman"/>
                <w:sz w:val="24"/>
                <w:szCs w:val="24"/>
              </w:rPr>
              <w:t>48</w:t>
            </w:r>
            <w:r w:rsidR="004939F5" w:rsidRPr="00F35AF2">
              <w:rPr>
                <w:rFonts w:ascii="Times New Roman" w:hAnsi="Times New Roman"/>
                <w:sz w:val="24"/>
                <w:szCs w:val="24"/>
              </w:rPr>
              <w:t>)</w:t>
            </w:r>
          </w:p>
        </w:tc>
        <w:tc>
          <w:tcPr>
            <w:tcW w:w="1843" w:type="dxa"/>
          </w:tcPr>
          <w:p w:rsidR="004939F5" w:rsidRPr="00F35AF2" w:rsidRDefault="0012266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w:t>
            </w:r>
            <w:r w:rsidR="004939F5" w:rsidRPr="00F35AF2">
              <w:rPr>
                <w:rFonts w:ascii="Times New Roman" w:hAnsi="Times New Roman"/>
                <w:sz w:val="24"/>
                <w:szCs w:val="24"/>
              </w:rPr>
              <w:t xml:space="preserve"> (0.</w:t>
            </w:r>
            <w:r w:rsidRPr="00F35AF2">
              <w:rPr>
                <w:rFonts w:ascii="Times New Roman" w:hAnsi="Times New Roman"/>
                <w:sz w:val="24"/>
                <w:szCs w:val="24"/>
              </w:rPr>
              <w:t>8</w:t>
            </w:r>
            <w:r w:rsidR="004939F5" w:rsidRPr="00F35AF2">
              <w:rPr>
                <w:rFonts w:ascii="Times New Roman" w:hAnsi="Times New Roman"/>
                <w:sz w:val="24"/>
                <w:szCs w:val="24"/>
              </w:rPr>
              <w:t>-</w:t>
            </w:r>
            <w:r w:rsidRPr="00F35AF2">
              <w:rPr>
                <w:rFonts w:ascii="Times New Roman" w:hAnsi="Times New Roman"/>
                <w:sz w:val="24"/>
                <w:szCs w:val="24"/>
              </w:rPr>
              <w:t>1</w:t>
            </w:r>
            <w:r w:rsidR="004939F5" w:rsidRPr="00F35AF2">
              <w:rPr>
                <w:rFonts w:ascii="Times New Roman" w:hAnsi="Times New Roman"/>
                <w:sz w:val="24"/>
                <w:szCs w:val="24"/>
              </w:rPr>
              <w:t>.</w:t>
            </w:r>
            <w:r w:rsidRPr="00F35AF2">
              <w:rPr>
                <w:rFonts w:ascii="Times New Roman" w:hAnsi="Times New Roman"/>
                <w:sz w:val="24"/>
                <w:szCs w:val="24"/>
              </w:rPr>
              <w:t>3</w:t>
            </w:r>
            <w:r w:rsidR="004939F5" w:rsidRPr="00F35AF2">
              <w:rPr>
                <w:rFonts w:ascii="Times New Roman" w:hAnsi="Times New Roman"/>
                <w:sz w:val="24"/>
                <w:szCs w:val="24"/>
              </w:rPr>
              <w:t>)</w:t>
            </w:r>
          </w:p>
        </w:tc>
        <w:tc>
          <w:tcPr>
            <w:tcW w:w="1417" w:type="dxa"/>
          </w:tcPr>
          <w:p w:rsidR="004939F5" w:rsidRPr="00F35AF2" w:rsidRDefault="00122668"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0.621</w:t>
            </w: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Duration of hospitalization</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417"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&lt;3 days</w:t>
            </w:r>
          </w:p>
        </w:tc>
        <w:tc>
          <w:tcPr>
            <w:tcW w:w="1843" w:type="dxa"/>
          </w:tcPr>
          <w:p w:rsidR="004939F5" w:rsidRPr="00F35AF2" w:rsidRDefault="00E8645D"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349/</w:t>
            </w:r>
            <w:r w:rsidR="002B5F3C" w:rsidRPr="00F35AF2">
              <w:rPr>
                <w:rFonts w:ascii="Times New Roman" w:hAnsi="Times New Roman"/>
                <w:sz w:val="24"/>
                <w:szCs w:val="24"/>
              </w:rPr>
              <w:t>1918</w:t>
            </w:r>
            <w:r w:rsidR="004939F5" w:rsidRPr="00F35AF2">
              <w:rPr>
                <w:rFonts w:ascii="Times New Roman" w:hAnsi="Times New Roman"/>
                <w:sz w:val="24"/>
                <w:szCs w:val="24"/>
              </w:rPr>
              <w:t xml:space="preserve"> (1</w:t>
            </w:r>
            <w:r w:rsidR="002B5F3C" w:rsidRPr="00F35AF2">
              <w:rPr>
                <w:rFonts w:ascii="Times New Roman" w:hAnsi="Times New Roman"/>
                <w:sz w:val="24"/>
                <w:szCs w:val="24"/>
              </w:rPr>
              <w:t>8</w:t>
            </w:r>
            <w:r w:rsidR="004939F5" w:rsidRPr="00F35AF2">
              <w:rPr>
                <w:rFonts w:ascii="Times New Roman" w:hAnsi="Times New Roman"/>
                <w:sz w:val="24"/>
                <w:szCs w:val="24"/>
              </w:rPr>
              <w:t>)</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45/354 </w:t>
            </w:r>
            <w:r w:rsidR="00B160D7" w:rsidRPr="00F35AF2">
              <w:rPr>
                <w:rFonts w:ascii="Times New Roman" w:hAnsi="Times New Roman"/>
                <w:sz w:val="24"/>
                <w:szCs w:val="24"/>
              </w:rPr>
              <w:t xml:space="preserve"> (13</w:t>
            </w:r>
            <w:r w:rsidR="004939F5" w:rsidRPr="00F35AF2">
              <w:rPr>
                <w:rFonts w:ascii="Times New Roman" w:hAnsi="Times New Roman"/>
                <w:sz w:val="24"/>
                <w:szCs w:val="24"/>
              </w:rPr>
              <w:t>)</w:t>
            </w:r>
          </w:p>
        </w:tc>
        <w:tc>
          <w:tcPr>
            <w:tcW w:w="1843"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Reference</w:t>
            </w:r>
          </w:p>
        </w:tc>
        <w:tc>
          <w:tcPr>
            <w:tcW w:w="1417"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985"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c>
          <w:tcPr>
            <w:tcW w:w="1701" w:type="dxa"/>
          </w:tcPr>
          <w:p w:rsidR="004939F5" w:rsidRPr="00F35AF2" w:rsidRDefault="004939F5" w:rsidP="00C3556B">
            <w:pPr>
              <w:autoSpaceDE w:val="0"/>
              <w:autoSpaceDN w:val="0"/>
              <w:adjustRightInd w:val="0"/>
              <w:spacing w:after="0" w:line="480" w:lineRule="auto"/>
              <w:rPr>
                <w:rFonts w:ascii="Times New Roman" w:hAnsi="Times New Roman"/>
                <w:sz w:val="24"/>
                <w:szCs w:val="24"/>
              </w:rPr>
            </w:pP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3-7 days</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805/1918</w:t>
            </w:r>
            <w:r w:rsidR="004939F5" w:rsidRPr="00F35AF2">
              <w:rPr>
                <w:rFonts w:ascii="Times New Roman" w:hAnsi="Times New Roman"/>
                <w:sz w:val="24"/>
                <w:szCs w:val="24"/>
              </w:rPr>
              <w:t xml:space="preserve"> (4</w:t>
            </w:r>
            <w:r w:rsidRPr="00F35AF2">
              <w:rPr>
                <w:rFonts w:ascii="Times New Roman" w:hAnsi="Times New Roman"/>
                <w:sz w:val="24"/>
                <w:szCs w:val="24"/>
              </w:rPr>
              <w:t>2</w:t>
            </w:r>
            <w:r w:rsidR="004939F5" w:rsidRPr="00F35AF2">
              <w:rPr>
                <w:rFonts w:ascii="Times New Roman" w:hAnsi="Times New Roman"/>
                <w:sz w:val="24"/>
                <w:szCs w:val="24"/>
              </w:rPr>
              <w:t>)</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137/354 </w:t>
            </w:r>
            <w:r w:rsidR="00B160D7" w:rsidRPr="00F35AF2">
              <w:rPr>
                <w:rFonts w:ascii="Times New Roman" w:hAnsi="Times New Roman"/>
                <w:sz w:val="24"/>
                <w:szCs w:val="24"/>
              </w:rPr>
              <w:t xml:space="preserve"> (39</w:t>
            </w:r>
            <w:r w:rsidR="004939F5" w:rsidRPr="00F35AF2">
              <w:rPr>
                <w:rFonts w:ascii="Times New Roman" w:hAnsi="Times New Roman"/>
                <w:sz w:val="24"/>
                <w:szCs w:val="24"/>
              </w:rPr>
              <w:t>)</w:t>
            </w:r>
          </w:p>
        </w:tc>
        <w:tc>
          <w:tcPr>
            <w:tcW w:w="1843" w:type="dxa"/>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(0.9-1.9</w:t>
            </w:r>
            <w:r w:rsidR="004939F5" w:rsidRPr="00F35AF2">
              <w:rPr>
                <w:rFonts w:ascii="Times New Roman" w:hAnsi="Times New Roman"/>
                <w:sz w:val="24"/>
                <w:szCs w:val="24"/>
              </w:rPr>
              <w:t>)</w:t>
            </w:r>
          </w:p>
        </w:tc>
        <w:tc>
          <w:tcPr>
            <w:tcW w:w="1417" w:type="dxa"/>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0.130</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(0.9-1.9)</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0.167</w:t>
            </w:r>
          </w:p>
        </w:tc>
      </w:tr>
      <w:tr w:rsidR="004939F5" w:rsidRPr="00F35AF2" w:rsidTr="00E750C5">
        <w:tc>
          <w:tcPr>
            <w:tcW w:w="2943" w:type="dxa"/>
            <w:gridSpan w:val="2"/>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 days</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764/1918</w:t>
            </w:r>
            <w:r w:rsidR="004939F5" w:rsidRPr="00F35AF2">
              <w:rPr>
                <w:rFonts w:ascii="Times New Roman" w:hAnsi="Times New Roman"/>
                <w:sz w:val="24"/>
                <w:szCs w:val="24"/>
              </w:rPr>
              <w:t xml:space="preserve"> (40)</w:t>
            </w:r>
          </w:p>
        </w:tc>
        <w:tc>
          <w:tcPr>
            <w:tcW w:w="1843" w:type="dxa"/>
          </w:tcPr>
          <w:p w:rsidR="004939F5" w:rsidRPr="00F35AF2" w:rsidRDefault="002B5F3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172/</w:t>
            </w:r>
            <w:r w:rsidR="00B160D7" w:rsidRPr="00F35AF2">
              <w:rPr>
                <w:rFonts w:ascii="Times New Roman" w:hAnsi="Times New Roman"/>
                <w:sz w:val="24"/>
                <w:szCs w:val="24"/>
              </w:rPr>
              <w:t>354 (49</w:t>
            </w:r>
            <w:r w:rsidR="004939F5" w:rsidRPr="00F35AF2">
              <w:rPr>
                <w:rFonts w:ascii="Times New Roman" w:hAnsi="Times New Roman"/>
                <w:sz w:val="24"/>
                <w:szCs w:val="24"/>
              </w:rPr>
              <w:t>)</w:t>
            </w:r>
          </w:p>
        </w:tc>
        <w:tc>
          <w:tcPr>
            <w:tcW w:w="1843" w:type="dxa"/>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1.8 (1.2-2.9</w:t>
            </w:r>
            <w:r w:rsidR="004939F5" w:rsidRPr="00F35AF2">
              <w:rPr>
                <w:rFonts w:ascii="Times New Roman" w:hAnsi="Times New Roman"/>
                <w:sz w:val="24"/>
                <w:szCs w:val="24"/>
              </w:rPr>
              <w:t>)</w:t>
            </w:r>
          </w:p>
        </w:tc>
        <w:tc>
          <w:tcPr>
            <w:tcW w:w="1417" w:type="dxa"/>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0.002</w:t>
            </w:r>
          </w:p>
        </w:tc>
        <w:tc>
          <w:tcPr>
            <w:tcW w:w="1985"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1.7 (1.1-2.4)</w:t>
            </w:r>
          </w:p>
        </w:tc>
        <w:tc>
          <w:tcPr>
            <w:tcW w:w="1701" w:type="dxa"/>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0.007</w:t>
            </w:r>
          </w:p>
        </w:tc>
      </w:tr>
      <w:tr w:rsidR="004939F5" w:rsidRPr="00F35AF2" w:rsidTr="00E750C5">
        <w:trPr>
          <w:trHeight w:val="806"/>
        </w:trPr>
        <w:tc>
          <w:tcPr>
            <w:tcW w:w="2943" w:type="dxa"/>
            <w:gridSpan w:val="2"/>
            <w:tcBorders>
              <w:bottom w:val="single" w:sz="4" w:space="0" w:color="auto"/>
            </w:tcBorders>
          </w:tcPr>
          <w:p w:rsidR="004939F5" w:rsidRPr="00F35AF2" w:rsidRDefault="004939F5"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Died during admission</w:t>
            </w:r>
          </w:p>
        </w:tc>
        <w:tc>
          <w:tcPr>
            <w:tcW w:w="1843" w:type="dxa"/>
            <w:tcBorders>
              <w:bottom w:val="single" w:sz="4" w:space="0" w:color="auto"/>
            </w:tcBorders>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219/2001 (11</w:t>
            </w:r>
            <w:r w:rsidR="004939F5" w:rsidRPr="00F35AF2">
              <w:rPr>
                <w:rFonts w:ascii="Times New Roman" w:hAnsi="Times New Roman"/>
                <w:sz w:val="24"/>
                <w:szCs w:val="24"/>
              </w:rPr>
              <w:t>)</w:t>
            </w:r>
          </w:p>
        </w:tc>
        <w:tc>
          <w:tcPr>
            <w:tcW w:w="1843" w:type="dxa"/>
            <w:tcBorders>
              <w:bottom w:val="single" w:sz="4" w:space="0" w:color="auto"/>
            </w:tcBorders>
          </w:tcPr>
          <w:p w:rsidR="004939F5" w:rsidRPr="00F35AF2" w:rsidRDefault="00B160D7"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100/369 (27</w:t>
            </w:r>
            <w:r w:rsidR="004939F5" w:rsidRPr="00F35AF2">
              <w:rPr>
                <w:rFonts w:ascii="Times New Roman" w:hAnsi="Times New Roman"/>
                <w:sz w:val="24"/>
                <w:szCs w:val="24"/>
              </w:rPr>
              <w:t>)</w:t>
            </w:r>
          </w:p>
        </w:tc>
        <w:tc>
          <w:tcPr>
            <w:tcW w:w="1843" w:type="dxa"/>
            <w:tcBorders>
              <w:bottom w:val="single" w:sz="4" w:space="0" w:color="auto"/>
            </w:tcBorders>
          </w:tcPr>
          <w:p w:rsidR="004939F5" w:rsidRPr="00F35AF2" w:rsidRDefault="003358DB"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3.0 (2.3-3.9</w:t>
            </w:r>
            <w:r w:rsidR="004939F5" w:rsidRPr="00F35AF2">
              <w:rPr>
                <w:rFonts w:ascii="Times New Roman" w:hAnsi="Times New Roman"/>
                <w:sz w:val="24"/>
                <w:szCs w:val="24"/>
              </w:rPr>
              <w:t>)</w:t>
            </w:r>
          </w:p>
        </w:tc>
        <w:tc>
          <w:tcPr>
            <w:tcW w:w="1417" w:type="dxa"/>
            <w:tcBorders>
              <w:bottom w:val="single" w:sz="4" w:space="0" w:color="auto"/>
            </w:tcBorders>
          </w:tcPr>
          <w:p w:rsidR="004939F5" w:rsidRPr="00F35AF2" w:rsidRDefault="003358DB"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&lt;0.001</w:t>
            </w:r>
          </w:p>
        </w:tc>
        <w:tc>
          <w:tcPr>
            <w:tcW w:w="1985" w:type="dxa"/>
            <w:tcBorders>
              <w:bottom w:val="single" w:sz="4" w:space="0" w:color="auto"/>
            </w:tcBorders>
          </w:tcPr>
          <w:p w:rsidR="004939F5" w:rsidRPr="00F35AF2" w:rsidRDefault="00CA3B50"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3.0 (2.3-4.1)</w:t>
            </w:r>
          </w:p>
        </w:tc>
        <w:tc>
          <w:tcPr>
            <w:tcW w:w="1701" w:type="dxa"/>
            <w:tcBorders>
              <w:bottom w:val="single" w:sz="4" w:space="0" w:color="auto"/>
            </w:tcBorders>
          </w:tcPr>
          <w:p w:rsidR="004939F5" w:rsidRPr="00F35AF2" w:rsidRDefault="00E95DCC" w:rsidP="00C3556B">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w:t>
            </w:r>
            <w:r w:rsidR="00CA3B50" w:rsidRPr="00F35AF2">
              <w:rPr>
                <w:rFonts w:ascii="Times New Roman" w:hAnsi="Times New Roman"/>
                <w:sz w:val="24"/>
                <w:szCs w:val="24"/>
              </w:rPr>
              <w:t>0.00</w:t>
            </w:r>
            <w:r w:rsidRPr="00F35AF2">
              <w:rPr>
                <w:rFonts w:ascii="Times New Roman" w:hAnsi="Times New Roman"/>
                <w:sz w:val="24"/>
                <w:szCs w:val="24"/>
              </w:rPr>
              <w:t>1</w:t>
            </w:r>
          </w:p>
        </w:tc>
      </w:tr>
    </w:tbl>
    <w:p w:rsidR="000A13A2" w:rsidRPr="00F35AF2" w:rsidRDefault="004939F5" w:rsidP="00C3556B">
      <w:pPr>
        <w:pStyle w:val="Caption"/>
        <w:spacing w:line="480" w:lineRule="auto"/>
        <w:rPr>
          <w:rFonts w:ascii="Times New Roman" w:hAnsi="Times New Roman"/>
          <w:b w:val="0"/>
          <w:color w:val="auto"/>
          <w:sz w:val="24"/>
          <w:szCs w:val="24"/>
        </w:rPr>
      </w:pPr>
      <w:r w:rsidRPr="00F35AF2">
        <w:rPr>
          <w:rFonts w:ascii="Times New Roman" w:hAnsi="Times New Roman"/>
          <w:b w:val="0"/>
          <w:color w:val="auto"/>
          <w:sz w:val="24"/>
          <w:szCs w:val="24"/>
        </w:rPr>
        <w:t xml:space="preserve">Underlying conditions included any of the following: Asthma, other chronic lung disease, chronic heart disease (valvular heart disease, coronary artery disease, or heart failure excluding hypertension), liver disease (cirrhosis or liver failure), renal disease (nephrotic syndrome, chronic renal failure), immunocompromising conditions excluding HIV infection (organ transplant, immunosuppressive therapy, immunoglobulin deficiency, malignancy), neurological disease (cerebrovascular accident, spinal cord injury, seizures, neuromuscular conditions) or pregnancy. Comorbidities were considered absent in cases for which the medical records stated that the patient had no underlying medical condition or when there was no direct reference to that condition. </w:t>
      </w:r>
      <w:r w:rsidRPr="00F35AF2">
        <w:rPr>
          <w:rFonts w:ascii="Times New Roman" w:hAnsi="Times New Roman"/>
          <w:b w:val="0"/>
          <w:color w:val="auto"/>
          <w:sz w:val="24"/>
          <w:szCs w:val="24"/>
        </w:rPr>
        <w:br/>
        <w:t>**</w:t>
      </w:r>
      <w:r w:rsidRPr="00F35AF2">
        <w:rPr>
          <w:rFonts w:ascii="Times New Roman" w:hAnsi="Times New Roman"/>
          <w:b w:val="0"/>
          <w:i/>
          <w:color w:val="auto"/>
          <w:sz w:val="24"/>
          <w:szCs w:val="24"/>
        </w:rPr>
        <w:t xml:space="preserve">lytA </w:t>
      </w:r>
      <w:r w:rsidRPr="00F35AF2">
        <w:rPr>
          <w:rFonts w:ascii="Times New Roman" w:hAnsi="Times New Roman"/>
          <w:b w:val="0"/>
          <w:color w:val="auto"/>
          <w:sz w:val="24"/>
          <w:szCs w:val="24"/>
        </w:rPr>
        <w:t xml:space="preserve">PCR positive for </w:t>
      </w:r>
      <w:r w:rsidRPr="00F35AF2">
        <w:rPr>
          <w:rFonts w:ascii="Times New Roman" w:hAnsi="Times New Roman"/>
          <w:b w:val="0"/>
          <w:i/>
          <w:color w:val="auto"/>
          <w:sz w:val="24"/>
          <w:szCs w:val="24"/>
        </w:rPr>
        <w:t>Streptococcus pneumoniae</w:t>
      </w:r>
      <w:r w:rsidRPr="00F35AF2">
        <w:rPr>
          <w:rFonts w:ascii="Times New Roman" w:hAnsi="Times New Roman"/>
          <w:b w:val="0"/>
          <w:color w:val="auto"/>
          <w:sz w:val="24"/>
          <w:szCs w:val="24"/>
        </w:rPr>
        <w:t xml:space="preserve"> on blood specimen</w:t>
      </w:r>
      <w:r w:rsidR="00E8645D" w:rsidRPr="00F35AF2">
        <w:rPr>
          <w:rFonts w:ascii="Times New Roman" w:hAnsi="Times New Roman"/>
          <w:b w:val="0"/>
          <w:color w:val="auto"/>
          <w:sz w:val="24"/>
          <w:szCs w:val="24"/>
        </w:rPr>
        <w:br/>
        <w:t>***</w:t>
      </w:r>
      <w:r w:rsidRPr="00F35AF2">
        <w:rPr>
          <w:rFonts w:ascii="Times New Roman" w:hAnsi="Times New Roman"/>
          <w:b w:val="0"/>
          <w:color w:val="auto"/>
          <w:sz w:val="24"/>
          <w:szCs w:val="24"/>
        </w:rPr>
        <w:t xml:space="preserve"> started on TB treatment at current admission (excludes those already on TB treatment at time of admission (n</w:t>
      </w:r>
      <w:r w:rsidR="003358DB" w:rsidRPr="00F35AF2">
        <w:rPr>
          <w:rFonts w:ascii="Times New Roman" w:hAnsi="Times New Roman"/>
          <w:b w:val="0"/>
          <w:color w:val="auto"/>
          <w:sz w:val="24"/>
          <w:szCs w:val="24"/>
        </w:rPr>
        <w:t>=144</w:t>
      </w:r>
      <w:r w:rsidRPr="00F35AF2">
        <w:rPr>
          <w:rFonts w:ascii="Times New Roman" w:hAnsi="Times New Roman"/>
          <w:b w:val="0"/>
          <w:color w:val="auto"/>
          <w:sz w:val="24"/>
          <w:szCs w:val="24"/>
        </w:rPr>
        <w:t>))</w:t>
      </w:r>
    </w:p>
    <w:p w:rsidR="00BF67DD" w:rsidRPr="00F35AF2" w:rsidRDefault="00BF67DD" w:rsidP="00F15264">
      <w:pPr>
        <w:spacing w:line="480" w:lineRule="auto"/>
        <w:rPr>
          <w:sz w:val="24"/>
          <w:szCs w:val="24"/>
        </w:rPr>
      </w:pPr>
      <w:r w:rsidRPr="00F35AF2">
        <w:rPr>
          <w:sz w:val="24"/>
          <w:szCs w:val="24"/>
        </w:rPr>
        <w:br w:type="page"/>
      </w:r>
    </w:p>
    <w:p w:rsidR="00BF67DD" w:rsidRPr="00F35AF2" w:rsidRDefault="00BF67DD" w:rsidP="00F15264">
      <w:pPr>
        <w:spacing w:line="480" w:lineRule="auto"/>
        <w:rPr>
          <w:sz w:val="24"/>
          <w:szCs w:val="24"/>
        </w:rPr>
      </w:pPr>
    </w:p>
    <w:p w:rsidR="00DB1BEA" w:rsidRPr="00F35AF2" w:rsidRDefault="00BF67DD" w:rsidP="00F15264">
      <w:pPr>
        <w:spacing w:line="480" w:lineRule="auto"/>
        <w:rPr>
          <w:rFonts w:ascii="Times New Roman" w:hAnsi="Times New Roman"/>
          <w:b/>
          <w:sz w:val="24"/>
          <w:szCs w:val="24"/>
        </w:rPr>
      </w:pPr>
      <w:r w:rsidRPr="00F35AF2">
        <w:rPr>
          <w:rFonts w:ascii="Times New Roman" w:hAnsi="Times New Roman"/>
          <w:b/>
          <w:sz w:val="24"/>
          <w:szCs w:val="24"/>
        </w:rPr>
        <w:t>Supplementary t</w:t>
      </w:r>
      <w:r w:rsidR="00DB1BEA" w:rsidRPr="00F35AF2">
        <w:rPr>
          <w:rFonts w:ascii="Times New Roman" w:hAnsi="Times New Roman"/>
          <w:b/>
          <w:sz w:val="24"/>
          <w:szCs w:val="24"/>
        </w:rPr>
        <w:t>able 2: Demographic and clinical factors associated with acute (≤14 days) vs. chronic (&gt;14 days) presentation among HIV-infected individuals ≥ 15 years with laboratory- confirmed tuberculosis, July 2012-August 2014 (N=424)</w:t>
      </w:r>
    </w:p>
    <w:tbl>
      <w:tblPr>
        <w:tblW w:w="0" w:type="auto"/>
        <w:tblLayout w:type="fixed"/>
        <w:tblLook w:val="04A0" w:firstRow="1" w:lastRow="0" w:firstColumn="1" w:lastColumn="0" w:noHBand="0" w:noVBand="1"/>
      </w:tblPr>
      <w:tblGrid>
        <w:gridCol w:w="1384"/>
        <w:gridCol w:w="1701"/>
        <w:gridCol w:w="1701"/>
        <w:gridCol w:w="1843"/>
        <w:gridCol w:w="1843"/>
        <w:gridCol w:w="1417"/>
        <w:gridCol w:w="1985"/>
        <w:gridCol w:w="1701"/>
      </w:tblGrid>
      <w:tr w:rsidR="00DB1BEA" w:rsidRPr="00F35AF2" w:rsidTr="00540DFC">
        <w:trPr>
          <w:trHeight w:val="405"/>
        </w:trPr>
        <w:tc>
          <w:tcPr>
            <w:tcW w:w="1384" w:type="dxa"/>
            <w:vMerge w:val="restart"/>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vMerge w:val="restart"/>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vMerge w:val="restart"/>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Acute presentation</w:t>
            </w:r>
          </w:p>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n/N (%)</w:t>
            </w:r>
          </w:p>
        </w:tc>
        <w:tc>
          <w:tcPr>
            <w:tcW w:w="1843" w:type="dxa"/>
            <w:vMerge w:val="restart"/>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Chronic presentation </w:t>
            </w:r>
          </w:p>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n/N (%)</w:t>
            </w:r>
          </w:p>
        </w:tc>
        <w:tc>
          <w:tcPr>
            <w:tcW w:w="3260" w:type="dxa"/>
            <w:gridSpan w:val="2"/>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Univariate analysis </w:t>
            </w:r>
          </w:p>
        </w:tc>
        <w:tc>
          <w:tcPr>
            <w:tcW w:w="3686" w:type="dxa"/>
            <w:gridSpan w:val="2"/>
            <w:tcBorders>
              <w:top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Multivariable analysis </w:t>
            </w:r>
          </w:p>
        </w:tc>
      </w:tr>
      <w:tr w:rsidR="00DB1BEA" w:rsidRPr="00F35AF2" w:rsidTr="00540DFC">
        <w:trPr>
          <w:trHeight w:val="405"/>
        </w:trPr>
        <w:tc>
          <w:tcPr>
            <w:tcW w:w="1384" w:type="dxa"/>
            <w:vMerge/>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vMerge/>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vMerge/>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p>
        </w:tc>
        <w:tc>
          <w:tcPr>
            <w:tcW w:w="1843" w:type="dxa"/>
            <w:vMerge/>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p>
        </w:tc>
        <w:tc>
          <w:tcPr>
            <w:tcW w:w="1843"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OR (95% CI)</w:t>
            </w:r>
          </w:p>
        </w:tc>
        <w:tc>
          <w:tcPr>
            <w:tcW w:w="1417"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P-value </w:t>
            </w:r>
          </w:p>
        </w:tc>
        <w:tc>
          <w:tcPr>
            <w:tcW w:w="1985"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OR (95% CI)</w:t>
            </w:r>
          </w:p>
        </w:tc>
        <w:tc>
          <w:tcPr>
            <w:tcW w:w="1701"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b/>
                <w:sz w:val="24"/>
                <w:szCs w:val="24"/>
              </w:rPr>
              <w:t xml:space="preserve">P-value </w:t>
            </w:r>
          </w:p>
        </w:tc>
      </w:tr>
      <w:tr w:rsidR="00DB1BEA" w:rsidRPr="00F35AF2" w:rsidTr="00540DFC">
        <w:tc>
          <w:tcPr>
            <w:tcW w:w="1384"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Age</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15-24</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7/102 (7)</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26/322 (8.1)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Reference </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 </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Reference </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1384"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25-44</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78/102 (76)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222/ 322 (69)</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(0.5-3.1)</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0.550</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(0.4-3.9)</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1384"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45-64</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16/102 (16)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69/322 (21)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0.9 (0.3-2.3)</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0.769</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0.6 (0.2-2.2)</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1384"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65+</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1/102 (1)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5/322 (2)</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(0.1-7.4)</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0.800</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 (0.2-35.5)</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Female gender</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60/102 (59)</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167/322 (52)</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(0.8-2.1)</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0.220</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Tshepong Hospital</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69/102 (68)</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220/322 (68)</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1.0 (0.6-1.6)</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0.898</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History of any cough</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89/102 (87)</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312/322 (97)</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 (0.1-0.5)</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0.001</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 (0.1-0.7)</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0.009</w:t>
            </w: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History of fever</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82/178 (46)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205/322 (42)</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(0.8-2.0)</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0.249</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1384"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 xml:space="preserve">Night </w:t>
            </w:r>
            <w:r w:rsidRPr="00F35AF2">
              <w:rPr>
                <w:rFonts w:ascii="Times New Roman" w:hAnsi="Times New Roman"/>
                <w:sz w:val="24"/>
                <w:szCs w:val="24"/>
              </w:rPr>
              <w:lastRenderedPageBreak/>
              <w:t>sweats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61/101 (60)</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238/321 (74)</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 (0.3-0.9)</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0.009</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0.4 (0.2-0.7)</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0.005</w:t>
            </w:r>
          </w:p>
        </w:tc>
      </w:tr>
      <w:tr w:rsidR="00DB1BEA" w:rsidRPr="00F35AF2" w:rsidTr="00540DFC">
        <w:trPr>
          <w:trHeight w:val="405"/>
        </w:trPr>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lastRenderedPageBreak/>
              <w:t>Underlying medical condition*</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2/102 (2)</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12/322 (4)</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 (0.1-2.3)</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0.393</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Diabetes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1/102 (1)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2/322 (1)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 (0.1-17.6)</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0.708</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Low CD4 count**</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44/72 (61)</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184/238 (77)</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 (0.3-0.8)</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0.007</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0.4 (0.2-0.7)</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0.003</w:t>
            </w: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Mine Exposure</w:t>
            </w:r>
            <w:r w:rsidR="006A03AC" w:rsidRPr="00F35AF2">
              <w:rPr>
                <w:rFonts w:ascii="Times New Roman" w:hAnsi="Times New Roman"/>
                <w:sz w:val="24"/>
                <w:szCs w:val="24"/>
                <w:vertAlign w:val="superscript"/>
              </w:rPr>
              <w:t>€</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7/101 (7)</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40/316 (13)</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 (0.2-1.2)</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0.119</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Influenza- positive</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8/100 (8)</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11/317 (3)</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 (0.9-6.2)</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0.066</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Pneumococcal coinfection***</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13/97 (13)</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18/292 (6)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 (1.1-5.0)</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0.026</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Viral co-infection</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35/100 (35)</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92/317 (29)</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1.3 (0.8-2.1)</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0.258</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Required oxygen</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38/100 (38)</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81/317 (25)</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1.2 (1.1-2.9)</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0.017</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Started on antibiotics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96/100 (96)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302/320 (94)</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 (0.5-4.3)</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0.526</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Started on TB treatment****</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61/95 (64)</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244/296 (82)</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0.4 (0.2-0.6)</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&lt;0.001</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0.4 (0.2-0.7)</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0.003</w:t>
            </w: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Receiving HAART</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33/72 (46)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146/244 (46)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0.9 (0.6-1.7)</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b/>
                <w:sz w:val="24"/>
                <w:szCs w:val="24"/>
              </w:rPr>
            </w:pPr>
            <w:r w:rsidRPr="00F35AF2">
              <w:rPr>
                <w:rFonts w:ascii="Times New Roman" w:hAnsi="Times New Roman"/>
                <w:sz w:val="24"/>
                <w:szCs w:val="24"/>
              </w:rPr>
              <w:t>0.943</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Duration of hospitalization</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&lt;3 days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14/94 (15)</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49/302 (16)</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Reference</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lastRenderedPageBreak/>
              <w:t>3-7 days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42/94 (45)</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37/302 (45)</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 (0.5-2.1)</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0.841</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c>
          <w:tcPr>
            <w:tcW w:w="3085" w:type="dxa"/>
            <w:gridSpan w:val="2"/>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 days</w:t>
            </w: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38/94 (40)</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116/302 (38)</w:t>
            </w:r>
          </w:p>
        </w:tc>
        <w:tc>
          <w:tcPr>
            <w:tcW w:w="1843"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1.1 (0.6-2.3)</w:t>
            </w:r>
          </w:p>
        </w:tc>
        <w:tc>
          <w:tcPr>
            <w:tcW w:w="1417"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0.701</w:t>
            </w:r>
          </w:p>
        </w:tc>
        <w:tc>
          <w:tcPr>
            <w:tcW w:w="1985"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r w:rsidR="00DB1BEA" w:rsidRPr="00F35AF2" w:rsidTr="00540DFC">
        <w:trPr>
          <w:trHeight w:val="806"/>
        </w:trPr>
        <w:tc>
          <w:tcPr>
            <w:tcW w:w="3085" w:type="dxa"/>
            <w:gridSpan w:val="2"/>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Died during admission</w:t>
            </w:r>
          </w:p>
        </w:tc>
        <w:tc>
          <w:tcPr>
            <w:tcW w:w="1701"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8/100 (8)</w:t>
            </w:r>
          </w:p>
        </w:tc>
        <w:tc>
          <w:tcPr>
            <w:tcW w:w="1843"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35/312 (11)</w:t>
            </w:r>
          </w:p>
        </w:tc>
        <w:tc>
          <w:tcPr>
            <w:tcW w:w="1843"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0.7 (0.3-1.5)</w:t>
            </w:r>
          </w:p>
        </w:tc>
        <w:tc>
          <w:tcPr>
            <w:tcW w:w="1417"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r w:rsidRPr="00F35AF2">
              <w:rPr>
                <w:rFonts w:ascii="Times New Roman" w:hAnsi="Times New Roman"/>
                <w:sz w:val="24"/>
                <w:szCs w:val="24"/>
              </w:rPr>
              <w:t>0.362</w:t>
            </w:r>
          </w:p>
        </w:tc>
        <w:tc>
          <w:tcPr>
            <w:tcW w:w="1985"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c>
          <w:tcPr>
            <w:tcW w:w="1701" w:type="dxa"/>
            <w:tcBorders>
              <w:bottom w:val="single" w:sz="4" w:space="0" w:color="auto"/>
            </w:tcBorders>
          </w:tcPr>
          <w:p w:rsidR="00DB1BEA" w:rsidRPr="00F35AF2" w:rsidRDefault="00DB1BEA" w:rsidP="00F15264">
            <w:pPr>
              <w:autoSpaceDE w:val="0"/>
              <w:autoSpaceDN w:val="0"/>
              <w:adjustRightInd w:val="0"/>
              <w:spacing w:after="0" w:line="480" w:lineRule="auto"/>
              <w:rPr>
                <w:rFonts w:ascii="Times New Roman" w:hAnsi="Times New Roman"/>
                <w:sz w:val="24"/>
                <w:szCs w:val="24"/>
              </w:rPr>
            </w:pPr>
          </w:p>
        </w:tc>
      </w:tr>
    </w:tbl>
    <w:p w:rsidR="00BF67DD" w:rsidRPr="006A03AC" w:rsidRDefault="00DB1BEA" w:rsidP="006A03AC">
      <w:pPr>
        <w:spacing w:line="480" w:lineRule="auto"/>
        <w:sectPr w:rsidR="00BF67DD" w:rsidRPr="006A03AC" w:rsidSect="00251FC5">
          <w:type w:val="continuous"/>
          <w:pgSz w:w="16838" w:h="11906" w:orient="landscape"/>
          <w:pgMar w:top="1440" w:right="1440" w:bottom="1440" w:left="1440" w:header="708" w:footer="708" w:gutter="0"/>
          <w:cols w:space="708"/>
          <w:docGrid w:linePitch="360"/>
        </w:sectPr>
      </w:pPr>
      <w:r w:rsidRPr="00F35AF2">
        <w:rPr>
          <w:rFonts w:ascii="Times New Roman" w:hAnsi="Times New Roman"/>
          <w:sz w:val="24"/>
          <w:szCs w:val="24"/>
        </w:rPr>
        <w:t xml:space="preserve">Underlying conditions included any of the following: Asthma, other chronic lung disease, chronic heart disease (valvular heart disease, coronary artery disease, or heart failure excluding hypertension), liver disease (cirrhosis or liver failure), renal disease (nephrotic syndrome, chronic renal failure), immunocompromising conditions excluding HIV infection (organ transplant, immunosuppressive therapy, immunoglobulin deficiency, malignancy), neurological disease (cerebrovascular accident, spinal cord injury, seizures, neuromuscular conditions) or pregnancy. Comorbidities were considered absent in cases for which the medical records stated that the patient had no underlying medical condition or when there was no direct reference to that condition. </w:t>
      </w:r>
      <w:r w:rsidRPr="00F35AF2">
        <w:rPr>
          <w:rFonts w:ascii="Times New Roman" w:hAnsi="Times New Roman"/>
          <w:sz w:val="24"/>
          <w:szCs w:val="24"/>
        </w:rPr>
        <w:br/>
        <w:t>**</w:t>
      </w:r>
      <w:r w:rsidRPr="00F35AF2">
        <w:rPr>
          <w:rFonts w:ascii="Times New Roman" w:hAnsi="Times New Roman"/>
          <w:i/>
          <w:sz w:val="24"/>
          <w:szCs w:val="24"/>
        </w:rPr>
        <w:t xml:space="preserve">lytA </w:t>
      </w:r>
      <w:r w:rsidRPr="00F35AF2">
        <w:rPr>
          <w:rFonts w:ascii="Times New Roman" w:hAnsi="Times New Roman"/>
          <w:sz w:val="24"/>
          <w:szCs w:val="24"/>
        </w:rPr>
        <w:t xml:space="preserve">PCR positive for </w:t>
      </w:r>
      <w:r w:rsidRPr="00F35AF2">
        <w:rPr>
          <w:rFonts w:ascii="Times New Roman" w:hAnsi="Times New Roman"/>
          <w:i/>
          <w:sz w:val="24"/>
          <w:szCs w:val="24"/>
        </w:rPr>
        <w:t>Streptococcus pneumoniae</w:t>
      </w:r>
      <w:r w:rsidRPr="00F35AF2">
        <w:rPr>
          <w:rFonts w:ascii="Times New Roman" w:hAnsi="Times New Roman"/>
          <w:sz w:val="24"/>
          <w:szCs w:val="24"/>
        </w:rPr>
        <w:t xml:space="preserve"> on blood specimen</w:t>
      </w:r>
      <w:r w:rsidRPr="00F35AF2">
        <w:rPr>
          <w:rFonts w:ascii="Times New Roman" w:hAnsi="Times New Roman"/>
          <w:sz w:val="24"/>
          <w:szCs w:val="24"/>
        </w:rPr>
        <w:br/>
        <w:t>*** CD4 categorized as Normal (CD4+ T-lymphocytes ≥200) or low (CD4+ T-lymphocytes &lt;200/mm3)</w:t>
      </w:r>
      <w:r w:rsidRPr="00F35AF2">
        <w:rPr>
          <w:rFonts w:ascii="Times New Roman" w:hAnsi="Times New Roman"/>
          <w:sz w:val="24"/>
          <w:szCs w:val="24"/>
        </w:rPr>
        <w:br/>
        <w:t>**** Started on TB treatment at current admission; excludes those already on TB treatment at time of admission (n=28)</w:t>
      </w:r>
      <w:r w:rsidR="006A03AC" w:rsidRPr="00F35AF2">
        <w:rPr>
          <w:rFonts w:ascii="Times New Roman" w:hAnsi="Times New Roman"/>
          <w:sz w:val="24"/>
          <w:szCs w:val="24"/>
        </w:rPr>
        <w:br/>
      </w:r>
      <w:r w:rsidR="006A03AC" w:rsidRPr="00F35AF2">
        <w:rPr>
          <w:rFonts w:ascii="Times New Roman" w:hAnsi="Times New Roman"/>
          <w:sz w:val="24"/>
          <w:szCs w:val="24"/>
          <w:vertAlign w:val="superscript"/>
        </w:rPr>
        <w:t>€</w:t>
      </w:r>
      <w:r w:rsidR="006A03AC" w:rsidRPr="00F35AF2">
        <w:rPr>
          <w:rFonts w:ascii="Times New Roman" w:hAnsi="Times New Roman"/>
          <w:sz w:val="24"/>
          <w:szCs w:val="24"/>
        </w:rPr>
        <w:t xml:space="preserve"> Any history of having worked in the mine</w:t>
      </w:r>
      <w:r w:rsidRPr="00DB1BEA">
        <w:br/>
      </w:r>
    </w:p>
    <w:p w:rsidR="00BF67DD" w:rsidRPr="00BF67DD" w:rsidRDefault="00BF67DD" w:rsidP="00251FC5">
      <w:pPr>
        <w:rPr>
          <w:b/>
        </w:rPr>
      </w:pPr>
    </w:p>
    <w:sectPr w:rsidR="00BF67DD" w:rsidRPr="00BF67DD" w:rsidSect="00251FC5">
      <w:type w:val="continuous"/>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25C5"/>
    <w:multiLevelType w:val="hybridMultilevel"/>
    <w:tmpl w:val="AC2ECE2A"/>
    <w:lvl w:ilvl="0" w:tplc="A878988A">
      <w:start w:val="1"/>
      <w:numFmt w:val="decimal"/>
      <w:lvlText w:val="%1."/>
      <w:lvlJc w:val="left"/>
      <w:pPr>
        <w:ind w:left="720" w:hanging="360"/>
      </w:pPr>
      <w:rPr>
        <w:rFonts w:hint="default"/>
        <w:b w:val="0"/>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vevpvmvrtrxexsr55ptttsaae2erzfrsx&quot;&gt;TB2&lt;record-ids&gt;&lt;item&gt;1404&lt;/item&gt;&lt;item&gt;3000&lt;/item&gt;&lt;/record-ids&gt;&lt;/item&gt;&lt;/Libraries&gt;"/>
  </w:docVars>
  <w:rsids>
    <w:rsidRoot w:val="004939F5"/>
    <w:rsid w:val="00051DCB"/>
    <w:rsid w:val="0005787F"/>
    <w:rsid w:val="00085665"/>
    <w:rsid w:val="000C3F76"/>
    <w:rsid w:val="000F0014"/>
    <w:rsid w:val="00122668"/>
    <w:rsid w:val="001333B3"/>
    <w:rsid w:val="001A79D8"/>
    <w:rsid w:val="001B2ACC"/>
    <w:rsid w:val="00221BC1"/>
    <w:rsid w:val="002354F3"/>
    <w:rsid w:val="00251FC5"/>
    <w:rsid w:val="002B5F3C"/>
    <w:rsid w:val="00321EDF"/>
    <w:rsid w:val="003358DB"/>
    <w:rsid w:val="00394032"/>
    <w:rsid w:val="003E7518"/>
    <w:rsid w:val="004939F5"/>
    <w:rsid w:val="00530FC9"/>
    <w:rsid w:val="00552612"/>
    <w:rsid w:val="005614E0"/>
    <w:rsid w:val="005A3328"/>
    <w:rsid w:val="005C3060"/>
    <w:rsid w:val="006A03AC"/>
    <w:rsid w:val="0070563B"/>
    <w:rsid w:val="007B459C"/>
    <w:rsid w:val="00836EF5"/>
    <w:rsid w:val="008A5EC4"/>
    <w:rsid w:val="008B1A65"/>
    <w:rsid w:val="008C6A5E"/>
    <w:rsid w:val="008D79CA"/>
    <w:rsid w:val="00957942"/>
    <w:rsid w:val="009A6DFF"/>
    <w:rsid w:val="009C07E9"/>
    <w:rsid w:val="009F29BC"/>
    <w:rsid w:val="00AC136C"/>
    <w:rsid w:val="00B160D7"/>
    <w:rsid w:val="00B96080"/>
    <w:rsid w:val="00BC341F"/>
    <w:rsid w:val="00BF67DD"/>
    <w:rsid w:val="00C22BC3"/>
    <w:rsid w:val="00C25C5F"/>
    <w:rsid w:val="00C3556B"/>
    <w:rsid w:val="00CA05DA"/>
    <w:rsid w:val="00CA3B50"/>
    <w:rsid w:val="00CD1523"/>
    <w:rsid w:val="00D12609"/>
    <w:rsid w:val="00D212B8"/>
    <w:rsid w:val="00D35B24"/>
    <w:rsid w:val="00D7242B"/>
    <w:rsid w:val="00DB1BEA"/>
    <w:rsid w:val="00E41F60"/>
    <w:rsid w:val="00E77531"/>
    <w:rsid w:val="00E8645D"/>
    <w:rsid w:val="00E95DCC"/>
    <w:rsid w:val="00EC3F02"/>
    <w:rsid w:val="00F15264"/>
    <w:rsid w:val="00F35AF2"/>
    <w:rsid w:val="00FC0D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F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4939F5"/>
    <w:pPr>
      <w:spacing w:line="240" w:lineRule="auto"/>
    </w:pPr>
    <w:rPr>
      <w:b/>
      <w:bCs/>
      <w:color w:val="4F81BD"/>
      <w:sz w:val="18"/>
      <w:szCs w:val="18"/>
    </w:rPr>
  </w:style>
  <w:style w:type="paragraph" w:styleId="ListParagraph">
    <w:name w:val="List Paragraph"/>
    <w:basedOn w:val="Normal"/>
    <w:qFormat/>
    <w:rsid w:val="001A79D8"/>
    <w:pPr>
      <w:spacing w:after="0" w:line="240" w:lineRule="auto"/>
      <w:ind w:left="720"/>
      <w:contextualSpacing/>
    </w:pPr>
    <w:rPr>
      <w:rFonts w:eastAsia="Calibri"/>
    </w:rPr>
  </w:style>
  <w:style w:type="character" w:styleId="CommentReference">
    <w:name w:val="annotation reference"/>
    <w:uiPriority w:val="99"/>
    <w:semiHidden/>
    <w:unhideWhenUsed/>
    <w:rsid w:val="005C3060"/>
    <w:rPr>
      <w:sz w:val="16"/>
      <w:szCs w:val="16"/>
    </w:rPr>
  </w:style>
  <w:style w:type="paragraph" w:styleId="CommentText">
    <w:name w:val="annotation text"/>
    <w:basedOn w:val="Normal"/>
    <w:link w:val="CommentTextChar"/>
    <w:uiPriority w:val="99"/>
    <w:unhideWhenUsed/>
    <w:rsid w:val="005C3060"/>
    <w:pPr>
      <w:spacing w:line="240" w:lineRule="auto"/>
    </w:pPr>
    <w:rPr>
      <w:sz w:val="20"/>
      <w:szCs w:val="20"/>
    </w:rPr>
  </w:style>
  <w:style w:type="character" w:customStyle="1" w:styleId="CommentTextChar">
    <w:name w:val="Comment Text Char"/>
    <w:basedOn w:val="DefaultParagraphFont"/>
    <w:link w:val="CommentText"/>
    <w:uiPriority w:val="99"/>
    <w:rsid w:val="005C3060"/>
    <w:rPr>
      <w:rFonts w:ascii="Calibri" w:eastAsia="Times New Roman" w:hAnsi="Calibri" w:cs="Times New Roman"/>
      <w:sz w:val="20"/>
      <w:szCs w:val="20"/>
    </w:rPr>
  </w:style>
  <w:style w:type="character" w:customStyle="1" w:styleId="StyleArial11pt">
    <w:name w:val="Style Arial 11 pt"/>
    <w:uiPriority w:val="99"/>
    <w:rsid w:val="005C3060"/>
    <w:rPr>
      <w:rFonts w:ascii="Arial" w:hAnsi="Arial" w:cs="Arial"/>
      <w:sz w:val="22"/>
      <w:szCs w:val="22"/>
    </w:rPr>
  </w:style>
  <w:style w:type="paragraph" w:styleId="BalloonText">
    <w:name w:val="Balloon Text"/>
    <w:basedOn w:val="Normal"/>
    <w:link w:val="BalloonTextChar"/>
    <w:uiPriority w:val="99"/>
    <w:semiHidden/>
    <w:unhideWhenUsed/>
    <w:rsid w:val="005C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60"/>
    <w:rPr>
      <w:rFonts w:ascii="Tahoma" w:eastAsia="Times New Roman" w:hAnsi="Tahoma" w:cs="Tahoma"/>
      <w:sz w:val="16"/>
      <w:szCs w:val="16"/>
      <w:lang w:val="en-US"/>
    </w:rPr>
  </w:style>
  <w:style w:type="paragraph" w:customStyle="1" w:styleId="EndNoteBibliographyTitle">
    <w:name w:val="EndNote Bibliography Title"/>
    <w:basedOn w:val="Normal"/>
    <w:link w:val="EndNoteBibliographyTitleChar"/>
    <w:rsid w:val="00BF67DD"/>
    <w:pPr>
      <w:spacing w:after="0"/>
      <w:jc w:val="center"/>
    </w:pPr>
    <w:rPr>
      <w:noProof/>
    </w:rPr>
  </w:style>
  <w:style w:type="character" w:customStyle="1" w:styleId="EndNoteBibliographyTitleChar">
    <w:name w:val="EndNote Bibliography Title Char"/>
    <w:basedOn w:val="DefaultParagraphFont"/>
    <w:link w:val="EndNoteBibliographyTitle"/>
    <w:rsid w:val="00BF67DD"/>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BF67DD"/>
    <w:pPr>
      <w:spacing w:line="240" w:lineRule="auto"/>
    </w:pPr>
    <w:rPr>
      <w:noProof/>
    </w:rPr>
  </w:style>
  <w:style w:type="character" w:customStyle="1" w:styleId="EndNoteBibliographyChar">
    <w:name w:val="EndNote Bibliography Char"/>
    <w:basedOn w:val="DefaultParagraphFont"/>
    <w:link w:val="EndNoteBibliography"/>
    <w:rsid w:val="00BF67DD"/>
    <w:rPr>
      <w:rFonts w:ascii="Calibri" w:eastAsia="Times New Roman"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F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4939F5"/>
    <w:pPr>
      <w:spacing w:line="240" w:lineRule="auto"/>
    </w:pPr>
    <w:rPr>
      <w:b/>
      <w:bCs/>
      <w:color w:val="4F81BD"/>
      <w:sz w:val="18"/>
      <w:szCs w:val="18"/>
    </w:rPr>
  </w:style>
  <w:style w:type="paragraph" w:styleId="ListParagraph">
    <w:name w:val="List Paragraph"/>
    <w:basedOn w:val="Normal"/>
    <w:qFormat/>
    <w:rsid w:val="001A79D8"/>
    <w:pPr>
      <w:spacing w:after="0" w:line="240" w:lineRule="auto"/>
      <w:ind w:left="720"/>
      <w:contextualSpacing/>
    </w:pPr>
    <w:rPr>
      <w:rFonts w:eastAsia="Calibri"/>
    </w:rPr>
  </w:style>
  <w:style w:type="character" w:styleId="CommentReference">
    <w:name w:val="annotation reference"/>
    <w:uiPriority w:val="99"/>
    <w:semiHidden/>
    <w:unhideWhenUsed/>
    <w:rsid w:val="005C3060"/>
    <w:rPr>
      <w:sz w:val="16"/>
      <w:szCs w:val="16"/>
    </w:rPr>
  </w:style>
  <w:style w:type="paragraph" w:styleId="CommentText">
    <w:name w:val="annotation text"/>
    <w:basedOn w:val="Normal"/>
    <w:link w:val="CommentTextChar"/>
    <w:uiPriority w:val="99"/>
    <w:unhideWhenUsed/>
    <w:rsid w:val="005C3060"/>
    <w:pPr>
      <w:spacing w:line="240" w:lineRule="auto"/>
    </w:pPr>
    <w:rPr>
      <w:sz w:val="20"/>
      <w:szCs w:val="20"/>
    </w:rPr>
  </w:style>
  <w:style w:type="character" w:customStyle="1" w:styleId="CommentTextChar">
    <w:name w:val="Comment Text Char"/>
    <w:basedOn w:val="DefaultParagraphFont"/>
    <w:link w:val="CommentText"/>
    <w:uiPriority w:val="99"/>
    <w:rsid w:val="005C3060"/>
    <w:rPr>
      <w:rFonts w:ascii="Calibri" w:eastAsia="Times New Roman" w:hAnsi="Calibri" w:cs="Times New Roman"/>
      <w:sz w:val="20"/>
      <w:szCs w:val="20"/>
    </w:rPr>
  </w:style>
  <w:style w:type="character" w:customStyle="1" w:styleId="StyleArial11pt">
    <w:name w:val="Style Arial 11 pt"/>
    <w:uiPriority w:val="99"/>
    <w:rsid w:val="005C3060"/>
    <w:rPr>
      <w:rFonts w:ascii="Arial" w:hAnsi="Arial" w:cs="Arial"/>
      <w:sz w:val="22"/>
      <w:szCs w:val="22"/>
    </w:rPr>
  </w:style>
  <w:style w:type="paragraph" w:styleId="BalloonText">
    <w:name w:val="Balloon Text"/>
    <w:basedOn w:val="Normal"/>
    <w:link w:val="BalloonTextChar"/>
    <w:uiPriority w:val="99"/>
    <w:semiHidden/>
    <w:unhideWhenUsed/>
    <w:rsid w:val="005C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60"/>
    <w:rPr>
      <w:rFonts w:ascii="Tahoma" w:eastAsia="Times New Roman" w:hAnsi="Tahoma" w:cs="Tahoma"/>
      <w:sz w:val="16"/>
      <w:szCs w:val="16"/>
      <w:lang w:val="en-US"/>
    </w:rPr>
  </w:style>
  <w:style w:type="paragraph" w:customStyle="1" w:styleId="EndNoteBibliographyTitle">
    <w:name w:val="EndNote Bibliography Title"/>
    <w:basedOn w:val="Normal"/>
    <w:link w:val="EndNoteBibliographyTitleChar"/>
    <w:rsid w:val="00BF67DD"/>
    <w:pPr>
      <w:spacing w:after="0"/>
      <w:jc w:val="center"/>
    </w:pPr>
    <w:rPr>
      <w:noProof/>
    </w:rPr>
  </w:style>
  <w:style w:type="character" w:customStyle="1" w:styleId="EndNoteBibliographyTitleChar">
    <w:name w:val="EndNote Bibliography Title Char"/>
    <w:basedOn w:val="DefaultParagraphFont"/>
    <w:link w:val="EndNoteBibliographyTitle"/>
    <w:rsid w:val="00BF67DD"/>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BF67DD"/>
    <w:pPr>
      <w:spacing w:line="240" w:lineRule="auto"/>
    </w:pPr>
    <w:rPr>
      <w:noProof/>
    </w:rPr>
  </w:style>
  <w:style w:type="character" w:customStyle="1" w:styleId="EndNoteBibliographyChar">
    <w:name w:val="EndNote Bibliography Char"/>
    <w:basedOn w:val="DefaultParagraphFont"/>
    <w:link w:val="EndNoteBibliography"/>
    <w:rsid w:val="00BF67DD"/>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sibongilew</dc:creator>
  <cp:lastModifiedBy>Oupjtech</cp:lastModifiedBy>
  <cp:revision>3</cp:revision>
  <dcterms:created xsi:type="dcterms:W3CDTF">2017-05-14T19:33:00Z</dcterms:created>
  <dcterms:modified xsi:type="dcterms:W3CDTF">2017-05-27T05:26:00Z</dcterms:modified>
</cp:coreProperties>
</file>