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5" w:type="dxa"/>
        <w:tblInd w:w="93" w:type="dxa"/>
        <w:tblLook w:val="04A0" w:firstRow="1" w:lastRow="0" w:firstColumn="1" w:lastColumn="0" w:noHBand="0" w:noVBand="1"/>
      </w:tblPr>
      <w:tblGrid>
        <w:gridCol w:w="3334"/>
        <w:gridCol w:w="2981"/>
        <w:gridCol w:w="3150"/>
        <w:gridCol w:w="3060"/>
        <w:gridCol w:w="810"/>
      </w:tblGrid>
      <w:tr w:rsidR="00D569EB" w:rsidRPr="00610DA8" w:rsidTr="00CA5080">
        <w:trPr>
          <w:trHeight w:val="255"/>
        </w:trPr>
        <w:tc>
          <w:tcPr>
            <w:tcW w:w="133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ind w:hanging="3"/>
              <w:contextualSpacing/>
              <w:rPr>
                <w:b/>
                <w:bCs/>
                <w:color w:val="000000"/>
                <w:sz w:val="20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Supplemental Table 3. </w:t>
            </w:r>
            <w:r w:rsidRPr="00610DA8">
              <w:rPr>
                <w:bCs/>
                <w:color w:val="000000"/>
                <w:sz w:val="22"/>
                <w:szCs w:val="22"/>
              </w:rPr>
              <w:t>Age-adjusted Prevalence Ratios for Birth Defects Among Users of Specific Assisted Reproductive Technology Procedures Compared to Fertile Women</w:t>
            </w:r>
          </w:p>
        </w:tc>
      </w:tr>
      <w:tr w:rsidR="00D569EB" w:rsidRPr="00610DA8" w:rsidTr="00CA5080">
        <w:trPr>
          <w:gridAfter w:val="1"/>
          <w:wAfter w:w="810" w:type="dxa"/>
          <w:trHeight w:val="255"/>
        </w:trPr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9EB" w:rsidRPr="00610DA8" w:rsidRDefault="00D569EB" w:rsidP="00CA5080">
            <w:pPr>
              <w:spacing w:line="480" w:lineRule="auto"/>
              <w:ind w:left="177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>Birth Defect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>Assisted Hatching</w:t>
            </w:r>
          </w:p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Prevalence </w:t>
            </w:r>
            <w:proofErr w:type="spellStart"/>
            <w:r w:rsidRPr="00610DA8">
              <w:rPr>
                <w:b/>
                <w:bCs/>
                <w:color w:val="000000"/>
                <w:sz w:val="22"/>
                <w:szCs w:val="22"/>
              </w:rPr>
              <w:t>Ratio</w:t>
            </w:r>
            <w:r w:rsidRPr="00610DA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>Frozen Cycle</w:t>
            </w:r>
          </w:p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Prevalence </w:t>
            </w:r>
            <w:proofErr w:type="spellStart"/>
            <w:r w:rsidRPr="00610DA8">
              <w:rPr>
                <w:b/>
                <w:bCs/>
                <w:color w:val="000000"/>
                <w:sz w:val="22"/>
                <w:szCs w:val="22"/>
              </w:rPr>
              <w:t>Ratio</w:t>
            </w:r>
            <w:r w:rsidRPr="00610DA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0DA8">
              <w:rPr>
                <w:b/>
                <w:bCs/>
                <w:color w:val="000000"/>
                <w:sz w:val="22"/>
                <w:szCs w:val="22"/>
              </w:rPr>
              <w:t>ICSI</w:t>
            </w:r>
            <w:r w:rsidRPr="00610DA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Prevalence </w:t>
            </w:r>
            <w:proofErr w:type="spellStart"/>
            <w:r w:rsidRPr="00610DA8">
              <w:rPr>
                <w:b/>
                <w:bCs/>
                <w:color w:val="000000"/>
                <w:sz w:val="22"/>
                <w:szCs w:val="22"/>
              </w:rPr>
              <w:t>Ratio</w:t>
            </w:r>
            <w:r w:rsidRPr="00610DA8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610DA8">
              <w:rPr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D569EB" w:rsidRPr="00610DA8" w:rsidTr="00CA5080">
        <w:trPr>
          <w:gridAfter w:val="1"/>
          <w:wAfter w:w="810" w:type="dxa"/>
          <w:trHeight w:val="270"/>
        </w:trPr>
        <w:tc>
          <w:tcPr>
            <w:tcW w:w="3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</w:p>
          <w:p w:rsidR="00D569EB" w:rsidRPr="00610DA8" w:rsidRDefault="00D569EB" w:rsidP="00CA5080">
            <w:pPr>
              <w:spacing w:line="480" w:lineRule="auto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r w:rsidRPr="00610DA8">
              <w:rPr>
                <w:bCs/>
                <w:iCs/>
                <w:color w:val="000000"/>
                <w:sz w:val="22"/>
                <w:szCs w:val="22"/>
              </w:rPr>
              <w:t>Overall</w:t>
            </w:r>
            <w:r w:rsidRPr="00610DA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0DA8">
              <w:rPr>
                <w:bCs/>
                <w:color w:val="000000"/>
                <w:sz w:val="22"/>
                <w:szCs w:val="22"/>
                <w:vertAlign w:val="superscript"/>
              </w:rPr>
              <w:t>c,d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1.5 (1.2-1.8)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1.4 (1.3-1.6)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1.3 (1.1.-1.5)</w:t>
            </w:r>
          </w:p>
        </w:tc>
      </w:tr>
      <w:tr w:rsidR="00D569EB" w:rsidRPr="00610DA8" w:rsidTr="00CA5080">
        <w:trPr>
          <w:gridAfter w:val="1"/>
          <w:wAfter w:w="810" w:type="dxa"/>
          <w:trHeight w:val="27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9EB" w:rsidRPr="00610DA8" w:rsidRDefault="00D569EB" w:rsidP="0028488F">
            <w:pPr>
              <w:spacing w:line="480" w:lineRule="auto"/>
              <w:ind w:firstLine="267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r w:rsidRPr="00610DA8">
              <w:rPr>
                <w:bCs/>
                <w:iCs/>
                <w:color w:val="000000"/>
                <w:sz w:val="22"/>
                <w:szCs w:val="22"/>
              </w:rPr>
              <w:t xml:space="preserve">Cardiac </w:t>
            </w:r>
            <w:proofErr w:type="spellStart"/>
            <w:r w:rsidRPr="00610DA8">
              <w:rPr>
                <w:bCs/>
                <w:iCs/>
                <w:color w:val="000000"/>
                <w:sz w:val="22"/>
                <w:szCs w:val="22"/>
              </w:rPr>
              <w:t>Defects</w:t>
            </w:r>
            <w:r w:rsidRPr="00610DA8">
              <w:rPr>
                <w:bCs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1.8 (1.3-2.5)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1.4 (1.3-1.6)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1.4 (1.2-1.5)</w:t>
            </w:r>
          </w:p>
        </w:tc>
      </w:tr>
      <w:tr w:rsidR="00D569EB" w:rsidRPr="00610DA8" w:rsidTr="00CA5080">
        <w:trPr>
          <w:gridAfter w:val="1"/>
          <w:wAfter w:w="810" w:type="dxa"/>
          <w:trHeight w:val="270"/>
        </w:trPr>
        <w:tc>
          <w:tcPr>
            <w:tcW w:w="3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69EB" w:rsidRPr="00610DA8" w:rsidRDefault="00D569EB" w:rsidP="0028488F">
            <w:pPr>
              <w:spacing w:line="480" w:lineRule="auto"/>
              <w:ind w:firstLine="267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r w:rsidRPr="00610DA8">
              <w:rPr>
                <w:bCs/>
                <w:iCs/>
                <w:color w:val="000000"/>
                <w:sz w:val="22"/>
                <w:szCs w:val="22"/>
              </w:rPr>
              <w:t>Non-Cardiac Defects</w:t>
            </w:r>
          </w:p>
        </w:tc>
        <w:tc>
          <w:tcPr>
            <w:tcW w:w="29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10DA8">
              <w:rPr>
                <w:bCs/>
                <w:color w:val="000000"/>
                <w:sz w:val="22"/>
                <w:szCs w:val="22"/>
              </w:rPr>
              <w:t>1.3 (1.0-1.7)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1.4 (1.2-1.5)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1.2 (1.0-1.5)</w:t>
            </w:r>
          </w:p>
        </w:tc>
      </w:tr>
      <w:tr w:rsidR="00D569EB" w:rsidRPr="00610DA8" w:rsidTr="00CA5080">
        <w:trPr>
          <w:gridAfter w:val="1"/>
          <w:wAfter w:w="810" w:type="dxa"/>
          <w:trHeight w:val="270"/>
        </w:trPr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9EB" w:rsidRPr="00610DA8" w:rsidRDefault="00D569EB" w:rsidP="0028488F">
            <w:pPr>
              <w:spacing w:line="480" w:lineRule="auto"/>
              <w:ind w:firstLine="627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610DA8">
              <w:rPr>
                <w:bCs/>
                <w:iCs/>
                <w:color w:val="000000"/>
                <w:sz w:val="22"/>
                <w:szCs w:val="22"/>
              </w:rPr>
              <w:t>Hypospadias</w:t>
            </w:r>
            <w:r w:rsidRPr="00610DA8">
              <w:rPr>
                <w:bCs/>
                <w:iCs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610DA8">
              <w:rPr>
                <w:bCs/>
                <w:color w:val="000000"/>
                <w:sz w:val="22"/>
                <w:szCs w:val="22"/>
              </w:rPr>
              <w:t>2.0 (1.1-3.4)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1.8 (1.3-2.5)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EB" w:rsidRPr="00610DA8" w:rsidRDefault="00D569EB" w:rsidP="00CA5080">
            <w:pPr>
              <w:spacing w:line="48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10DA8">
              <w:rPr>
                <w:color w:val="000000"/>
                <w:sz w:val="22"/>
                <w:szCs w:val="22"/>
              </w:rPr>
              <w:t>1.5 (1.0-2.5)</w:t>
            </w:r>
          </w:p>
        </w:tc>
      </w:tr>
    </w:tbl>
    <w:p w:rsidR="00D569EB" w:rsidRPr="00610DA8" w:rsidRDefault="00D569EB" w:rsidP="00D569EB">
      <w:pPr>
        <w:spacing w:line="480" w:lineRule="auto"/>
        <w:ind w:firstLine="90"/>
        <w:contextualSpacing/>
        <w:rPr>
          <w:color w:val="000000"/>
          <w:sz w:val="22"/>
          <w:szCs w:val="22"/>
        </w:rPr>
      </w:pPr>
      <w:r w:rsidRPr="00610DA8">
        <w:rPr>
          <w:rFonts w:eastAsia="Calibri"/>
          <w:sz w:val="22"/>
          <w:szCs w:val="22"/>
        </w:rPr>
        <w:t xml:space="preserve">95% CI: 95% confidence interval. </w:t>
      </w:r>
    </w:p>
    <w:p w:rsidR="00D569EB" w:rsidRPr="00610DA8" w:rsidRDefault="00D569EB" w:rsidP="00D569EB">
      <w:pPr>
        <w:spacing w:line="480" w:lineRule="auto"/>
        <w:ind w:firstLine="90"/>
        <w:contextualSpacing/>
        <w:rPr>
          <w:rFonts w:eastAsia="Calibri"/>
          <w:sz w:val="22"/>
          <w:szCs w:val="22"/>
        </w:rPr>
      </w:pPr>
      <w:proofErr w:type="spellStart"/>
      <w:proofErr w:type="gramStart"/>
      <w:r w:rsidRPr="00610DA8">
        <w:rPr>
          <w:bCs/>
          <w:color w:val="000000"/>
          <w:sz w:val="22"/>
          <w:szCs w:val="22"/>
          <w:vertAlign w:val="superscript"/>
        </w:rPr>
        <w:t>a</w:t>
      </w:r>
      <w:r w:rsidRPr="00610DA8">
        <w:rPr>
          <w:bCs/>
          <w:color w:val="000000"/>
          <w:sz w:val="22"/>
          <w:szCs w:val="22"/>
        </w:rPr>
        <w:t>Intracytoplasmic</w:t>
      </w:r>
      <w:proofErr w:type="spellEnd"/>
      <w:proofErr w:type="gramEnd"/>
      <w:r w:rsidRPr="00610DA8">
        <w:rPr>
          <w:bCs/>
          <w:color w:val="000000"/>
          <w:sz w:val="22"/>
          <w:szCs w:val="22"/>
        </w:rPr>
        <w:t xml:space="preserve"> sperm injection.</w:t>
      </w:r>
    </w:p>
    <w:p w:rsidR="00D569EB" w:rsidRPr="00610DA8" w:rsidRDefault="00D569EB" w:rsidP="00D569EB">
      <w:pPr>
        <w:spacing w:line="480" w:lineRule="auto"/>
        <w:ind w:firstLine="90"/>
        <w:contextualSpacing/>
        <w:rPr>
          <w:rFonts w:eastAsia="Calibri"/>
          <w:sz w:val="22"/>
          <w:szCs w:val="22"/>
        </w:rPr>
      </w:pPr>
      <w:proofErr w:type="spellStart"/>
      <w:proofErr w:type="gramStart"/>
      <w:r w:rsidRPr="00610DA8">
        <w:rPr>
          <w:bCs/>
          <w:color w:val="000000"/>
          <w:sz w:val="22"/>
          <w:szCs w:val="22"/>
          <w:vertAlign w:val="superscript"/>
        </w:rPr>
        <w:t>b</w:t>
      </w:r>
      <w:r w:rsidRPr="00610DA8">
        <w:rPr>
          <w:bCs/>
          <w:color w:val="000000"/>
          <w:sz w:val="22"/>
          <w:szCs w:val="22"/>
        </w:rPr>
        <w:t>Adjusted</w:t>
      </w:r>
      <w:proofErr w:type="spellEnd"/>
      <w:proofErr w:type="gramEnd"/>
      <w:r w:rsidRPr="00610DA8">
        <w:rPr>
          <w:bCs/>
          <w:color w:val="000000"/>
          <w:sz w:val="22"/>
          <w:szCs w:val="22"/>
        </w:rPr>
        <w:t xml:space="preserve"> for</w:t>
      </w:r>
      <w:r w:rsidRPr="00610DA8">
        <w:rPr>
          <w:rFonts w:eastAsia="Calibri"/>
          <w:sz w:val="22"/>
          <w:szCs w:val="22"/>
        </w:rPr>
        <w:t xml:space="preserve"> maternal age (&lt;35, </w:t>
      </w:r>
      <w:r w:rsidRPr="00610DA8">
        <w:rPr>
          <w:rFonts w:eastAsia="Calibri"/>
          <w:sz w:val="22"/>
          <w:szCs w:val="22"/>
          <w:u w:val="single"/>
        </w:rPr>
        <w:t>&gt;</w:t>
      </w:r>
      <w:r w:rsidRPr="00610DA8">
        <w:rPr>
          <w:rFonts w:eastAsia="Calibri"/>
          <w:sz w:val="22"/>
          <w:szCs w:val="22"/>
        </w:rPr>
        <w:t xml:space="preserve">35 years). </w:t>
      </w:r>
      <w:r w:rsidRPr="00610DA8">
        <w:rPr>
          <w:bCs/>
          <w:color w:val="000000"/>
          <w:sz w:val="22"/>
          <w:szCs w:val="22"/>
        </w:rPr>
        <w:t>Fertile group is referent.</w:t>
      </w:r>
    </w:p>
    <w:p w:rsidR="00D569EB" w:rsidRPr="00610DA8" w:rsidRDefault="00D569EB" w:rsidP="00D569EB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spellStart"/>
      <w:proofErr w:type="gramStart"/>
      <w:r w:rsidRPr="00610DA8">
        <w:rPr>
          <w:bCs/>
          <w:color w:val="000000"/>
          <w:sz w:val="22"/>
          <w:szCs w:val="22"/>
          <w:vertAlign w:val="superscript"/>
        </w:rPr>
        <w:t>c</w:t>
      </w:r>
      <w:r w:rsidRPr="00610DA8">
        <w:rPr>
          <w:bCs/>
          <w:color w:val="000000"/>
          <w:sz w:val="22"/>
          <w:szCs w:val="22"/>
        </w:rPr>
        <w:t>Any</w:t>
      </w:r>
      <w:proofErr w:type="spellEnd"/>
      <w:proofErr w:type="gramEnd"/>
      <w:r w:rsidRPr="00610DA8">
        <w:rPr>
          <w:bCs/>
          <w:color w:val="000000"/>
          <w:sz w:val="22"/>
          <w:szCs w:val="22"/>
        </w:rPr>
        <w:t xml:space="preserve"> defect collected as part of surveillance by the Massachusetts Birth Defects Monitoring Program as described in Supplemental Table 1. </w:t>
      </w:r>
    </w:p>
    <w:p w:rsidR="00D569EB" w:rsidRPr="00610DA8" w:rsidRDefault="00D569EB" w:rsidP="00D569EB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gramStart"/>
      <w:r w:rsidRPr="00610DA8">
        <w:rPr>
          <w:bCs/>
          <w:color w:val="000000"/>
          <w:sz w:val="22"/>
          <w:szCs w:val="22"/>
        </w:rPr>
        <w:t>Excludes cases with a Mendelian gene syndrome or chromosomal defect.</w:t>
      </w:r>
      <w:proofErr w:type="gramEnd"/>
      <w:r w:rsidRPr="00610DA8">
        <w:rPr>
          <w:bCs/>
          <w:color w:val="000000"/>
          <w:sz w:val="22"/>
          <w:szCs w:val="22"/>
        </w:rPr>
        <w:t xml:space="preserve"> </w:t>
      </w:r>
    </w:p>
    <w:p w:rsidR="00D569EB" w:rsidRPr="00610DA8" w:rsidRDefault="00D569EB" w:rsidP="00D569EB">
      <w:pPr>
        <w:spacing w:line="480" w:lineRule="auto"/>
        <w:ind w:left="72"/>
        <w:contextualSpacing/>
        <w:rPr>
          <w:bCs/>
          <w:color w:val="000000"/>
          <w:sz w:val="22"/>
          <w:szCs w:val="22"/>
        </w:rPr>
      </w:pPr>
      <w:proofErr w:type="spellStart"/>
      <w:proofErr w:type="gramStart"/>
      <w:r w:rsidRPr="00610DA8">
        <w:rPr>
          <w:bCs/>
          <w:color w:val="000000"/>
          <w:sz w:val="22"/>
          <w:szCs w:val="22"/>
          <w:vertAlign w:val="superscript"/>
        </w:rPr>
        <w:t>d</w:t>
      </w:r>
      <w:r w:rsidRPr="00610DA8">
        <w:rPr>
          <w:bCs/>
          <w:color w:val="000000"/>
          <w:sz w:val="22"/>
          <w:szCs w:val="22"/>
        </w:rPr>
        <w:t>Excludes</w:t>
      </w:r>
      <w:proofErr w:type="spellEnd"/>
      <w:proofErr w:type="gramEnd"/>
      <w:r w:rsidRPr="00610DA8">
        <w:rPr>
          <w:bCs/>
          <w:color w:val="000000"/>
          <w:sz w:val="22"/>
          <w:szCs w:val="22"/>
        </w:rPr>
        <w:t xml:space="preserve"> patent </w:t>
      </w:r>
      <w:proofErr w:type="spellStart"/>
      <w:r w:rsidRPr="00610DA8">
        <w:rPr>
          <w:bCs/>
          <w:color w:val="000000"/>
          <w:sz w:val="22"/>
          <w:szCs w:val="22"/>
        </w:rPr>
        <w:t>ductus</w:t>
      </w:r>
      <w:proofErr w:type="spellEnd"/>
      <w:r w:rsidRPr="00610DA8">
        <w:rPr>
          <w:bCs/>
          <w:color w:val="000000"/>
          <w:sz w:val="22"/>
          <w:szCs w:val="22"/>
        </w:rPr>
        <w:t xml:space="preserve"> </w:t>
      </w:r>
      <w:proofErr w:type="spellStart"/>
      <w:r w:rsidRPr="00610DA8">
        <w:rPr>
          <w:bCs/>
          <w:color w:val="000000"/>
          <w:sz w:val="22"/>
          <w:szCs w:val="22"/>
        </w:rPr>
        <w:t>arteriosus</w:t>
      </w:r>
      <w:proofErr w:type="spellEnd"/>
      <w:r w:rsidRPr="00610DA8">
        <w:rPr>
          <w:bCs/>
          <w:color w:val="000000"/>
          <w:sz w:val="22"/>
          <w:szCs w:val="22"/>
        </w:rPr>
        <w:t>.</w:t>
      </w:r>
    </w:p>
    <w:p w:rsidR="00D569EB" w:rsidRDefault="00D569EB" w:rsidP="00D569EB">
      <w:pPr>
        <w:spacing w:line="480" w:lineRule="auto"/>
        <w:ind w:firstLine="90"/>
        <w:contextualSpacing/>
        <w:rPr>
          <w:rFonts w:eastAsia="Calibri"/>
          <w:sz w:val="22"/>
          <w:szCs w:val="22"/>
        </w:rPr>
      </w:pPr>
      <w:proofErr w:type="spellStart"/>
      <w:proofErr w:type="gramStart"/>
      <w:r w:rsidRPr="00610DA8">
        <w:rPr>
          <w:bCs/>
          <w:color w:val="000000"/>
          <w:sz w:val="22"/>
          <w:szCs w:val="22"/>
          <w:vertAlign w:val="superscript"/>
        </w:rPr>
        <w:t>e</w:t>
      </w:r>
      <w:r w:rsidRPr="00610DA8">
        <w:rPr>
          <w:color w:val="000000"/>
          <w:sz w:val="22"/>
          <w:szCs w:val="22"/>
        </w:rPr>
        <w:t>Prevalence</w:t>
      </w:r>
      <w:proofErr w:type="spellEnd"/>
      <w:proofErr w:type="gramEnd"/>
      <w:r w:rsidRPr="00610DA8">
        <w:rPr>
          <w:color w:val="000000"/>
          <w:sz w:val="22"/>
          <w:szCs w:val="22"/>
        </w:rPr>
        <w:t xml:space="preserve"> per 10,000 male live births.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842CDD" w:rsidRDefault="00842CDD"/>
    <w:sectPr w:rsidR="00842CDD" w:rsidSect="00D56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B"/>
    <w:rsid w:val="00060C3D"/>
    <w:rsid w:val="002700E6"/>
    <w:rsid w:val="0028488F"/>
    <w:rsid w:val="00610DA8"/>
    <w:rsid w:val="00842CDD"/>
    <w:rsid w:val="00BE115C"/>
    <w:rsid w:val="00C37D06"/>
    <w:rsid w:val="00D569EB"/>
    <w:rsid w:val="00DD2D30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Liberman, Rebecca (DPH)</dc:creator>
  <cp:lastModifiedBy>wileyjeo</cp:lastModifiedBy>
  <cp:revision>2</cp:revision>
  <dcterms:created xsi:type="dcterms:W3CDTF">2017-04-19T08:04:00Z</dcterms:created>
  <dcterms:modified xsi:type="dcterms:W3CDTF">2017-04-19T08:04:00Z</dcterms:modified>
</cp:coreProperties>
</file>