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  <w:gridCol w:w="90"/>
        <w:gridCol w:w="609"/>
        <w:gridCol w:w="831"/>
        <w:gridCol w:w="1440"/>
        <w:gridCol w:w="1742"/>
        <w:gridCol w:w="14"/>
        <w:gridCol w:w="224"/>
        <w:gridCol w:w="33"/>
        <w:gridCol w:w="57"/>
        <w:gridCol w:w="1080"/>
        <w:gridCol w:w="115"/>
        <w:gridCol w:w="1325"/>
        <w:gridCol w:w="90"/>
        <w:gridCol w:w="1710"/>
        <w:gridCol w:w="180"/>
      </w:tblGrid>
      <w:tr w:rsidR="00CE06B9" w:rsidRPr="00F526C7" w:rsidTr="00CA5080">
        <w:trPr>
          <w:trHeight w:val="525"/>
        </w:trPr>
        <w:tc>
          <w:tcPr>
            <w:tcW w:w="1305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06B9" w:rsidRPr="00F526C7" w:rsidRDefault="00CE06B9" w:rsidP="00CA5080">
            <w:pPr>
              <w:spacing w:line="480" w:lineRule="auto"/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F526C7">
              <w:rPr>
                <w:b/>
                <w:bCs/>
                <w:color w:val="000000"/>
                <w:sz w:val="22"/>
                <w:szCs w:val="22"/>
              </w:rPr>
              <w:t xml:space="preserve">Supplemental Table 2. </w:t>
            </w:r>
            <w:r w:rsidRPr="00F526C7">
              <w:rPr>
                <w:bCs/>
                <w:color w:val="000000"/>
                <w:sz w:val="22"/>
                <w:szCs w:val="22"/>
              </w:rPr>
              <w:t>Prevalence Rates and Age-Adjusted Prevalence Ratios for Nonchromosomal Birth Defects among Women Using Assisted Reproductive Technology and Fertile Women Stratified by Maternal Age</w:t>
            </w:r>
          </w:p>
        </w:tc>
      </w:tr>
      <w:tr w:rsidR="00CE06B9" w:rsidRPr="00F526C7" w:rsidTr="00CA5080">
        <w:trPr>
          <w:trHeight w:val="255"/>
        </w:trPr>
        <w:tc>
          <w:tcPr>
            <w:tcW w:w="4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6B9" w:rsidRPr="00F526C7" w:rsidRDefault="00CE06B9" w:rsidP="00CA5080">
            <w:pPr>
              <w:spacing w:line="480" w:lineRule="auto"/>
              <w:contextualSpacing/>
              <w:rPr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06B9" w:rsidRPr="00F526C7" w:rsidRDefault="00CE06B9" w:rsidP="00CA5080">
            <w:pPr>
              <w:spacing w:line="480" w:lineRule="auto"/>
              <w:ind w:left="-357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26C7">
              <w:rPr>
                <w:b/>
                <w:bCs/>
                <w:color w:val="000000"/>
                <w:sz w:val="22"/>
                <w:szCs w:val="22"/>
              </w:rPr>
              <w:t>Maternal Age &lt;35 years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5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26C7">
              <w:rPr>
                <w:b/>
                <w:bCs/>
                <w:color w:val="000000"/>
                <w:sz w:val="22"/>
                <w:szCs w:val="22"/>
              </w:rPr>
              <w:t>Maternal Age ≥35 years</w:t>
            </w:r>
          </w:p>
        </w:tc>
      </w:tr>
      <w:tr w:rsidR="00CE06B9" w:rsidRPr="00F526C7" w:rsidTr="00CA5080">
        <w:trPr>
          <w:trHeight w:val="585"/>
        </w:trPr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526C7">
              <w:rPr>
                <w:b/>
                <w:bCs/>
                <w:color w:val="000000"/>
                <w:sz w:val="22"/>
                <w:szCs w:val="22"/>
              </w:rPr>
              <w:t>ART</w:t>
            </w:r>
            <w:r w:rsidRPr="00F526C7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  <w:r w:rsidRPr="00F526C7">
              <w:rPr>
                <w:b/>
                <w:bCs/>
                <w:color w:val="000000"/>
                <w:sz w:val="22"/>
                <w:szCs w:val="22"/>
              </w:rPr>
              <w:t xml:space="preserve"> exposed</w:t>
            </w:r>
          </w:p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26C7">
              <w:rPr>
                <w:b/>
                <w:bCs/>
                <w:color w:val="000000"/>
                <w:sz w:val="22"/>
                <w:szCs w:val="22"/>
              </w:rPr>
              <w:t>Rate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526C7">
              <w:rPr>
                <w:b/>
                <w:bCs/>
                <w:color w:val="000000"/>
                <w:sz w:val="22"/>
                <w:szCs w:val="22"/>
              </w:rPr>
              <w:t>ART</w:t>
            </w:r>
            <w:r w:rsidRPr="00F526C7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  <w:r w:rsidRPr="00F526C7">
              <w:rPr>
                <w:b/>
                <w:bCs/>
                <w:color w:val="000000"/>
                <w:sz w:val="22"/>
                <w:szCs w:val="22"/>
              </w:rPr>
              <w:t xml:space="preserve"> Unexposed, Fertile Rate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26C7">
              <w:rPr>
                <w:b/>
                <w:bCs/>
                <w:color w:val="000000"/>
                <w:sz w:val="22"/>
                <w:szCs w:val="22"/>
              </w:rPr>
              <w:t>Prevalence</w:t>
            </w:r>
          </w:p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526C7">
              <w:rPr>
                <w:b/>
                <w:bCs/>
                <w:color w:val="000000"/>
                <w:sz w:val="22"/>
                <w:szCs w:val="22"/>
              </w:rPr>
              <w:t>Ratio</w:t>
            </w:r>
            <w:r w:rsidRPr="00F526C7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2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ind w:left="-198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526C7">
              <w:rPr>
                <w:b/>
                <w:bCs/>
                <w:color w:val="000000"/>
                <w:sz w:val="22"/>
                <w:szCs w:val="22"/>
              </w:rPr>
              <w:t>ART</w:t>
            </w:r>
            <w:r w:rsidRPr="00F526C7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  <w:r w:rsidRPr="00F526C7">
              <w:rPr>
                <w:b/>
                <w:bCs/>
                <w:color w:val="000000"/>
                <w:sz w:val="22"/>
                <w:szCs w:val="22"/>
              </w:rPr>
              <w:t xml:space="preserve"> exposed</w:t>
            </w: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526C7">
              <w:rPr>
                <w:b/>
                <w:bCs/>
                <w:color w:val="000000"/>
                <w:sz w:val="22"/>
                <w:szCs w:val="22"/>
              </w:rPr>
              <w:t>ART</w:t>
            </w:r>
            <w:r w:rsidRPr="00F526C7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  <w:r w:rsidRPr="00F526C7">
              <w:rPr>
                <w:b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F526C7">
              <w:rPr>
                <w:b/>
                <w:bCs/>
                <w:color w:val="000000"/>
                <w:sz w:val="22"/>
                <w:szCs w:val="22"/>
              </w:rPr>
              <w:t>Unexposed, Fertile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26C7">
              <w:rPr>
                <w:b/>
                <w:bCs/>
                <w:color w:val="000000"/>
                <w:sz w:val="22"/>
                <w:szCs w:val="22"/>
              </w:rPr>
              <w:t xml:space="preserve">Prevalence </w:t>
            </w:r>
          </w:p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526C7">
              <w:rPr>
                <w:b/>
                <w:bCs/>
                <w:color w:val="000000"/>
                <w:sz w:val="22"/>
                <w:szCs w:val="22"/>
              </w:rPr>
              <w:t>Ratio</w:t>
            </w:r>
            <w:r w:rsidRPr="00F526C7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</w:tr>
      <w:tr w:rsidR="00CE06B9" w:rsidRPr="00F526C7" w:rsidTr="00CA5080">
        <w:trPr>
          <w:trHeight w:val="270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rPr>
                <w:b/>
                <w:color w:val="000000"/>
                <w:sz w:val="22"/>
                <w:szCs w:val="22"/>
              </w:rPr>
            </w:pPr>
            <w:r w:rsidRPr="00F526C7">
              <w:rPr>
                <w:b/>
                <w:color w:val="000000"/>
                <w:sz w:val="22"/>
                <w:szCs w:val="22"/>
              </w:rPr>
              <w:t> Birth Defect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F526C7">
              <w:rPr>
                <w:b/>
                <w:color w:val="000000"/>
                <w:sz w:val="22"/>
                <w:szCs w:val="22"/>
              </w:rPr>
              <w:t>n=7,375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F526C7">
              <w:rPr>
                <w:b/>
                <w:color w:val="000000"/>
                <w:sz w:val="22"/>
                <w:szCs w:val="22"/>
              </w:rPr>
              <w:t>n=352,026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F526C7">
              <w:rPr>
                <w:b/>
                <w:color w:val="000000"/>
                <w:sz w:val="22"/>
                <w:szCs w:val="22"/>
              </w:rPr>
              <w:t>(95% CI)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F526C7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ind w:left="-198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F526C7">
              <w:rPr>
                <w:b/>
                <w:color w:val="000000"/>
                <w:sz w:val="22"/>
                <w:szCs w:val="22"/>
              </w:rPr>
              <w:t>n=10,453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F526C7">
              <w:rPr>
                <w:b/>
                <w:color w:val="000000"/>
                <w:sz w:val="22"/>
                <w:szCs w:val="22"/>
              </w:rPr>
              <w:t>n=93,044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F526C7">
              <w:rPr>
                <w:b/>
                <w:color w:val="000000"/>
                <w:sz w:val="22"/>
                <w:szCs w:val="22"/>
              </w:rPr>
              <w:t>(95% CI)</w:t>
            </w:r>
          </w:p>
        </w:tc>
      </w:tr>
      <w:tr w:rsidR="00CE06B9" w:rsidRPr="00F526C7" w:rsidTr="00CA5080">
        <w:trPr>
          <w:gridAfter w:val="1"/>
          <w:wAfter w:w="180" w:type="dxa"/>
          <w:trHeight w:val="255"/>
        </w:trPr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rPr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>Overall</w:t>
            </w:r>
            <w:r w:rsidRPr="00F526C7">
              <w:rPr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F526C7">
              <w:rPr>
                <w:bCs/>
                <w:color w:val="000000"/>
                <w:sz w:val="22"/>
                <w:szCs w:val="22"/>
                <w:vertAlign w:val="superscript"/>
              </w:rPr>
              <w:t>c,d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207.5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138.5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1.5 (1.3-1.8)</w:t>
            </w:r>
          </w:p>
        </w:tc>
        <w:tc>
          <w:tcPr>
            <w:tcW w:w="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193.2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140.4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1.4 (1.2-1.6)</w:t>
            </w:r>
          </w:p>
        </w:tc>
      </w:tr>
      <w:tr w:rsidR="00CE06B9" w:rsidRPr="00F526C7" w:rsidTr="00CA5080">
        <w:trPr>
          <w:gridAfter w:val="1"/>
          <w:wAfter w:w="180" w:type="dxa"/>
          <w:trHeight w:val="25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ind w:firstLine="252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 w:rsidRPr="00F526C7">
              <w:rPr>
                <w:color w:val="000000"/>
                <w:sz w:val="22"/>
                <w:szCs w:val="22"/>
              </w:rPr>
              <w:t>Cardiac</w:t>
            </w:r>
            <w:r w:rsidRPr="00F526C7">
              <w:rPr>
                <w:bCs/>
                <w:color w:val="000000"/>
                <w:sz w:val="22"/>
                <w:szCs w:val="22"/>
                <w:vertAlign w:val="superscript"/>
              </w:rPr>
              <w:t>d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59.7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37.4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1.6 (1.2-2.2)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67.0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43.4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1.5 (1.2-2.0)</w:t>
            </w:r>
          </w:p>
        </w:tc>
      </w:tr>
      <w:tr w:rsidR="00CE06B9" w:rsidRPr="00F526C7" w:rsidTr="00CA5080">
        <w:trPr>
          <w:gridAfter w:val="1"/>
          <w:wAfter w:w="180" w:type="dxa"/>
          <w:trHeight w:val="25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ind w:firstLine="252"/>
              <w:contextualSpacing/>
              <w:rPr>
                <w:bCs/>
                <w:i/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>Conotruncal/Aortic Arch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10.8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6.6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1.6 (0.8-3.3)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14.3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6.6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2.2 (1.2-3.8)</w:t>
            </w:r>
          </w:p>
        </w:tc>
      </w:tr>
      <w:tr w:rsidR="00CE06B9" w:rsidRPr="00F526C7" w:rsidTr="00CA5080">
        <w:trPr>
          <w:gridAfter w:val="1"/>
          <w:wAfter w:w="180" w:type="dxa"/>
          <w:trHeight w:val="25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E50D4D">
            <w:pPr>
              <w:spacing w:line="480" w:lineRule="auto"/>
              <w:ind w:firstLine="612"/>
              <w:contextualSpacing/>
              <w:rPr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>Tetralogy of Fallot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8.1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2.7 (1.2-6.2)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2.8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3.8 (1.9-7.6)</w:t>
            </w:r>
          </w:p>
        </w:tc>
      </w:tr>
      <w:tr w:rsidR="00CE06B9" w:rsidRPr="00F526C7" w:rsidTr="00CA5080">
        <w:trPr>
          <w:gridAfter w:val="1"/>
          <w:wAfter w:w="180" w:type="dxa"/>
          <w:trHeight w:val="25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ind w:firstLine="252"/>
              <w:contextualSpacing/>
              <w:rPr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Left-sided obstruction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7.7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1.1 (0.5-2.2)</w:t>
            </w:r>
          </w:p>
        </w:tc>
      </w:tr>
      <w:tr w:rsidR="00CE06B9" w:rsidRPr="00F526C7" w:rsidTr="00CA5080">
        <w:trPr>
          <w:gridAfter w:val="1"/>
          <w:wAfter w:w="180" w:type="dxa"/>
          <w:trHeight w:val="25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ind w:firstLine="252"/>
              <w:contextualSpacing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>Right-sided obstruction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8.1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6.6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>1.2 (0.6-2.8)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8.0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1.3 (0.7-2.5)</w:t>
            </w:r>
          </w:p>
        </w:tc>
      </w:tr>
      <w:tr w:rsidR="00CE06B9" w:rsidRPr="00F526C7" w:rsidTr="00CA5080">
        <w:trPr>
          <w:gridAfter w:val="1"/>
          <w:wAfter w:w="180" w:type="dxa"/>
          <w:trHeight w:val="25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E50D4D">
            <w:pPr>
              <w:spacing w:line="480" w:lineRule="auto"/>
              <w:ind w:firstLine="612"/>
              <w:contextualSpacing/>
              <w:rPr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>Pulmonary valve stenosis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6.8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5.3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>1.3 (0.5-3.1)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>9.6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6.6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1.5 (0.8-2.8)</w:t>
            </w:r>
          </w:p>
        </w:tc>
      </w:tr>
      <w:tr w:rsidR="00CE06B9" w:rsidRPr="00F526C7" w:rsidTr="00CA5080">
        <w:trPr>
          <w:gridAfter w:val="1"/>
          <w:wAfter w:w="180" w:type="dxa"/>
          <w:trHeight w:val="25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ind w:firstLine="252"/>
              <w:contextualSpacing/>
              <w:rPr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>Septal heart defects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36.6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>1.8 (1.2-2.7)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>35.4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22.6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1.6 (1.1-2.2)</w:t>
            </w:r>
          </w:p>
        </w:tc>
      </w:tr>
      <w:tr w:rsidR="00CE06B9" w:rsidRPr="00F526C7" w:rsidTr="00CA5080">
        <w:trPr>
          <w:gridAfter w:val="1"/>
          <w:wAfter w:w="180" w:type="dxa"/>
          <w:trHeight w:val="25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E50D4D">
            <w:pPr>
              <w:spacing w:line="480" w:lineRule="auto"/>
              <w:ind w:firstLine="612"/>
              <w:contextualSpacing/>
              <w:rPr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 xml:space="preserve">Atrial </w:t>
            </w:r>
            <w:proofErr w:type="spellStart"/>
            <w:r w:rsidRPr="00F526C7">
              <w:rPr>
                <w:color w:val="000000"/>
                <w:sz w:val="22"/>
                <w:szCs w:val="22"/>
              </w:rPr>
              <w:t>septal</w:t>
            </w:r>
            <w:proofErr w:type="spellEnd"/>
            <w:r w:rsidRPr="00F526C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26C7">
              <w:rPr>
                <w:color w:val="000000"/>
                <w:sz w:val="22"/>
                <w:szCs w:val="22"/>
              </w:rPr>
              <w:t>defect</w:t>
            </w:r>
            <w:r w:rsidRPr="00F526C7">
              <w:rPr>
                <w:color w:val="000000"/>
                <w:sz w:val="22"/>
                <w:szCs w:val="22"/>
                <w:vertAlign w:val="superscript"/>
              </w:rPr>
              <w:t>e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21.7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13.6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>1.6 (1.0-2.6)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>25.8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15.6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1.7 (1.1-2.5)</w:t>
            </w:r>
          </w:p>
        </w:tc>
      </w:tr>
      <w:tr w:rsidR="00CE06B9" w:rsidRPr="00F526C7" w:rsidTr="00CA5080">
        <w:trPr>
          <w:gridAfter w:val="1"/>
          <w:wAfter w:w="180" w:type="dxa"/>
          <w:trHeight w:val="25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E50D4D">
            <w:pPr>
              <w:spacing w:line="480" w:lineRule="auto"/>
              <w:ind w:firstLine="612"/>
              <w:contextualSpacing/>
              <w:rPr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 xml:space="preserve">Ventricular </w:t>
            </w:r>
            <w:proofErr w:type="spellStart"/>
            <w:r w:rsidRPr="00F526C7">
              <w:rPr>
                <w:color w:val="000000"/>
                <w:sz w:val="22"/>
                <w:szCs w:val="22"/>
              </w:rPr>
              <w:t>septal</w:t>
            </w:r>
            <w:proofErr w:type="spellEnd"/>
            <w:r w:rsidRPr="00F526C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26C7">
              <w:rPr>
                <w:color w:val="000000"/>
                <w:sz w:val="22"/>
                <w:szCs w:val="22"/>
              </w:rPr>
              <w:t>defect</w:t>
            </w:r>
            <w:r w:rsidRPr="00F526C7">
              <w:rPr>
                <w:color w:val="000000"/>
                <w:sz w:val="22"/>
                <w:szCs w:val="22"/>
                <w:vertAlign w:val="superscript"/>
              </w:rPr>
              <w:t>r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16.3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7.9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>2.1 (1.2-3.7)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>13.4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8.5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1.6 (0.9-2.8)</w:t>
            </w:r>
          </w:p>
        </w:tc>
      </w:tr>
      <w:tr w:rsidR="00CE06B9" w:rsidRPr="00F526C7" w:rsidTr="00CA5080">
        <w:trPr>
          <w:gridAfter w:val="1"/>
          <w:wAfter w:w="180" w:type="dxa"/>
          <w:trHeight w:val="25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rPr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>Non-cardiac Defect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161.4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109.9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>1.5 (1.2-1.8)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>134.9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106.0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1.3 (1.1-1.5)</w:t>
            </w:r>
          </w:p>
        </w:tc>
      </w:tr>
      <w:tr w:rsidR="00CE06B9" w:rsidRPr="00F526C7" w:rsidTr="00CA5080">
        <w:trPr>
          <w:gridAfter w:val="1"/>
          <w:wAfter w:w="180" w:type="dxa"/>
          <w:trHeight w:val="25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ind w:firstLine="252"/>
              <w:contextualSpacing/>
              <w:rPr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lastRenderedPageBreak/>
              <w:t>Central nervous system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12.2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12.4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>1.0 (0.5-1.9)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>10.5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1.0 (0.5-1.9)</w:t>
            </w:r>
          </w:p>
        </w:tc>
      </w:tr>
      <w:tr w:rsidR="00CE06B9" w:rsidRPr="00F526C7" w:rsidTr="00CA5080">
        <w:trPr>
          <w:gridAfter w:val="1"/>
          <w:wAfter w:w="180" w:type="dxa"/>
          <w:trHeight w:val="25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ind w:firstLine="252"/>
              <w:contextualSpacing/>
              <w:rPr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>Respiratory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>6.7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2.0 (0.9-4.6)</w:t>
            </w:r>
          </w:p>
        </w:tc>
      </w:tr>
      <w:tr w:rsidR="00CE06B9" w:rsidRPr="00F526C7" w:rsidTr="00CA5080">
        <w:trPr>
          <w:gridAfter w:val="1"/>
          <w:wAfter w:w="180" w:type="dxa"/>
          <w:trHeight w:val="25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ind w:firstLine="252"/>
              <w:contextualSpacing/>
              <w:rPr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>Orofacial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16.3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15.7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>1.0 (0.6-1.8)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>18.2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15.8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1.2 (0.7-1.8)</w:t>
            </w:r>
          </w:p>
        </w:tc>
      </w:tr>
      <w:tr w:rsidR="00CE06B9" w:rsidRPr="00F526C7" w:rsidTr="00CA5080">
        <w:trPr>
          <w:gridAfter w:val="1"/>
          <w:wAfter w:w="180" w:type="dxa"/>
          <w:trHeight w:val="25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E50D4D">
            <w:pPr>
              <w:spacing w:line="480" w:lineRule="auto"/>
              <w:ind w:left="612"/>
              <w:contextualSpacing/>
              <w:rPr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>Cleft Lip with/without cleft palate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8.1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>1.2 (0.5-2.6)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>11.5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6.8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1.7 (0.9-3.1)</w:t>
            </w:r>
          </w:p>
        </w:tc>
      </w:tr>
      <w:tr w:rsidR="00CE06B9" w:rsidRPr="00F526C7" w:rsidTr="00CA5080">
        <w:trPr>
          <w:gridAfter w:val="1"/>
          <w:wAfter w:w="180" w:type="dxa"/>
          <w:trHeight w:val="25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ind w:firstLine="252"/>
              <w:contextualSpacing/>
              <w:rPr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Gastrointestinal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24.4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14.2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>1.7 (1.1-2.8)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>18.2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13.8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1.3 (0.8-2.1)</w:t>
            </w:r>
          </w:p>
        </w:tc>
      </w:tr>
      <w:tr w:rsidR="00CE06B9" w:rsidRPr="00F526C7" w:rsidTr="00CA5080">
        <w:trPr>
          <w:gridAfter w:val="1"/>
          <w:wAfter w:w="180" w:type="dxa"/>
          <w:trHeight w:val="25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ind w:firstLine="252"/>
              <w:contextualSpacing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Genitourinary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47.5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31.6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>1.5 (1.1-2.1)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>46.9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38.0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1.2 (0.9-1.7)</w:t>
            </w:r>
          </w:p>
        </w:tc>
      </w:tr>
      <w:tr w:rsidR="00CE06B9" w:rsidRPr="00F526C7" w:rsidTr="00CA5080">
        <w:trPr>
          <w:gridAfter w:val="1"/>
          <w:wAfter w:w="180" w:type="dxa"/>
          <w:trHeight w:val="25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E50D4D">
            <w:pPr>
              <w:spacing w:line="480" w:lineRule="auto"/>
              <w:ind w:left="612"/>
              <w:contextualSpacing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 xml:space="preserve">Hypospadias, 2nd or 3rd </w:t>
            </w:r>
            <w:proofErr w:type="spellStart"/>
            <w:r w:rsidRPr="00F526C7">
              <w:rPr>
                <w:color w:val="000000"/>
                <w:sz w:val="22"/>
                <w:szCs w:val="22"/>
              </w:rPr>
              <w:t>degree</w:t>
            </w:r>
            <w:r w:rsidRPr="00F526C7">
              <w:rPr>
                <w:color w:val="000000"/>
                <w:sz w:val="22"/>
                <w:szCs w:val="22"/>
                <w:vertAlign w:val="superscript"/>
              </w:rPr>
              <w:t>g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47.1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22.8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>2.0 (1.2-3.2)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>49.6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27.8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1.7 (1.1-2.5)</w:t>
            </w:r>
          </w:p>
        </w:tc>
      </w:tr>
      <w:tr w:rsidR="00CE06B9" w:rsidRPr="00F526C7" w:rsidTr="00CA5080">
        <w:trPr>
          <w:gridAfter w:val="1"/>
          <w:wAfter w:w="180" w:type="dxa"/>
          <w:trHeight w:val="25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E50D4D">
            <w:pPr>
              <w:spacing w:line="480" w:lineRule="auto"/>
              <w:ind w:left="612"/>
              <w:contextualSpacing/>
              <w:rPr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>Obstructive genitourinary defect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14.9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12.0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>1.2 (0.7-2.3)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>16.3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12.4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1.3 (0.8-2.2)</w:t>
            </w:r>
          </w:p>
        </w:tc>
      </w:tr>
      <w:tr w:rsidR="00CE06B9" w:rsidRPr="00F526C7" w:rsidTr="00CA5080">
        <w:trPr>
          <w:gridAfter w:val="1"/>
          <w:wAfter w:w="180" w:type="dxa"/>
          <w:trHeight w:val="25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ind w:firstLine="252"/>
              <w:contextualSpacing/>
              <w:rPr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Musculoskeletal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62.4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42.7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>1.5 (1.1-2.0)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>48.8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34.9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1.4 (1.0-1.9)</w:t>
            </w:r>
          </w:p>
        </w:tc>
      </w:tr>
      <w:tr w:rsidR="00CE06B9" w:rsidRPr="00F526C7" w:rsidTr="00CA5080">
        <w:trPr>
          <w:gridAfter w:val="1"/>
          <w:wAfter w:w="180" w:type="dxa"/>
          <w:trHeight w:val="25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E50D4D">
            <w:pPr>
              <w:spacing w:line="480" w:lineRule="auto"/>
              <w:ind w:firstLine="612"/>
              <w:contextualSpacing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Club foot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16.3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12.2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>1.3 (0.8-2.4)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>12.4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8.7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1.4(0.8-2.6)</w:t>
            </w:r>
          </w:p>
        </w:tc>
      </w:tr>
      <w:tr w:rsidR="00CE06B9" w:rsidRPr="00F526C7" w:rsidTr="00CA5080">
        <w:trPr>
          <w:gridAfter w:val="1"/>
          <w:wAfter w:w="180" w:type="dxa"/>
          <w:trHeight w:val="25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E50D4D">
            <w:pPr>
              <w:spacing w:line="480" w:lineRule="auto"/>
              <w:ind w:firstLine="612"/>
              <w:contextualSpacing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Craniosynostosis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10.8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3.7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>2.9 (1.4-5.9)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>5.7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4.7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1.2 (0.5-2.8)</w:t>
            </w:r>
          </w:p>
        </w:tc>
      </w:tr>
      <w:tr w:rsidR="00CE06B9" w:rsidRPr="00F526C7" w:rsidTr="00CA5080">
        <w:trPr>
          <w:gridAfter w:val="1"/>
          <w:wAfter w:w="180" w:type="dxa"/>
          <w:trHeight w:val="25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E50D4D">
            <w:pPr>
              <w:spacing w:line="480" w:lineRule="auto"/>
              <w:ind w:firstLine="612"/>
              <w:contextualSpacing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>Polydactyly/Syndactyly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19.0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13.2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>1.4 (0.8-2.4)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526C7">
              <w:rPr>
                <w:color w:val="000000"/>
                <w:sz w:val="22"/>
                <w:szCs w:val="22"/>
              </w:rPr>
              <w:t>10.5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11.4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B9" w:rsidRPr="00F526C7" w:rsidRDefault="00CE06B9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F526C7">
              <w:rPr>
                <w:bCs/>
                <w:color w:val="000000"/>
                <w:sz w:val="22"/>
                <w:szCs w:val="22"/>
              </w:rPr>
              <w:t>0.9 (0.5-1.7)</w:t>
            </w:r>
          </w:p>
        </w:tc>
      </w:tr>
    </w:tbl>
    <w:p w:rsidR="00CE06B9" w:rsidRPr="00F526C7" w:rsidRDefault="00CE06B9" w:rsidP="00CE06B9">
      <w:pPr>
        <w:pBdr>
          <w:top w:val="single" w:sz="4" w:space="1" w:color="auto"/>
        </w:pBdr>
        <w:spacing w:line="480" w:lineRule="auto"/>
        <w:ind w:firstLine="90"/>
        <w:contextualSpacing/>
        <w:rPr>
          <w:bCs/>
          <w:color w:val="000000"/>
          <w:sz w:val="22"/>
          <w:szCs w:val="22"/>
        </w:rPr>
      </w:pPr>
      <w:r w:rsidRPr="00F526C7">
        <w:rPr>
          <w:bCs/>
          <w:color w:val="000000"/>
          <w:sz w:val="22"/>
          <w:szCs w:val="22"/>
        </w:rPr>
        <w:t>95% CI: 95% confidence interval. Prevalence rates reported per 10,000 live births. Prevalence estimates not calculated for case counts less than 6.</w:t>
      </w:r>
    </w:p>
    <w:p w:rsidR="00CE06B9" w:rsidRPr="00F526C7" w:rsidRDefault="00CE06B9" w:rsidP="00CE06B9">
      <w:pPr>
        <w:spacing w:line="480" w:lineRule="auto"/>
        <w:ind w:left="72"/>
        <w:contextualSpacing/>
        <w:rPr>
          <w:bCs/>
          <w:color w:val="000000"/>
          <w:sz w:val="22"/>
          <w:szCs w:val="22"/>
          <w:vertAlign w:val="superscript"/>
        </w:rPr>
      </w:pPr>
      <w:proofErr w:type="spellStart"/>
      <w:proofErr w:type="gramStart"/>
      <w:r w:rsidRPr="00F526C7">
        <w:rPr>
          <w:bCs/>
          <w:color w:val="000000"/>
          <w:sz w:val="22"/>
          <w:szCs w:val="22"/>
          <w:vertAlign w:val="superscript"/>
        </w:rPr>
        <w:t>a</w:t>
      </w:r>
      <w:r w:rsidRPr="00F526C7">
        <w:rPr>
          <w:color w:val="000000"/>
          <w:sz w:val="22"/>
          <w:szCs w:val="22"/>
        </w:rPr>
        <w:t>Assisted</w:t>
      </w:r>
      <w:proofErr w:type="spellEnd"/>
      <w:proofErr w:type="gramEnd"/>
      <w:r w:rsidRPr="00F526C7">
        <w:rPr>
          <w:color w:val="000000"/>
          <w:sz w:val="22"/>
          <w:szCs w:val="22"/>
        </w:rPr>
        <w:t xml:space="preserve"> reproductive technology.</w:t>
      </w:r>
    </w:p>
    <w:p w:rsidR="00CE06B9" w:rsidRPr="00F526C7" w:rsidRDefault="00CE06B9" w:rsidP="00CE06B9">
      <w:pPr>
        <w:spacing w:line="480" w:lineRule="auto"/>
        <w:ind w:left="72"/>
        <w:contextualSpacing/>
        <w:rPr>
          <w:bCs/>
          <w:color w:val="000000"/>
          <w:sz w:val="22"/>
          <w:szCs w:val="22"/>
        </w:rPr>
      </w:pPr>
      <w:proofErr w:type="spellStart"/>
      <w:proofErr w:type="gramStart"/>
      <w:r w:rsidRPr="00F526C7">
        <w:rPr>
          <w:bCs/>
          <w:color w:val="000000"/>
          <w:sz w:val="22"/>
          <w:szCs w:val="22"/>
          <w:vertAlign w:val="superscript"/>
        </w:rPr>
        <w:t>b</w:t>
      </w:r>
      <w:r w:rsidRPr="00F526C7">
        <w:rPr>
          <w:bCs/>
          <w:color w:val="000000"/>
          <w:sz w:val="22"/>
          <w:szCs w:val="22"/>
        </w:rPr>
        <w:t>Fertile</w:t>
      </w:r>
      <w:proofErr w:type="spellEnd"/>
      <w:proofErr w:type="gramEnd"/>
      <w:r w:rsidRPr="00F526C7">
        <w:rPr>
          <w:bCs/>
          <w:color w:val="000000"/>
          <w:sz w:val="22"/>
          <w:szCs w:val="22"/>
        </w:rPr>
        <w:t xml:space="preserve"> group is referent.</w:t>
      </w:r>
    </w:p>
    <w:p w:rsidR="00CE06B9" w:rsidRPr="00F526C7" w:rsidRDefault="00CE06B9" w:rsidP="00CE06B9">
      <w:pPr>
        <w:spacing w:line="480" w:lineRule="auto"/>
        <w:ind w:left="72"/>
        <w:contextualSpacing/>
        <w:rPr>
          <w:bCs/>
          <w:color w:val="000000"/>
          <w:sz w:val="22"/>
          <w:szCs w:val="22"/>
        </w:rPr>
      </w:pPr>
      <w:proofErr w:type="spellStart"/>
      <w:proofErr w:type="gramStart"/>
      <w:r w:rsidRPr="00F526C7">
        <w:rPr>
          <w:bCs/>
          <w:color w:val="000000"/>
          <w:sz w:val="22"/>
          <w:szCs w:val="22"/>
          <w:vertAlign w:val="superscript"/>
        </w:rPr>
        <w:lastRenderedPageBreak/>
        <w:t>c</w:t>
      </w:r>
      <w:r w:rsidRPr="00F526C7">
        <w:rPr>
          <w:bCs/>
          <w:color w:val="000000"/>
          <w:sz w:val="22"/>
          <w:szCs w:val="22"/>
        </w:rPr>
        <w:t>Any</w:t>
      </w:r>
      <w:proofErr w:type="spellEnd"/>
      <w:proofErr w:type="gramEnd"/>
      <w:r w:rsidRPr="00F526C7">
        <w:rPr>
          <w:bCs/>
          <w:color w:val="000000"/>
          <w:sz w:val="22"/>
          <w:szCs w:val="22"/>
        </w:rPr>
        <w:t xml:space="preserve"> defect collected as part of surveillance by the Massachusetts Birth Defects Monitoring Program as described in Supplemental Table 1. </w:t>
      </w:r>
      <w:proofErr w:type="gramStart"/>
      <w:r w:rsidRPr="00F526C7">
        <w:rPr>
          <w:bCs/>
          <w:color w:val="000000"/>
          <w:sz w:val="22"/>
          <w:szCs w:val="22"/>
        </w:rPr>
        <w:t>Excludes cases with a Mendelian gene syndrome or chromosomal defect.</w:t>
      </w:r>
      <w:proofErr w:type="gramEnd"/>
      <w:r w:rsidRPr="00F526C7">
        <w:rPr>
          <w:bCs/>
          <w:color w:val="000000"/>
          <w:sz w:val="22"/>
          <w:szCs w:val="22"/>
        </w:rPr>
        <w:t xml:space="preserve"> </w:t>
      </w:r>
    </w:p>
    <w:p w:rsidR="00CE06B9" w:rsidRPr="00F526C7" w:rsidRDefault="00CE06B9" w:rsidP="00CE06B9">
      <w:pPr>
        <w:spacing w:line="480" w:lineRule="auto"/>
        <w:ind w:left="72"/>
        <w:contextualSpacing/>
        <w:rPr>
          <w:bCs/>
          <w:color w:val="000000"/>
          <w:sz w:val="22"/>
          <w:szCs w:val="22"/>
        </w:rPr>
      </w:pPr>
      <w:proofErr w:type="spellStart"/>
      <w:proofErr w:type="gramStart"/>
      <w:r w:rsidRPr="00F526C7">
        <w:rPr>
          <w:bCs/>
          <w:color w:val="000000"/>
          <w:sz w:val="22"/>
          <w:szCs w:val="22"/>
          <w:vertAlign w:val="superscript"/>
        </w:rPr>
        <w:t>d</w:t>
      </w:r>
      <w:r w:rsidRPr="00F526C7">
        <w:rPr>
          <w:bCs/>
          <w:color w:val="000000"/>
          <w:sz w:val="22"/>
          <w:szCs w:val="22"/>
        </w:rPr>
        <w:t>Excludes</w:t>
      </w:r>
      <w:proofErr w:type="spellEnd"/>
      <w:proofErr w:type="gramEnd"/>
      <w:r w:rsidRPr="00F526C7">
        <w:rPr>
          <w:bCs/>
          <w:color w:val="000000"/>
          <w:sz w:val="22"/>
          <w:szCs w:val="22"/>
        </w:rPr>
        <w:t xml:space="preserve"> patent </w:t>
      </w:r>
      <w:proofErr w:type="spellStart"/>
      <w:r w:rsidRPr="00F526C7">
        <w:rPr>
          <w:bCs/>
          <w:color w:val="000000"/>
          <w:sz w:val="22"/>
          <w:szCs w:val="22"/>
        </w:rPr>
        <w:t>ductus</w:t>
      </w:r>
      <w:proofErr w:type="spellEnd"/>
      <w:r w:rsidRPr="00F526C7">
        <w:rPr>
          <w:bCs/>
          <w:color w:val="000000"/>
          <w:sz w:val="22"/>
          <w:szCs w:val="22"/>
        </w:rPr>
        <w:t xml:space="preserve"> </w:t>
      </w:r>
      <w:proofErr w:type="spellStart"/>
      <w:r w:rsidRPr="00F526C7">
        <w:rPr>
          <w:bCs/>
          <w:color w:val="000000"/>
          <w:sz w:val="22"/>
          <w:szCs w:val="22"/>
        </w:rPr>
        <w:t>arteriosus</w:t>
      </w:r>
      <w:proofErr w:type="spellEnd"/>
      <w:r w:rsidRPr="00F526C7">
        <w:rPr>
          <w:bCs/>
          <w:color w:val="000000"/>
          <w:sz w:val="22"/>
          <w:szCs w:val="22"/>
        </w:rPr>
        <w:t>.</w:t>
      </w:r>
    </w:p>
    <w:p w:rsidR="00CE06B9" w:rsidRPr="00F526C7" w:rsidRDefault="00CE06B9" w:rsidP="00CE06B9">
      <w:pPr>
        <w:spacing w:line="480" w:lineRule="auto"/>
        <w:ind w:left="72"/>
        <w:contextualSpacing/>
        <w:rPr>
          <w:bCs/>
          <w:color w:val="000000"/>
          <w:sz w:val="22"/>
          <w:szCs w:val="22"/>
          <w:vertAlign w:val="superscript"/>
        </w:rPr>
      </w:pPr>
      <w:proofErr w:type="spellStart"/>
      <w:proofErr w:type="gramStart"/>
      <w:r w:rsidRPr="00F526C7">
        <w:rPr>
          <w:bCs/>
          <w:color w:val="000000"/>
          <w:sz w:val="22"/>
          <w:szCs w:val="22"/>
          <w:vertAlign w:val="superscript"/>
        </w:rPr>
        <w:t>e</w:t>
      </w:r>
      <w:r w:rsidRPr="00F526C7">
        <w:rPr>
          <w:bCs/>
          <w:color w:val="000000"/>
          <w:sz w:val="22"/>
          <w:szCs w:val="22"/>
        </w:rPr>
        <w:t>Does</w:t>
      </w:r>
      <w:proofErr w:type="spellEnd"/>
      <w:proofErr w:type="gramEnd"/>
      <w:r w:rsidRPr="00F526C7">
        <w:rPr>
          <w:bCs/>
          <w:color w:val="000000"/>
          <w:sz w:val="22"/>
          <w:szCs w:val="22"/>
        </w:rPr>
        <w:t xml:space="preserve"> not include </w:t>
      </w:r>
      <w:proofErr w:type="spellStart"/>
      <w:r w:rsidRPr="00F526C7">
        <w:rPr>
          <w:bCs/>
          <w:color w:val="000000"/>
          <w:sz w:val="22"/>
          <w:szCs w:val="22"/>
        </w:rPr>
        <w:t>primum</w:t>
      </w:r>
      <w:proofErr w:type="spellEnd"/>
      <w:r w:rsidRPr="00F526C7">
        <w:rPr>
          <w:bCs/>
          <w:color w:val="000000"/>
          <w:sz w:val="22"/>
          <w:szCs w:val="22"/>
        </w:rPr>
        <w:t xml:space="preserve"> type.</w:t>
      </w:r>
    </w:p>
    <w:p w:rsidR="00CE06B9" w:rsidRPr="00F526C7" w:rsidRDefault="00CE06B9" w:rsidP="00CE06B9">
      <w:pPr>
        <w:spacing w:line="480" w:lineRule="auto"/>
        <w:ind w:left="72"/>
        <w:contextualSpacing/>
        <w:rPr>
          <w:bCs/>
          <w:color w:val="000000"/>
          <w:sz w:val="22"/>
          <w:szCs w:val="22"/>
        </w:rPr>
      </w:pPr>
      <w:proofErr w:type="gramStart"/>
      <w:r w:rsidRPr="00F526C7">
        <w:rPr>
          <w:bCs/>
          <w:color w:val="000000"/>
          <w:sz w:val="22"/>
          <w:szCs w:val="22"/>
          <w:vertAlign w:val="superscript"/>
        </w:rPr>
        <w:t>f</w:t>
      </w:r>
      <w:proofErr w:type="gramEnd"/>
      <w:r w:rsidRPr="00F526C7">
        <w:rPr>
          <w:bCs/>
          <w:color w:val="000000"/>
          <w:sz w:val="22"/>
          <w:szCs w:val="22"/>
          <w:vertAlign w:val="superscript"/>
        </w:rPr>
        <w:t xml:space="preserve"> </w:t>
      </w:r>
      <w:r w:rsidRPr="00F526C7">
        <w:rPr>
          <w:bCs/>
          <w:color w:val="000000"/>
          <w:sz w:val="22"/>
          <w:szCs w:val="22"/>
        </w:rPr>
        <w:t>Does not include canal type or isolated muscular type.</w:t>
      </w:r>
    </w:p>
    <w:p w:rsidR="00CE06B9" w:rsidRDefault="00CE06B9" w:rsidP="00CE06B9">
      <w:pPr>
        <w:spacing w:line="480" w:lineRule="auto"/>
        <w:ind w:firstLine="90"/>
        <w:contextualSpacing/>
        <w:rPr>
          <w:rFonts w:eastAsia="Calibri"/>
          <w:sz w:val="22"/>
          <w:szCs w:val="22"/>
        </w:rPr>
      </w:pPr>
      <w:proofErr w:type="spellStart"/>
      <w:proofErr w:type="gramStart"/>
      <w:r w:rsidRPr="00F526C7">
        <w:rPr>
          <w:bCs/>
          <w:color w:val="000000"/>
          <w:sz w:val="22"/>
          <w:szCs w:val="22"/>
          <w:vertAlign w:val="superscript"/>
        </w:rPr>
        <w:t>g</w:t>
      </w:r>
      <w:r w:rsidRPr="00F526C7">
        <w:rPr>
          <w:color w:val="000000"/>
          <w:sz w:val="22"/>
          <w:szCs w:val="22"/>
        </w:rPr>
        <w:t>Prevalence</w:t>
      </w:r>
      <w:proofErr w:type="spellEnd"/>
      <w:proofErr w:type="gramEnd"/>
      <w:r w:rsidRPr="00F526C7">
        <w:rPr>
          <w:color w:val="000000"/>
          <w:sz w:val="22"/>
          <w:szCs w:val="22"/>
        </w:rPr>
        <w:t xml:space="preserve"> per 10,000 male live births.</w:t>
      </w:r>
      <w:bookmarkStart w:id="0" w:name="_GoBack"/>
      <w:bookmarkEnd w:id="0"/>
      <w:r>
        <w:rPr>
          <w:color w:val="000000"/>
          <w:sz w:val="22"/>
          <w:szCs w:val="22"/>
        </w:rPr>
        <w:t xml:space="preserve"> </w:t>
      </w:r>
    </w:p>
    <w:p w:rsidR="00842CDD" w:rsidRDefault="00842CDD"/>
    <w:sectPr w:rsidR="00842CDD" w:rsidSect="00CE06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B9"/>
    <w:rsid w:val="00060C3D"/>
    <w:rsid w:val="00811DBA"/>
    <w:rsid w:val="00842CDD"/>
    <w:rsid w:val="00BE115C"/>
    <w:rsid w:val="00BF0326"/>
    <w:rsid w:val="00CE06B9"/>
    <w:rsid w:val="00E41599"/>
    <w:rsid w:val="00E50D4D"/>
    <w:rsid w:val="00F526C7"/>
    <w:rsid w:val="00F9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6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6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Liberman, Rebecca (DPH)</dc:creator>
  <cp:lastModifiedBy>wileyjeo</cp:lastModifiedBy>
  <cp:revision>2</cp:revision>
  <dcterms:created xsi:type="dcterms:W3CDTF">2017-04-19T08:04:00Z</dcterms:created>
  <dcterms:modified xsi:type="dcterms:W3CDTF">2017-04-19T08:04:00Z</dcterms:modified>
</cp:coreProperties>
</file>