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06" w:rsidRPr="00161461" w:rsidRDefault="00A23506" w:rsidP="00A23506">
      <w:pPr>
        <w:spacing w:line="480" w:lineRule="auto"/>
        <w:rPr>
          <w:b/>
        </w:rPr>
      </w:pPr>
      <w:r w:rsidRPr="00161461">
        <w:rPr>
          <w:b/>
        </w:rPr>
        <w:t>Supplementary Methods</w:t>
      </w:r>
    </w:p>
    <w:p w:rsidR="006107C5" w:rsidRPr="00161461" w:rsidRDefault="00A23506" w:rsidP="006107C5">
      <w:pPr>
        <w:spacing w:line="480" w:lineRule="auto"/>
      </w:pPr>
      <w:proofErr w:type="spellStart"/>
      <w:r w:rsidRPr="00161461">
        <w:t>NuvaRings</w:t>
      </w:r>
      <w:proofErr w:type="spellEnd"/>
      <w:r w:rsidRPr="00161461">
        <w:t xml:space="preserve">® collected from participants </w:t>
      </w:r>
      <w:r w:rsidR="005A66F7" w:rsidRPr="00161461">
        <w:t xml:space="preserve">in both studies </w:t>
      </w:r>
      <w:r w:rsidR="00FB1C61" w:rsidRPr="00161461">
        <w:t xml:space="preserve">were </w:t>
      </w:r>
      <w:r w:rsidR="005A66F7" w:rsidRPr="00161461">
        <w:t xml:space="preserve">stored at -80°C, processed and analyzed in the same manner.  </w:t>
      </w:r>
      <w:r w:rsidR="00D1477A" w:rsidRPr="00161461">
        <w:t xml:space="preserve">Prior to analysis of </w:t>
      </w:r>
      <w:proofErr w:type="spellStart"/>
      <w:r w:rsidR="00D1477A" w:rsidRPr="00161461">
        <w:t>NuvaRings</w:t>
      </w:r>
      <w:proofErr w:type="spellEnd"/>
      <w:r w:rsidR="00D1477A" w:rsidRPr="00161461">
        <w:t xml:space="preserve">® from study participants, the following method was performed on 6 unused </w:t>
      </w:r>
      <w:proofErr w:type="spellStart"/>
      <w:r w:rsidR="00D1477A" w:rsidRPr="00161461">
        <w:t>NuvaRings</w:t>
      </w:r>
      <w:proofErr w:type="spellEnd"/>
      <w:r w:rsidR="00D1477A" w:rsidRPr="00161461">
        <w:t xml:space="preserve">® providing </w:t>
      </w:r>
      <w:proofErr w:type="spellStart"/>
      <w:r w:rsidR="00D1477A" w:rsidRPr="00161461">
        <w:t>etonogestrel</w:t>
      </w:r>
      <w:proofErr w:type="spellEnd"/>
      <w:r w:rsidR="00D1477A" w:rsidRPr="00161461">
        <w:t xml:space="preserve"> </w:t>
      </w:r>
      <w:r w:rsidR="00364C60" w:rsidRPr="00161461">
        <w:t xml:space="preserve">(11.7 mg) </w:t>
      </w:r>
      <w:r w:rsidR="00D1477A" w:rsidRPr="00161461">
        <w:t xml:space="preserve">and </w:t>
      </w:r>
      <w:proofErr w:type="spellStart"/>
      <w:r w:rsidR="00D1477A" w:rsidRPr="00161461">
        <w:t>ethinyl</w:t>
      </w:r>
      <w:proofErr w:type="spellEnd"/>
      <w:r w:rsidR="00D1477A" w:rsidRPr="00161461">
        <w:t xml:space="preserve"> estradiol </w:t>
      </w:r>
      <w:r w:rsidR="00364C60" w:rsidRPr="00161461">
        <w:t xml:space="preserve">(2.7 mg) levels </w:t>
      </w:r>
      <w:r w:rsidR="00D1477A" w:rsidRPr="00161461">
        <w:t>con</w:t>
      </w:r>
      <w:bookmarkStart w:id="0" w:name="_GoBack"/>
      <w:bookmarkEnd w:id="0"/>
      <w:r w:rsidR="00D1477A" w:rsidRPr="00161461">
        <w:t xml:space="preserve">sistent with those provided in the product insert.  </w:t>
      </w:r>
      <w:proofErr w:type="spellStart"/>
      <w:r w:rsidR="005A66F7" w:rsidRPr="00161461">
        <w:t>NuvaRings</w:t>
      </w:r>
      <w:proofErr w:type="spellEnd"/>
      <w:r w:rsidR="005A66F7" w:rsidRPr="00161461">
        <w:t xml:space="preserve">® were </w:t>
      </w:r>
      <w:r w:rsidR="006B25A6" w:rsidRPr="00161461">
        <w:t xml:space="preserve">brought to </w:t>
      </w:r>
      <w:r w:rsidRPr="00161461">
        <w:t>room temperature</w:t>
      </w:r>
      <w:r w:rsidR="005B4B0B" w:rsidRPr="00161461">
        <w:t xml:space="preserve">, rinsed </w:t>
      </w:r>
      <w:r w:rsidRPr="00161461">
        <w:t>in deionized water, pat</w:t>
      </w:r>
      <w:r w:rsidR="006B25A6" w:rsidRPr="00161461">
        <w:t>ted</w:t>
      </w:r>
      <w:r w:rsidRPr="00161461">
        <w:t xml:space="preserve"> dry and weighed.  </w:t>
      </w:r>
      <w:r w:rsidR="006B25A6" w:rsidRPr="00161461">
        <w:t xml:space="preserve">They were then </w:t>
      </w:r>
      <w:r w:rsidRPr="00161461">
        <w:t xml:space="preserve">cut into </w:t>
      </w:r>
      <w:r w:rsidR="00937807" w:rsidRPr="00161461">
        <w:t xml:space="preserve">quadrants (1, 2, 3, </w:t>
      </w:r>
      <w:r w:rsidR="006B25A6" w:rsidRPr="00161461">
        <w:t xml:space="preserve">and </w:t>
      </w:r>
      <w:r w:rsidR="00937807" w:rsidRPr="00161461">
        <w:t xml:space="preserve">4) </w:t>
      </w:r>
      <w:r w:rsidR="006B25A6" w:rsidRPr="00161461">
        <w:t xml:space="preserve">and </w:t>
      </w:r>
      <w:r w:rsidR="003B48FE" w:rsidRPr="00161461">
        <w:t xml:space="preserve">each </w:t>
      </w:r>
      <w:r w:rsidR="005B4B0B" w:rsidRPr="00161461">
        <w:t>quadrant was</w:t>
      </w:r>
      <w:r w:rsidR="006B25A6" w:rsidRPr="00161461">
        <w:t xml:space="preserve"> </w:t>
      </w:r>
      <w:r w:rsidR="003B48FE" w:rsidRPr="00161461">
        <w:t xml:space="preserve">cut into 3 sections </w:t>
      </w:r>
      <w:r w:rsidR="00937807" w:rsidRPr="00161461">
        <w:t xml:space="preserve">(A, B, C) </w:t>
      </w:r>
      <w:r w:rsidR="006B25A6" w:rsidRPr="00161461">
        <w:t xml:space="preserve">which were </w:t>
      </w:r>
      <w:r w:rsidRPr="00161461">
        <w:t xml:space="preserve">weighed </w:t>
      </w:r>
      <w:r w:rsidR="00937807" w:rsidRPr="00161461">
        <w:t>individually</w:t>
      </w:r>
      <w:r w:rsidRPr="00161461">
        <w:t xml:space="preserve">.  </w:t>
      </w:r>
      <w:proofErr w:type="spellStart"/>
      <w:r w:rsidR="006B25A6" w:rsidRPr="00161461">
        <w:t>Etonogestrel</w:t>
      </w:r>
      <w:proofErr w:type="spellEnd"/>
      <w:r w:rsidR="006B25A6" w:rsidRPr="00161461">
        <w:t xml:space="preserve"> and </w:t>
      </w:r>
      <w:proofErr w:type="spellStart"/>
      <w:r w:rsidR="006B25A6" w:rsidRPr="00161461">
        <w:t>ethinyl</w:t>
      </w:r>
      <w:proofErr w:type="spellEnd"/>
      <w:r w:rsidR="006B25A6" w:rsidRPr="00161461">
        <w:t xml:space="preserve"> estradiol were extracted from t</w:t>
      </w:r>
      <w:r w:rsidRPr="00161461">
        <w:t xml:space="preserve">wo opposing sections </w:t>
      </w:r>
      <w:r w:rsidR="00937807" w:rsidRPr="00161461">
        <w:t>(</w:t>
      </w:r>
      <w:r w:rsidR="006B25A6" w:rsidRPr="00161461">
        <w:t>example,</w:t>
      </w:r>
      <w:r w:rsidR="00937807" w:rsidRPr="00161461">
        <w:t xml:space="preserve"> 1A and 3A) </w:t>
      </w:r>
      <w:r w:rsidR="006B25A6" w:rsidRPr="00161461">
        <w:t xml:space="preserve">by placing the sections in </w:t>
      </w:r>
      <w:r w:rsidR="005E2F7C" w:rsidRPr="00161461">
        <w:t xml:space="preserve">separate </w:t>
      </w:r>
      <w:r w:rsidR="003B48FE" w:rsidRPr="00161461">
        <w:t>scintillation vial</w:t>
      </w:r>
      <w:r w:rsidR="006B25A6" w:rsidRPr="00161461">
        <w:t>s</w:t>
      </w:r>
      <w:r w:rsidR="003B48FE" w:rsidRPr="00161461">
        <w:t xml:space="preserve"> containing 10 </w:t>
      </w:r>
      <w:r w:rsidRPr="00161461">
        <w:t>mL ethyl acetate and incubat</w:t>
      </w:r>
      <w:r w:rsidR="006B25A6" w:rsidRPr="00161461">
        <w:t>ing</w:t>
      </w:r>
      <w:r w:rsidRPr="00161461">
        <w:t xml:space="preserve"> </w:t>
      </w:r>
      <w:r w:rsidR="006B25A6" w:rsidRPr="00161461">
        <w:t xml:space="preserve">for </w:t>
      </w:r>
      <w:r w:rsidRPr="00161461">
        <w:t xml:space="preserve">48 hours </w:t>
      </w:r>
      <w:r w:rsidR="006B25A6" w:rsidRPr="00161461">
        <w:t>(</w:t>
      </w:r>
      <w:r w:rsidR="003B48FE" w:rsidRPr="00161461">
        <w:t>25</w:t>
      </w:r>
      <w:r w:rsidRPr="00161461">
        <w:t>°C</w:t>
      </w:r>
      <w:r w:rsidR="006B25A6" w:rsidRPr="00161461">
        <w:t>)</w:t>
      </w:r>
      <w:r w:rsidRPr="00161461">
        <w:t xml:space="preserve">.  </w:t>
      </w:r>
      <w:r w:rsidR="00B36301" w:rsidRPr="00161461">
        <w:t xml:space="preserve">Each ethyl acetate extraction was </w:t>
      </w:r>
      <w:r w:rsidR="00364C60" w:rsidRPr="00161461">
        <w:t xml:space="preserve">diluted 1:10 in phosphate buffered saline (PBS) and </w:t>
      </w:r>
      <w:r w:rsidRPr="00161461">
        <w:t xml:space="preserve">analyzed by high-performance liquid chromatography </w:t>
      </w:r>
      <w:r w:rsidR="00B36301" w:rsidRPr="00161461">
        <w:t>(</w:t>
      </w:r>
      <w:r w:rsidR="005C6EEC" w:rsidRPr="00161461">
        <w:t>Shimadzu Prominence HPLC</w:t>
      </w:r>
      <w:r w:rsidR="00B36301" w:rsidRPr="00161461">
        <w:t>,</w:t>
      </w:r>
      <w:r w:rsidR="005C6EEC" w:rsidRPr="00161461">
        <w:t xml:space="preserve"> </w:t>
      </w:r>
      <w:proofErr w:type="spellStart"/>
      <w:r w:rsidR="005C6EEC" w:rsidRPr="00161461">
        <w:t>Phenomenex</w:t>
      </w:r>
      <w:proofErr w:type="spellEnd"/>
      <w:r w:rsidR="005C6EEC" w:rsidRPr="00161461">
        <w:t xml:space="preserve"> Luna C18(2) 5µ 100A 250x3mm column</w:t>
      </w:r>
      <w:r w:rsidR="00B36301" w:rsidRPr="00161461">
        <w:t xml:space="preserve">) using a linear gradient solvent system of </w:t>
      </w:r>
      <w:r w:rsidR="00A26697" w:rsidRPr="00161461">
        <w:t xml:space="preserve">water + 0.1% </w:t>
      </w:r>
      <w:proofErr w:type="spellStart"/>
      <w:r w:rsidR="00A26697" w:rsidRPr="00161461">
        <w:t>trifluoracetic</w:t>
      </w:r>
      <w:proofErr w:type="spellEnd"/>
      <w:r w:rsidR="00A26697" w:rsidRPr="00161461">
        <w:t xml:space="preserve"> acid (A) and acetonitrile + 0.1% </w:t>
      </w:r>
      <w:proofErr w:type="spellStart"/>
      <w:r w:rsidR="00A26697" w:rsidRPr="00161461">
        <w:t>t</w:t>
      </w:r>
      <w:r w:rsidR="00B36301" w:rsidRPr="00161461">
        <w:t>rifluoracetic</w:t>
      </w:r>
      <w:proofErr w:type="spellEnd"/>
      <w:r w:rsidR="00B36301" w:rsidRPr="00161461">
        <w:t xml:space="preserve"> acid (B) at 0.5ml/min</w:t>
      </w:r>
      <w:r w:rsidR="0057420F" w:rsidRPr="00161461">
        <w:t xml:space="preserve"> flow </w:t>
      </w:r>
      <w:r w:rsidR="00B36301" w:rsidRPr="00161461">
        <w:t xml:space="preserve">rate.  </w:t>
      </w:r>
      <w:proofErr w:type="spellStart"/>
      <w:r w:rsidR="00937807" w:rsidRPr="00161461">
        <w:t>Etonogestrel</w:t>
      </w:r>
      <w:proofErr w:type="spellEnd"/>
      <w:r w:rsidR="00937807" w:rsidRPr="00161461">
        <w:t xml:space="preserve"> and </w:t>
      </w:r>
      <w:proofErr w:type="spellStart"/>
      <w:r w:rsidR="00937807" w:rsidRPr="00161461">
        <w:t>ethinyl</w:t>
      </w:r>
      <w:proofErr w:type="spellEnd"/>
      <w:r w:rsidR="00937807" w:rsidRPr="00161461">
        <w:t xml:space="preserve"> estradiol </w:t>
      </w:r>
      <w:r w:rsidR="00A26697" w:rsidRPr="00161461">
        <w:t xml:space="preserve">fractions </w:t>
      </w:r>
      <w:r w:rsidR="00937807" w:rsidRPr="00161461">
        <w:t>were</w:t>
      </w:r>
      <w:r w:rsidR="0057420F" w:rsidRPr="00161461">
        <w:t xml:space="preserve"> detected </w:t>
      </w:r>
      <w:r w:rsidR="00B36301" w:rsidRPr="00161461">
        <w:t xml:space="preserve">using </w:t>
      </w:r>
      <w:r w:rsidR="00937807" w:rsidRPr="00161461">
        <w:t xml:space="preserve">ultraviolet </w:t>
      </w:r>
      <w:r w:rsidR="0057420F" w:rsidRPr="00161461">
        <w:t xml:space="preserve">wavelengths </w:t>
      </w:r>
      <w:r w:rsidR="00B36301" w:rsidRPr="00161461">
        <w:t xml:space="preserve">at </w:t>
      </w:r>
      <w:r w:rsidR="0057420F" w:rsidRPr="00161461">
        <w:t>259nm and 280nm, respectively.</w:t>
      </w:r>
      <w:r w:rsidR="0071569C" w:rsidRPr="00161461">
        <w:t xml:space="preserve">  </w:t>
      </w:r>
      <w:r w:rsidR="005B4B0B" w:rsidRPr="00161461">
        <w:t>Hormone</w:t>
      </w:r>
      <w:r w:rsidR="00A26697" w:rsidRPr="00161461">
        <w:t xml:space="preserve"> c</w:t>
      </w:r>
      <w:r w:rsidR="0071569C" w:rsidRPr="00161461">
        <w:t xml:space="preserve">oncentrations </w:t>
      </w:r>
      <w:r w:rsidR="00D1477A" w:rsidRPr="00161461">
        <w:t xml:space="preserve">for each section </w:t>
      </w:r>
      <w:r w:rsidR="0071569C" w:rsidRPr="00161461">
        <w:t>were</w:t>
      </w:r>
      <w:r w:rsidR="00AB3DEF" w:rsidRPr="00161461">
        <w:t xml:space="preserve"> </w:t>
      </w:r>
      <w:r w:rsidR="0077233F" w:rsidRPr="00161461">
        <w:t xml:space="preserve">calculated from </w:t>
      </w:r>
      <w:r w:rsidR="00A26697" w:rsidRPr="00161461">
        <w:t xml:space="preserve">external standard curves </w:t>
      </w:r>
      <w:r w:rsidR="0071569C" w:rsidRPr="00161461">
        <w:t xml:space="preserve">(100-50000 ng/mL) of </w:t>
      </w:r>
      <w:proofErr w:type="spellStart"/>
      <w:r w:rsidR="0071569C" w:rsidRPr="00161461">
        <w:t>etonogestrel</w:t>
      </w:r>
      <w:proofErr w:type="spellEnd"/>
      <w:r w:rsidR="0071569C" w:rsidRPr="00161461">
        <w:t xml:space="preserve"> (Sigma-Aldrich) and </w:t>
      </w:r>
      <w:proofErr w:type="spellStart"/>
      <w:r w:rsidR="0071569C" w:rsidRPr="00161461">
        <w:t>ethinyl</w:t>
      </w:r>
      <w:proofErr w:type="spellEnd"/>
      <w:r w:rsidR="0071569C" w:rsidRPr="00161461">
        <w:t xml:space="preserve"> estradiol (Sigma-Aldrich) </w:t>
      </w:r>
      <w:r w:rsidR="00AB3DEF" w:rsidRPr="00161461">
        <w:t xml:space="preserve">in methanol.  </w:t>
      </w:r>
      <w:r w:rsidR="00C0594A" w:rsidRPr="00161461">
        <w:t>H</w:t>
      </w:r>
      <w:r w:rsidR="00AB3DEF" w:rsidRPr="00161461">
        <w:t xml:space="preserve">ormone </w:t>
      </w:r>
      <w:r w:rsidR="00A26697" w:rsidRPr="00161461">
        <w:t xml:space="preserve">levels </w:t>
      </w:r>
      <w:r w:rsidR="00AB3DEF" w:rsidRPr="00161461">
        <w:t xml:space="preserve">in </w:t>
      </w:r>
      <w:r w:rsidR="0081474D" w:rsidRPr="00161461">
        <w:t>a</w:t>
      </w:r>
      <w:r w:rsidR="00BE4BC3" w:rsidRPr="00161461">
        <w:t xml:space="preserve"> </w:t>
      </w:r>
      <w:proofErr w:type="spellStart"/>
      <w:r w:rsidR="00A26697" w:rsidRPr="00161461">
        <w:t>NuvaRing</w:t>
      </w:r>
      <w:proofErr w:type="spellEnd"/>
      <w:r w:rsidR="00AB1DBF" w:rsidRPr="00161461">
        <w:t>®</w:t>
      </w:r>
      <w:r w:rsidR="00A26697" w:rsidRPr="00161461">
        <w:t xml:space="preserve"> </w:t>
      </w:r>
      <w:r w:rsidR="00AB3DEF" w:rsidRPr="00161461">
        <w:t>w</w:t>
      </w:r>
      <w:r w:rsidR="00A26697" w:rsidRPr="00161461">
        <w:t xml:space="preserve">ere </w:t>
      </w:r>
      <w:r w:rsidR="00C0594A" w:rsidRPr="00161461">
        <w:t xml:space="preserve">calculated </w:t>
      </w:r>
      <w:r w:rsidR="00564815" w:rsidRPr="00161461">
        <w:t xml:space="preserve">using its weight and </w:t>
      </w:r>
      <w:r w:rsidR="00C0594A" w:rsidRPr="00161461">
        <w:t xml:space="preserve">the </w:t>
      </w:r>
      <w:r w:rsidR="00564815" w:rsidRPr="00161461">
        <w:t xml:space="preserve">hormones levels measured in </w:t>
      </w:r>
      <w:r w:rsidR="0077233F" w:rsidRPr="00161461">
        <w:t xml:space="preserve">the </w:t>
      </w:r>
      <w:r w:rsidR="00C0594A" w:rsidRPr="00161461">
        <w:t xml:space="preserve">two </w:t>
      </w:r>
      <w:r w:rsidR="00564815" w:rsidRPr="00161461">
        <w:t xml:space="preserve">weighed </w:t>
      </w:r>
      <w:r w:rsidR="00C0594A" w:rsidRPr="00161461">
        <w:t>sections</w:t>
      </w:r>
      <w:r w:rsidR="00564815" w:rsidRPr="00161461">
        <w:t>.</w:t>
      </w:r>
      <w:r w:rsidR="005B4B0B" w:rsidRPr="00161461">
        <w:t xml:space="preserve"> </w:t>
      </w:r>
      <w:r w:rsidR="0077233F" w:rsidRPr="00161461">
        <w:t xml:space="preserve"> </w:t>
      </w:r>
      <w:r w:rsidR="00D1477A" w:rsidRPr="00161461">
        <w:t xml:space="preserve">Ranges of extrapolated </w:t>
      </w:r>
      <w:proofErr w:type="spellStart"/>
      <w:r w:rsidR="00D1477A" w:rsidRPr="00161461">
        <w:t>NuvaRing</w:t>
      </w:r>
      <w:proofErr w:type="spellEnd"/>
      <w:r w:rsidR="00D1477A" w:rsidRPr="00161461">
        <w:t xml:space="preserve">® hormone levels from used </w:t>
      </w:r>
      <w:proofErr w:type="spellStart"/>
      <w:r w:rsidR="00D1477A" w:rsidRPr="00161461">
        <w:t>NuvaRings</w:t>
      </w:r>
      <w:proofErr w:type="spellEnd"/>
      <w:r w:rsidR="00D1477A" w:rsidRPr="00161461">
        <w:t xml:space="preserve">® ranged were 8.6 – 11.8 mg </w:t>
      </w:r>
      <w:proofErr w:type="spellStart"/>
      <w:r w:rsidR="00D1477A" w:rsidRPr="00161461">
        <w:t>etonogestrel</w:t>
      </w:r>
      <w:proofErr w:type="spellEnd"/>
      <w:r w:rsidR="00D1477A" w:rsidRPr="00161461">
        <w:t xml:space="preserve"> and 1.9 – 2.6 mg </w:t>
      </w:r>
      <w:proofErr w:type="spellStart"/>
      <w:r w:rsidR="00D1477A" w:rsidRPr="00161461">
        <w:t>ethinyl</w:t>
      </w:r>
      <w:proofErr w:type="spellEnd"/>
      <w:r w:rsidR="00D1477A" w:rsidRPr="00161461">
        <w:t xml:space="preserve"> estradiol.  </w:t>
      </w:r>
      <w:r w:rsidR="00C0594A" w:rsidRPr="00161461">
        <w:t>R</w:t>
      </w:r>
      <w:r w:rsidRPr="00161461">
        <w:t>esidual hormone</w:t>
      </w:r>
      <w:r w:rsidR="00C0594A" w:rsidRPr="00161461">
        <w:t xml:space="preserve"> levels </w:t>
      </w:r>
      <w:r w:rsidR="0081474D" w:rsidRPr="00161461">
        <w:t xml:space="preserve">in a used </w:t>
      </w:r>
      <w:proofErr w:type="spellStart"/>
      <w:r w:rsidR="005B4B0B" w:rsidRPr="00161461">
        <w:t>NuvaRing</w:t>
      </w:r>
      <w:proofErr w:type="spellEnd"/>
      <w:r w:rsidR="00AB1DBF" w:rsidRPr="00161461">
        <w:t>®</w:t>
      </w:r>
      <w:r w:rsidR="005B4B0B" w:rsidRPr="00161461">
        <w:t xml:space="preserve"> </w:t>
      </w:r>
      <w:r w:rsidR="007C600C" w:rsidRPr="00161461">
        <w:t xml:space="preserve">were </w:t>
      </w:r>
      <w:r w:rsidR="00564815" w:rsidRPr="00161461">
        <w:t xml:space="preserve">reported as </w:t>
      </w:r>
      <w:r w:rsidRPr="00161461">
        <w:t>percentage</w:t>
      </w:r>
      <w:r w:rsidR="00CB474D" w:rsidRPr="00161461">
        <w:t>s</w:t>
      </w:r>
      <w:r w:rsidRPr="00161461">
        <w:t xml:space="preserve"> of </w:t>
      </w:r>
      <w:r w:rsidR="007C600C" w:rsidRPr="00161461">
        <w:t xml:space="preserve">the </w:t>
      </w:r>
      <w:r w:rsidRPr="00161461">
        <w:t>hormone</w:t>
      </w:r>
      <w:r w:rsidR="007C600C" w:rsidRPr="00161461">
        <w:t xml:space="preserve"> levels in </w:t>
      </w:r>
      <w:r w:rsidRPr="00161461">
        <w:t xml:space="preserve">unused </w:t>
      </w:r>
      <w:proofErr w:type="spellStart"/>
      <w:r w:rsidRPr="00161461">
        <w:t>NuvaRing</w:t>
      </w:r>
      <w:r w:rsidR="007C600C" w:rsidRPr="00161461">
        <w:t>s</w:t>
      </w:r>
      <w:proofErr w:type="spellEnd"/>
      <w:r w:rsidR="00AB1DBF" w:rsidRPr="00161461">
        <w:t>®</w:t>
      </w:r>
      <w:r w:rsidRPr="00161461">
        <w:t xml:space="preserve"> </w:t>
      </w:r>
      <w:r w:rsidR="00C0594A" w:rsidRPr="00161461">
        <w:t>process</w:t>
      </w:r>
      <w:r w:rsidR="00564815" w:rsidRPr="00161461">
        <w:t>ed</w:t>
      </w:r>
      <w:r w:rsidR="00C0594A" w:rsidRPr="00161461">
        <w:t xml:space="preserve"> and </w:t>
      </w:r>
      <w:r w:rsidRPr="00161461">
        <w:t xml:space="preserve">run in parallel.  </w:t>
      </w:r>
      <w:r w:rsidR="006107C5" w:rsidRPr="00161461">
        <w:t>The ability to detect a &gt;5% difference in r</w:t>
      </w:r>
      <w:r w:rsidR="007C600C" w:rsidRPr="00161461">
        <w:t xml:space="preserve">esidual hormone levels </w:t>
      </w:r>
      <w:r w:rsidR="006107C5" w:rsidRPr="00161461">
        <w:t xml:space="preserve">in a </w:t>
      </w:r>
      <w:r w:rsidR="007C600C" w:rsidRPr="00161461">
        <w:t xml:space="preserve">used </w:t>
      </w:r>
      <w:r w:rsidR="006107C5" w:rsidRPr="00161461">
        <w:t>compared to a new NuvaRing</w:t>
      </w:r>
      <w:r w:rsidR="00AB1DBF" w:rsidRPr="00161461">
        <w:t>®</w:t>
      </w:r>
      <w:r w:rsidR="006107C5" w:rsidRPr="00161461">
        <w:t xml:space="preserve"> was determined using a vaginal simulant solution in an </w:t>
      </w:r>
      <w:r w:rsidR="006107C5" w:rsidRPr="00161461">
        <w:rPr>
          <w:i/>
        </w:rPr>
        <w:t>in vitro</w:t>
      </w:r>
      <w:r w:rsidR="006107C5" w:rsidRPr="00161461">
        <w:t xml:space="preserve"> sink assay</w:t>
      </w:r>
      <w:r w:rsidR="00D1477A" w:rsidRPr="00161461">
        <w:t xml:space="preserve"> </w:t>
      </w:r>
      <w:r w:rsidR="00EC6E31" w:rsidRPr="00161461">
        <w:fldChar w:fldCharType="begin"/>
      </w:r>
      <w:r w:rsidR="00EC6E31" w:rsidRPr="00161461">
        <w:instrText xml:space="preserve"> ADDIN EN.CITE &lt;EndNote&gt;&lt;Cite&gt;&lt;Author&gt;Marques&lt;/Author&gt;&lt;Year&gt;2011&lt;/Year&gt;&lt;RecNum&gt;1462&lt;/RecNum&gt;&lt;DisplayText&gt;[1]&lt;/DisplayText&gt;&lt;record&gt;&lt;rec-number&gt;1462&lt;/rec-number&gt;&lt;foreign-keys&gt;&lt;key app="EN" db-id="v5ev2f2wnxvwz0e0exn5zevp099zzezeszdt" timestamp="1474544199"&gt;1462&lt;/key&gt;&lt;/foreign-keys&gt;&lt;ref-type name="Journal Article"&gt;17&lt;/ref-type&gt;&lt;contributors&gt;&lt;authors&gt;&lt;author&gt;Marques, M.R.C., Loebenberg, R., Almukainzi, M.&lt;/author&gt;&lt;/authors&gt;&lt;/contributors&gt;&lt;titles&gt;&lt;title&gt;Simulated biological fluids with possible application in dissolution testing&lt;/title&gt;&lt;secondary-title&gt;Dissolution Technologies&lt;/secondary-title&gt;&lt;/titles&gt;&lt;periodical&gt;&lt;full-title&gt;Dissolution Technologies&lt;/full-title&gt;&lt;/periodical&gt;&lt;pages&gt;15-28&lt;/pages&gt;&lt;volume&gt;18&lt;/volume&gt;&lt;number&gt;3&lt;/number&gt;&lt;dates&gt;&lt;year&gt;2011&lt;/year&gt;&lt;/dates&gt;&lt;urls&gt;&lt;/urls&gt;&lt;/record&gt;&lt;/Cite&gt;&lt;/EndNote&gt;</w:instrText>
      </w:r>
      <w:r w:rsidR="00EC6E31" w:rsidRPr="00161461">
        <w:fldChar w:fldCharType="separate"/>
      </w:r>
      <w:r w:rsidR="00EC6E31" w:rsidRPr="00161461">
        <w:rPr>
          <w:noProof/>
        </w:rPr>
        <w:t>[1]</w:t>
      </w:r>
      <w:r w:rsidR="00EC6E31" w:rsidRPr="00161461">
        <w:fldChar w:fldCharType="end"/>
      </w:r>
      <w:r w:rsidR="006107C5" w:rsidRPr="00161461">
        <w:t>.</w:t>
      </w:r>
    </w:p>
    <w:p w:rsidR="009A7375" w:rsidRPr="00161461" w:rsidRDefault="00EC6E31" w:rsidP="005B4B0B">
      <w:pPr>
        <w:spacing w:line="480" w:lineRule="auto"/>
      </w:pPr>
      <w:r w:rsidRPr="00161461">
        <w:t xml:space="preserve"> </w:t>
      </w:r>
      <w:r w:rsidR="00286F30" w:rsidRPr="00161461">
        <w:rPr>
          <w:noProof/>
        </w:rPr>
        <w:fldChar w:fldCharType="begin"/>
      </w:r>
      <w:r w:rsidR="00286F30" w:rsidRPr="00161461">
        <w:instrText xml:space="preserve"> ADDIN EN.REFLIST </w:instrText>
      </w:r>
      <w:r w:rsidR="00286F30" w:rsidRPr="00161461">
        <w:rPr>
          <w:noProof/>
        </w:rPr>
        <w:fldChar w:fldCharType="separate"/>
      </w:r>
      <w:r w:rsidR="009A7375" w:rsidRPr="00161461">
        <w:rPr>
          <w:b/>
          <w:noProof/>
        </w:rPr>
        <w:t>References</w:t>
      </w:r>
    </w:p>
    <w:p w:rsidR="009A7375" w:rsidRPr="00161461" w:rsidRDefault="009A7375" w:rsidP="009A7375">
      <w:pPr>
        <w:pStyle w:val="EndNoteBibliography"/>
      </w:pPr>
      <w:r w:rsidRPr="00161461">
        <w:t>[1] Marques MRC, Loebenberg, R., Almukainzi, M. Simulated biological fluids with possible application in dissolution testing. Dissolution Technologies. 2011;18:15-28.</w:t>
      </w:r>
    </w:p>
    <w:p w:rsidR="00DC57CC" w:rsidRPr="00161461" w:rsidRDefault="00286F30">
      <w:r w:rsidRPr="00161461">
        <w:fldChar w:fldCharType="end"/>
      </w:r>
    </w:p>
    <w:sectPr w:rsidR="00DC57CC" w:rsidRPr="00161461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FF" w:rsidRDefault="008C08FF" w:rsidP="008B5D54">
      <w:r>
        <w:separator/>
      </w:r>
    </w:p>
  </w:endnote>
  <w:endnote w:type="continuationSeparator" w:id="0">
    <w:p w:rsidR="008C08FF" w:rsidRDefault="008C08F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FF" w:rsidRDefault="008C08FF" w:rsidP="008B5D54">
      <w:r>
        <w:separator/>
      </w:r>
    </w:p>
  </w:footnote>
  <w:footnote w:type="continuationSeparator" w:id="0">
    <w:p w:rsidR="008C08FF" w:rsidRDefault="008C08FF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ntraception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ev2f2wnxvwz0e0exn5zevp099zzezeszdt&quot;&gt;2011 Endnote Library&lt;record-ids&gt;&lt;item&gt;1462&lt;/item&gt;&lt;/record-ids&gt;&lt;/item&gt;&lt;/Libraries&gt;"/>
  </w:docVars>
  <w:rsids>
    <w:rsidRoot w:val="00A23506"/>
    <w:rsid w:val="00066C35"/>
    <w:rsid w:val="00104A7F"/>
    <w:rsid w:val="00114811"/>
    <w:rsid w:val="001248D4"/>
    <w:rsid w:val="00161461"/>
    <w:rsid w:val="001631D3"/>
    <w:rsid w:val="001739AD"/>
    <w:rsid w:val="001953CC"/>
    <w:rsid w:val="001A0A31"/>
    <w:rsid w:val="001B7F1B"/>
    <w:rsid w:val="002477B1"/>
    <w:rsid w:val="00286F30"/>
    <w:rsid w:val="00327E2F"/>
    <w:rsid w:val="00346834"/>
    <w:rsid w:val="00364C60"/>
    <w:rsid w:val="003B48FE"/>
    <w:rsid w:val="00564815"/>
    <w:rsid w:val="0057420F"/>
    <w:rsid w:val="005A66F7"/>
    <w:rsid w:val="005B4B0B"/>
    <w:rsid w:val="005C6EEC"/>
    <w:rsid w:val="005E2F7C"/>
    <w:rsid w:val="006107C5"/>
    <w:rsid w:val="006B25A6"/>
    <w:rsid w:val="006C6578"/>
    <w:rsid w:val="006E363E"/>
    <w:rsid w:val="0071569C"/>
    <w:rsid w:val="0077233F"/>
    <w:rsid w:val="007728DD"/>
    <w:rsid w:val="007B34A3"/>
    <w:rsid w:val="007C600C"/>
    <w:rsid w:val="0081474D"/>
    <w:rsid w:val="008803EF"/>
    <w:rsid w:val="00894548"/>
    <w:rsid w:val="008B5D54"/>
    <w:rsid w:val="008B6B9F"/>
    <w:rsid w:val="008C08FF"/>
    <w:rsid w:val="00937807"/>
    <w:rsid w:val="009A643D"/>
    <w:rsid w:val="009A7375"/>
    <w:rsid w:val="00A17B0E"/>
    <w:rsid w:val="00A23506"/>
    <w:rsid w:val="00A25B9C"/>
    <w:rsid w:val="00A26697"/>
    <w:rsid w:val="00AB1D6C"/>
    <w:rsid w:val="00AB1DBF"/>
    <w:rsid w:val="00AB3DEF"/>
    <w:rsid w:val="00B36301"/>
    <w:rsid w:val="00B55735"/>
    <w:rsid w:val="00B608AC"/>
    <w:rsid w:val="00B73F2E"/>
    <w:rsid w:val="00B7729B"/>
    <w:rsid w:val="00BC14A4"/>
    <w:rsid w:val="00BE4BC3"/>
    <w:rsid w:val="00C0594A"/>
    <w:rsid w:val="00C86D8F"/>
    <w:rsid w:val="00CB474D"/>
    <w:rsid w:val="00D1477A"/>
    <w:rsid w:val="00D5549A"/>
    <w:rsid w:val="00D6059A"/>
    <w:rsid w:val="00DA4E4C"/>
    <w:rsid w:val="00DC57CC"/>
    <w:rsid w:val="00EC6E31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5B831B-D8C4-4576-8D8F-5F72317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0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9A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3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86F3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6F3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286F3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86F30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E97A-C540-4D48-A3C9-EB6FEE0B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Angela N. (CDC/OID/NCHHSTP)</dc:creator>
  <cp:keywords/>
  <dc:description/>
  <cp:lastModifiedBy>Haaland, Richard E. (CDC/OID/NCHHSTP)</cp:lastModifiedBy>
  <cp:revision>4</cp:revision>
  <dcterms:created xsi:type="dcterms:W3CDTF">2017-02-01T17:38:00Z</dcterms:created>
  <dcterms:modified xsi:type="dcterms:W3CDTF">2017-08-07T19:22:00Z</dcterms:modified>
</cp:coreProperties>
</file>