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35FA" w14:textId="5EBE8349" w:rsidR="00347C8B" w:rsidRPr="00842900" w:rsidRDefault="00347C8B" w:rsidP="00347C8B">
      <w:pPr>
        <w:rPr>
          <w:b/>
          <w:vertAlign w:val="superscript"/>
        </w:rPr>
      </w:pPr>
      <w:bookmarkStart w:id="0" w:name="_GoBack"/>
      <w:bookmarkEnd w:id="0"/>
      <w:r>
        <w:rPr>
          <w:b/>
        </w:rPr>
        <w:t>Supplementary Table 1: Concordance of Medicare claims and SRTR malignancy report</w:t>
      </w:r>
      <w:r w:rsidR="00842900">
        <w:rPr>
          <w:b/>
        </w:rPr>
        <w:t>s for BCC and SCC, 2011 to 2013</w:t>
      </w:r>
      <w:r w:rsidR="002B099F">
        <w:rPr>
          <w:b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7C8B" w14:paraId="22538C8D" w14:textId="77777777" w:rsidTr="00EA0CE3">
        <w:tc>
          <w:tcPr>
            <w:tcW w:w="9576" w:type="dxa"/>
            <w:shd w:val="clear" w:color="auto" w:fill="auto"/>
          </w:tcPr>
          <w:tbl>
            <w:tblPr>
              <w:tblW w:w="7880" w:type="dxa"/>
              <w:tblLook w:val="04A0" w:firstRow="1" w:lastRow="0" w:firstColumn="1" w:lastColumn="0" w:noHBand="0" w:noVBand="1"/>
            </w:tblPr>
            <w:tblGrid>
              <w:gridCol w:w="1955"/>
              <w:gridCol w:w="1562"/>
              <w:gridCol w:w="1403"/>
              <w:gridCol w:w="1637"/>
              <w:gridCol w:w="1323"/>
            </w:tblGrid>
            <w:tr w:rsidR="00347C8B" w:rsidRPr="004B03A8" w14:paraId="22842326" w14:textId="77777777" w:rsidTr="002F13CF">
              <w:trPr>
                <w:trHeight w:val="315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8829A" w14:textId="77777777" w:rsidR="00347C8B" w:rsidRPr="004B03A8" w:rsidRDefault="00347C8B" w:rsidP="00EA0CE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70C0F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BCC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68B8B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SCC</w:t>
                  </w:r>
                </w:p>
              </w:tc>
            </w:tr>
            <w:tr w:rsidR="00347C8B" w:rsidRPr="004B03A8" w14:paraId="5CC881B9" w14:textId="77777777" w:rsidTr="002F13CF">
              <w:trPr>
                <w:trHeight w:val="315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51F81" w14:textId="77777777" w:rsidR="00347C8B" w:rsidRPr="004B03A8" w:rsidRDefault="00347C8B" w:rsidP="00EA0CE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66244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Identified in SRTR</w:t>
                  </w:r>
                </w:p>
              </w:tc>
              <w:tc>
                <w:tcPr>
                  <w:tcW w:w="2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4B2B4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Identified in SRTR</w:t>
                  </w:r>
                </w:p>
              </w:tc>
            </w:tr>
            <w:tr w:rsidR="00347C8B" w:rsidRPr="004B03A8" w14:paraId="56117F2E" w14:textId="77777777" w:rsidTr="002F13CF">
              <w:trPr>
                <w:trHeight w:val="315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58A6D" w14:textId="77777777" w:rsidR="00347C8B" w:rsidRPr="004B03A8" w:rsidRDefault="00347C8B" w:rsidP="00EA0CE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C2083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7FBCE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41335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1BE62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Yes</w:t>
                  </w:r>
                </w:p>
              </w:tc>
            </w:tr>
            <w:tr w:rsidR="00347C8B" w:rsidRPr="004B03A8" w14:paraId="1539B882" w14:textId="77777777" w:rsidTr="002F13CF">
              <w:trPr>
                <w:trHeight w:val="315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8EFC9" w14:textId="08DE291A" w:rsidR="00347C8B" w:rsidRPr="00842900" w:rsidRDefault="00347C8B" w:rsidP="00842900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Medicare claims</w:t>
                  </w:r>
                  <w:r w:rsidR="00583B24" w:rsidRPr="002B099F">
                    <w:rPr>
                      <w:rFonts w:eastAsia="Times New Roman"/>
                      <w:bCs/>
                    </w:rPr>
                    <w:t>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23D753" w14:textId="0021F8D1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 (</w:t>
                  </w:r>
                  <w:r w:rsidR="00263A8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row </w:t>
                  </w: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0854CE" w14:textId="38B2F491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 (</w:t>
                  </w:r>
                  <w:r w:rsidR="00263A8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row </w:t>
                  </w: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AA51E2" w14:textId="445D3AFD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 (</w:t>
                  </w:r>
                  <w:r w:rsidR="00263A8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row </w:t>
                  </w: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140612" w14:textId="4B4F06E8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 (</w:t>
                  </w:r>
                  <w:r w:rsidR="00263A8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row </w:t>
                  </w: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%)</w:t>
                  </w:r>
                </w:p>
              </w:tc>
            </w:tr>
            <w:tr w:rsidR="00347C8B" w:rsidRPr="004B03A8" w14:paraId="414347DB" w14:textId="77777777" w:rsidTr="002F13CF">
              <w:trPr>
                <w:trHeight w:val="315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81024" w14:textId="77777777" w:rsidR="00347C8B" w:rsidRPr="004B03A8" w:rsidRDefault="00347C8B" w:rsidP="002F13C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028C4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23688 (99.8)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8D26D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41 (0.2)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D76AB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23478 (99.7)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E3425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71 (0.3)</w:t>
                  </w:r>
                </w:p>
              </w:tc>
            </w:tr>
            <w:tr w:rsidR="00347C8B" w:rsidRPr="004B03A8" w14:paraId="06CD6D59" w14:textId="77777777" w:rsidTr="002F13CF">
              <w:trPr>
                <w:trHeight w:val="315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88349" w14:textId="77777777" w:rsidR="00347C8B" w:rsidRPr="004B03A8" w:rsidRDefault="00347C8B" w:rsidP="002F13C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1627C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608 (85.6)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BF628" w14:textId="6DBA0903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102 (14.4)</w:t>
                  </w:r>
                  <w:r w:rsidR="00000D1F" w:rsidRPr="002B099F">
                    <w:rPr>
                      <w:rFonts w:eastAsia="Times New Roman"/>
                      <w:bCs/>
                      <w:vertAlign w:val="superscript"/>
                    </w:rPr>
                    <w:t xml:space="preserve"> ‡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F1E79" w14:textId="77777777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694 (78.0)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0B570" w14:textId="255E2003" w:rsidR="00347C8B" w:rsidRPr="004B03A8" w:rsidRDefault="00347C8B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4B03A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196 (22.0)</w:t>
                  </w:r>
                  <w:r w:rsidR="00000D1F" w:rsidRPr="002B099F">
                    <w:rPr>
                      <w:rFonts w:eastAsia="Times New Roman"/>
                      <w:bCs/>
                      <w:vertAlign w:val="superscript"/>
                    </w:rPr>
                    <w:t xml:space="preserve"> ‡</w:t>
                  </w:r>
                </w:p>
              </w:tc>
            </w:tr>
            <w:tr w:rsidR="002F13CF" w:rsidRPr="004B03A8" w14:paraId="28AC3056" w14:textId="77777777" w:rsidTr="002F13CF">
              <w:trPr>
                <w:trHeight w:val="315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E9D2A6" w14:textId="77777777" w:rsidR="002F13CF" w:rsidRPr="004B03A8" w:rsidRDefault="002F13CF" w:rsidP="002F13C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432183" w14:textId="77777777" w:rsidR="002F13CF" w:rsidRPr="004B03A8" w:rsidRDefault="002F13CF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699E6B" w14:textId="77777777" w:rsidR="002F13CF" w:rsidRPr="004B03A8" w:rsidRDefault="002F13CF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EF4437" w14:textId="77777777" w:rsidR="002F13CF" w:rsidRPr="004B03A8" w:rsidRDefault="002F13CF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18C78C" w14:textId="77777777" w:rsidR="002F13CF" w:rsidRPr="004B03A8" w:rsidRDefault="002F13CF" w:rsidP="00EA0CE3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13CF" w:rsidRPr="004B03A8" w14:paraId="1257259D" w14:textId="77777777" w:rsidTr="002F13CF">
              <w:trPr>
                <w:trHeight w:val="315"/>
              </w:trPr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A256EC" w14:textId="1346085B" w:rsidR="002F13CF" w:rsidRPr="004B03A8" w:rsidRDefault="00F45FFE" w:rsidP="00F45FFE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KC</w:t>
                  </w:r>
                  <w:r w:rsidR="002F13CF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case</w:t>
                  </w:r>
                  <w:r w:rsidR="00263A8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</w:t>
                  </w:r>
                  <w:r w:rsidR="002F13CF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/non-case</w:t>
                  </w:r>
                  <w:r w:rsidR="00263A8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</w:t>
                  </w:r>
                  <w:r w:rsidR="002F13CF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identified in SRTR</w:t>
                  </w:r>
                  <w:r w:rsidR="0065450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F13CF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validated in Medicare</w:t>
                  </w:r>
                  <w:r w:rsidR="00263A8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(column %)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ED9950" w14:textId="2F4247D3" w:rsidR="002F13CF" w:rsidRPr="004B03A8" w:rsidRDefault="002F13CF" w:rsidP="002F13C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97.5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1F7C64" w14:textId="5D2B6870" w:rsidR="002F13CF" w:rsidRPr="004B03A8" w:rsidRDefault="002F13CF" w:rsidP="002F13C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71.3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F3B237" w14:textId="14F1DFB8" w:rsidR="002F13CF" w:rsidRPr="004B03A8" w:rsidRDefault="002F13CF" w:rsidP="002F13C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97.1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08B010" w14:textId="33B1A513" w:rsidR="002F13CF" w:rsidRPr="004B03A8" w:rsidRDefault="002F13CF" w:rsidP="002F13C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73.4</w:t>
                  </w:r>
                </w:p>
              </w:tc>
            </w:tr>
          </w:tbl>
          <w:p w14:paraId="11E892C7" w14:textId="77777777" w:rsidR="00347C8B" w:rsidRPr="00F32DA8" w:rsidRDefault="00347C8B" w:rsidP="00EA0CE3">
            <w:pPr>
              <w:rPr>
                <w:b/>
              </w:rPr>
            </w:pPr>
          </w:p>
        </w:tc>
      </w:tr>
    </w:tbl>
    <w:p w14:paraId="63E688C4" w14:textId="145FCCC0" w:rsidR="008E1972" w:rsidRPr="00000D1F" w:rsidRDefault="008E1972" w:rsidP="008E1972">
      <w:r w:rsidRPr="00000D1F">
        <w:t xml:space="preserve">Abbreviations: </w:t>
      </w:r>
      <w:r w:rsidR="00D902BC" w:rsidRPr="00000D1F">
        <w:t xml:space="preserve">SRTR = Scientific Registry of Transplant Recipients; </w:t>
      </w:r>
      <w:r w:rsidR="00CE5036" w:rsidRPr="00000D1F">
        <w:t>KC= keratinocytic carcinoma; BCC= basal cell carcinoma; SCC= squamous cell carcinoma</w:t>
      </w:r>
      <w:r w:rsidR="00842900" w:rsidRPr="00000D1F">
        <w:t>.</w:t>
      </w:r>
    </w:p>
    <w:p w14:paraId="65BAF941" w14:textId="28921E11" w:rsidR="00842900" w:rsidRPr="00000D1F" w:rsidRDefault="002B099F" w:rsidP="00347C8B">
      <w:pPr>
        <w:spacing w:after="0" w:line="240" w:lineRule="auto"/>
        <w:ind w:left="187"/>
      </w:pPr>
      <w:r w:rsidRPr="00000D1F">
        <w:rPr>
          <w:vertAlign w:val="superscript"/>
        </w:rPr>
        <w:t>*</w:t>
      </w:r>
      <w:r w:rsidR="00842900" w:rsidRPr="00000D1F">
        <w:t xml:space="preserve">The years 2011-2013 do not overlap with the time period of the study since Medicare did not distinguish between BCC and SCC before 2011. </w:t>
      </w:r>
      <w:r w:rsidR="00E800CD" w:rsidRPr="00000D1F">
        <w:t xml:space="preserve">These years are used solely to </w:t>
      </w:r>
      <w:r w:rsidR="00877A4A" w:rsidRPr="00000D1F">
        <w:t>describe</w:t>
      </w:r>
      <w:r w:rsidR="00E800CD" w:rsidRPr="00000D1F">
        <w:t xml:space="preserve"> the validity of the KC data. </w:t>
      </w:r>
      <w:r w:rsidR="00583B24" w:rsidRPr="00000D1F">
        <w:t xml:space="preserve">This sub-population included individuals in the SRTR with Medicare coverage and at least 1 Medicare claim after the date of transplantation (n=24,439). For people with multiple diagnoses in either SRTR or Medicare, only the first BCC and first SCC diagnoses after transplant were used.  </w:t>
      </w:r>
    </w:p>
    <w:p w14:paraId="0C650BAF" w14:textId="77777777" w:rsidR="00842900" w:rsidRPr="00000D1F" w:rsidRDefault="00842900" w:rsidP="00347C8B">
      <w:pPr>
        <w:spacing w:after="0" w:line="240" w:lineRule="auto"/>
        <w:ind w:left="187"/>
      </w:pPr>
    </w:p>
    <w:p w14:paraId="7A43AFCC" w14:textId="7D00CAB0" w:rsidR="00347C8B" w:rsidRPr="00000D1F" w:rsidRDefault="002B099F" w:rsidP="00347C8B">
      <w:pPr>
        <w:spacing w:after="0" w:line="240" w:lineRule="auto"/>
        <w:ind w:left="187"/>
      </w:pPr>
      <w:r w:rsidRPr="00000D1F">
        <w:rPr>
          <w:rFonts w:eastAsia="Times New Roman"/>
          <w:bCs/>
        </w:rPr>
        <w:t>†</w:t>
      </w:r>
      <w:r w:rsidR="00E11FCF" w:rsidRPr="00000D1F">
        <w:t>Keratinocyte carcinomas</w:t>
      </w:r>
      <w:r w:rsidR="00347C8B" w:rsidRPr="00000D1F">
        <w:t xml:space="preserve"> were identified in Medicare by the presence of at least one claim for a skin cancer procedure code (11600-11606, 11620-11626, 11640-11646, 17260-17266, 17270-17276, 17280-17286, 17304, 17311, or 17313) associated with </w:t>
      </w:r>
      <w:proofErr w:type="gramStart"/>
      <w:r w:rsidR="00347C8B" w:rsidRPr="00000D1F">
        <w:t>a</w:t>
      </w:r>
      <w:proofErr w:type="gramEnd"/>
      <w:r w:rsidR="00347C8B" w:rsidRPr="00000D1F">
        <w:t xml:space="preserve"> ICD-9 diagnosis for non-melanoma skin cancer (173.00-173.99).  BCCs were specifically defined as those cases with an ICD-9 code of 173.x1, while SCCs were specifically defined as cases with an ICD-9 code of 173.x2.</w:t>
      </w:r>
      <w:r w:rsidR="00D026E4" w:rsidRPr="00000D1F">
        <w:fldChar w:fldCharType="begin">
          <w:fldData xml:space="preserve">PEVuZE5vdGU+PENpdGU+PEF1dGhvcj5Sb2dlcnM8L0F1dGhvcj48WWVhcj4yMDE1PC9ZZWFyPjxS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</w:fldData>
        </w:fldChar>
      </w:r>
      <w:r w:rsidR="00CB0671">
        <w:instrText xml:space="preserve"> ADDIN EN.CITE </w:instrText>
      </w:r>
      <w:r w:rsidR="00CB0671">
        <w:fldChar w:fldCharType="begin">
          <w:fldData xml:space="preserve">PEVuZE5vdGU+PENpdGU+PEF1dGhvcj5Sb2dlcnM8L0F1dGhvcj48WWVhcj4yMDE1PC9ZZWFyPjxS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</w:fldData>
        </w:fldChar>
      </w:r>
      <w:r w:rsidR="00CB0671">
        <w:instrText xml:space="preserve"> ADDIN EN.CITE.DATA </w:instrText>
      </w:r>
      <w:r w:rsidR="00CB0671">
        <w:fldChar w:fldCharType="end"/>
      </w:r>
      <w:r w:rsidR="00D026E4" w:rsidRPr="00000D1F">
        <w:fldChar w:fldCharType="separate"/>
      </w:r>
      <w:r w:rsidR="00CB0671">
        <w:rPr>
          <w:noProof/>
        </w:rPr>
        <w:t>[33]</w:t>
      </w:r>
      <w:r w:rsidR="00D026E4" w:rsidRPr="00000D1F">
        <w:fldChar w:fldCharType="end"/>
      </w:r>
      <w:r w:rsidR="00347C8B" w:rsidRPr="00000D1F">
        <w:t xml:space="preserve"> </w:t>
      </w:r>
    </w:p>
    <w:p w14:paraId="11BC1641" w14:textId="77777777" w:rsidR="00347C8B" w:rsidRPr="00000D1F" w:rsidRDefault="00347C8B" w:rsidP="00347C8B">
      <w:pPr>
        <w:spacing w:after="0" w:line="240" w:lineRule="auto"/>
        <w:ind w:left="187"/>
      </w:pPr>
    </w:p>
    <w:p w14:paraId="740ABBE6" w14:textId="1933C1E8" w:rsidR="00000D1F" w:rsidRPr="00000D1F" w:rsidRDefault="00000D1F" w:rsidP="00000D1F">
      <w:pPr>
        <w:ind w:left="187"/>
      </w:pPr>
      <w:r w:rsidRPr="00000D1F">
        <w:rPr>
          <w:rFonts w:eastAsia="Times New Roman"/>
          <w:bCs/>
          <w:vertAlign w:val="superscript"/>
        </w:rPr>
        <w:t xml:space="preserve">‡ </w:t>
      </w:r>
      <w:r w:rsidRPr="00000D1F">
        <w:t>Among those recipients with the same diagnosis (either SCC or BCC) identified in both sources, the median time (interquartile range) from Medicare claim to SRTR diagnosis date was -10.5 days (-44 to 8) for BCC and -8 days (-34 to 22) for SCC.</w:t>
      </w:r>
    </w:p>
    <w:p w14:paraId="6B1008AF" w14:textId="4DD03CCF" w:rsidR="00AC1815" w:rsidRDefault="00AC1815" w:rsidP="008545E4">
      <w:r>
        <w:br w:type="page"/>
      </w:r>
    </w:p>
    <w:p w14:paraId="612A18A2" w14:textId="77777777" w:rsidR="004815D1" w:rsidRDefault="004815D1">
      <w:pPr>
        <w:rPr>
          <w:b/>
        </w:rPr>
        <w:sectPr w:rsidR="004815D1" w:rsidSect="00BB65C6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FFF0D2" w14:textId="2B687315" w:rsidR="00523F0D" w:rsidRDefault="0086315C">
      <w:pPr>
        <w:rPr>
          <w:b/>
        </w:rPr>
      </w:pPr>
      <w:r>
        <w:rPr>
          <w:b/>
        </w:rPr>
        <w:lastRenderedPageBreak/>
        <w:t>Supplementary T</w:t>
      </w:r>
      <w:r w:rsidR="00AC1815">
        <w:rPr>
          <w:b/>
        </w:rPr>
        <w:t xml:space="preserve">able </w:t>
      </w:r>
      <w:r w:rsidR="005B37DA">
        <w:rPr>
          <w:b/>
        </w:rPr>
        <w:t>2:</w:t>
      </w:r>
      <w:r w:rsidR="00AC1815">
        <w:rPr>
          <w:b/>
        </w:rPr>
        <w:t xml:space="preserve"> SEER diagnoses codes and diagnosis groupings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</w:tblGrid>
      <w:tr w:rsidR="00AC1815" w14:paraId="19F181AD" w14:textId="77777777" w:rsidTr="004815D1">
        <w:tc>
          <w:tcPr>
            <w:tcW w:w="8208" w:type="dxa"/>
          </w:tcPr>
          <w:tbl>
            <w:tblPr>
              <w:tblStyle w:val="MediumList1"/>
              <w:tblW w:w="6930" w:type="dxa"/>
              <w:tblLook w:val="04A0" w:firstRow="1" w:lastRow="0" w:firstColumn="1" w:lastColumn="0" w:noHBand="0" w:noVBand="1"/>
            </w:tblPr>
            <w:tblGrid>
              <w:gridCol w:w="716"/>
              <w:gridCol w:w="1244"/>
              <w:gridCol w:w="4970"/>
            </w:tblGrid>
            <w:tr w:rsidR="004815D1" w:rsidRPr="004815D1" w14:paraId="0656A05A" w14:textId="77777777" w:rsidTr="004815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43C66654" w14:textId="77777777" w:rsidR="004815D1" w:rsidRPr="004815D1" w:rsidRDefault="004815D1" w:rsidP="004815D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Diagnosis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2D508DA4" w14:textId="55C7F121" w:rsidR="004815D1" w:rsidRPr="004815D1" w:rsidRDefault="004815D1" w:rsidP="004815D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4815D1">
                    <w:rPr>
                      <w:rFonts w:eastAsia="Times New Roman"/>
                      <w:b/>
                      <w:bCs/>
                      <w:color w:val="000000"/>
                    </w:rPr>
                    <w:t>SEER</w:t>
                  </w:r>
                  <w:r w:rsidR="007A551B">
                    <w:rPr>
                      <w:rFonts w:eastAsia="Times New Roman"/>
                      <w:b/>
                      <w:bCs/>
                      <w:color w:val="000000"/>
                    </w:rPr>
                    <w:t xml:space="preserve"> site</w:t>
                  </w:r>
                  <w:r w:rsidRPr="004815D1">
                    <w:rPr>
                      <w:rFonts w:eastAsia="Times New Roman"/>
                      <w:b/>
                      <w:bCs/>
                      <w:color w:val="000000"/>
                    </w:rPr>
                    <w:t xml:space="preserve"> </w:t>
                  </w:r>
                  <w:r w:rsidR="007A551B">
                    <w:rPr>
                      <w:rFonts w:eastAsia="Times New Roman"/>
                      <w:b/>
                      <w:bCs/>
                      <w:color w:val="000000"/>
                    </w:rPr>
                    <w:t>re</w:t>
                  </w:r>
                  <w:r w:rsidRPr="004815D1">
                    <w:rPr>
                      <w:rFonts w:eastAsia="Times New Roman"/>
                      <w:b/>
                      <w:bCs/>
                      <w:color w:val="000000"/>
                    </w:rPr>
                    <w:t>code</w:t>
                  </w:r>
                </w:p>
              </w:tc>
            </w:tr>
            <w:tr w:rsidR="004815D1" w:rsidRPr="004815D1" w14:paraId="4AEDB344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44525305" w14:textId="4FF2BCD2" w:rsidR="004815D1" w:rsidRPr="004815D1" w:rsidRDefault="00427BE6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Oral cavity and pharynx</w:t>
                  </w:r>
                </w:p>
              </w:tc>
              <w:tc>
                <w:tcPr>
                  <w:tcW w:w="4970" w:type="dxa"/>
                  <w:hideMark/>
                </w:tcPr>
                <w:p w14:paraId="2547B4BE" w14:textId="1684BA93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 xml:space="preserve">20010, 20020, 20030, 20040, </w:t>
                  </w:r>
                  <w:r w:rsidR="00066C14">
                    <w:rPr>
                      <w:rFonts w:eastAsia="Times New Roman"/>
                      <w:color w:val="000000"/>
                    </w:rPr>
                    <w:t xml:space="preserve">20050, </w:t>
                  </w:r>
                  <w:r w:rsidRPr="004815D1">
                    <w:rPr>
                      <w:rFonts w:eastAsia="Times New Roman"/>
                      <w:color w:val="000000"/>
                    </w:rPr>
                    <w:t>20060, 20070, 20080, 20090, 20100</w:t>
                  </w:r>
                </w:p>
              </w:tc>
            </w:tr>
            <w:tr w:rsidR="004815D1" w:rsidRPr="004815D1" w14:paraId="34F1226A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  <w:noWrap/>
                  <w:hideMark/>
                </w:tcPr>
                <w:p w14:paraId="1C03142B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244" w:type="dxa"/>
                  <w:noWrap/>
                  <w:hideMark/>
                </w:tcPr>
                <w:p w14:paraId="3D296EA4" w14:textId="77777777" w:rsidR="004815D1" w:rsidRPr="004815D1" w:rsidRDefault="004815D1" w:rsidP="004815D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Lip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79866C2E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20010</w:t>
                  </w:r>
                </w:p>
              </w:tc>
            </w:tr>
            <w:tr w:rsidR="004815D1" w:rsidRPr="004815D1" w14:paraId="678B7751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  <w:noWrap/>
                  <w:hideMark/>
                </w:tcPr>
                <w:p w14:paraId="21C2002C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244" w:type="dxa"/>
                  <w:noWrap/>
                  <w:hideMark/>
                </w:tcPr>
                <w:p w14:paraId="2A8D4C49" w14:textId="77777777" w:rsidR="004815D1" w:rsidRPr="004815D1" w:rsidRDefault="004815D1" w:rsidP="004815D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Tongue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09B45E1F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20020</w:t>
                  </w:r>
                </w:p>
              </w:tc>
            </w:tr>
            <w:tr w:rsidR="004815D1" w:rsidRPr="004815D1" w14:paraId="622E595E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6C6D5722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Esophagus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39B4A518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21010</w:t>
                  </w:r>
                </w:p>
              </w:tc>
            </w:tr>
            <w:tr w:rsidR="004815D1" w:rsidRPr="004815D1" w14:paraId="012F49D2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27274836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Stomach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290A0A06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21020</w:t>
                  </w:r>
                </w:p>
              </w:tc>
            </w:tr>
            <w:tr w:rsidR="004815D1" w:rsidRPr="004815D1" w14:paraId="3D83E7B5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0E2FB544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Colon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5749991E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21041-21049</w:t>
                  </w:r>
                </w:p>
              </w:tc>
            </w:tr>
            <w:tr w:rsidR="004815D1" w:rsidRPr="004815D1" w14:paraId="57E784EA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085CD7C9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Rectum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6CCEE301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21051, 21052</w:t>
                  </w:r>
                </w:p>
              </w:tc>
            </w:tr>
            <w:tr w:rsidR="004815D1" w:rsidRPr="004815D1" w14:paraId="4AC95881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67E2E00B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Anus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05B9FA70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21060</w:t>
                  </w:r>
                </w:p>
              </w:tc>
            </w:tr>
            <w:tr w:rsidR="004815D1" w:rsidRPr="004815D1" w14:paraId="3CEDCE67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29552116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Pancreas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41E302C3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21100</w:t>
                  </w:r>
                </w:p>
              </w:tc>
            </w:tr>
            <w:tr w:rsidR="004815D1" w:rsidRPr="004815D1" w14:paraId="75FF5FA9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0A141DE9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Larynx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40CC3AFA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22020</w:t>
                  </w:r>
                </w:p>
              </w:tc>
            </w:tr>
            <w:tr w:rsidR="004815D1" w:rsidRPr="004815D1" w14:paraId="62A26888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6105C43D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Lung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35463D17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22030</w:t>
                  </w:r>
                </w:p>
              </w:tc>
            </w:tr>
            <w:tr w:rsidR="004815D1" w:rsidRPr="004815D1" w14:paraId="71BDA34E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0B9106B2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Kidney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55BA939C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29020</w:t>
                  </w:r>
                </w:p>
              </w:tc>
            </w:tr>
            <w:tr w:rsidR="004815D1" w:rsidRPr="004815D1" w14:paraId="4735FFC4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132EED29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Bladder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0A4D0142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29010</w:t>
                  </w:r>
                </w:p>
              </w:tc>
            </w:tr>
            <w:tr w:rsidR="004815D1" w:rsidRPr="004815D1" w14:paraId="3ED4F07C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7DA1E448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Prostate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46BF9571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28010</w:t>
                  </w:r>
                </w:p>
              </w:tc>
            </w:tr>
            <w:tr w:rsidR="004815D1" w:rsidRPr="004815D1" w14:paraId="00377EE7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0A1A961F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Breast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38FDEB45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26000</w:t>
                  </w:r>
                </w:p>
              </w:tc>
            </w:tr>
            <w:tr w:rsidR="004815D1" w:rsidRPr="004815D1" w14:paraId="4F3D3B7D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6C0C064F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Uterus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245AECDA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27020, 27030</w:t>
                  </w:r>
                </w:p>
              </w:tc>
            </w:tr>
            <w:tr w:rsidR="004815D1" w:rsidRPr="004815D1" w14:paraId="4F8A59D8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7B201182" w14:textId="3001D710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Female HPV-related</w:t>
                  </w:r>
                  <w:r w:rsidR="00FE0448">
                    <w:rPr>
                      <w:rFonts w:eastAsia="Times New Roman"/>
                      <w:color w:val="000000"/>
                    </w:rPr>
                    <w:t xml:space="preserve"> genital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184CA609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27010, 27050, 27060</w:t>
                  </w:r>
                </w:p>
              </w:tc>
            </w:tr>
            <w:tr w:rsidR="004815D1" w:rsidRPr="004815D1" w14:paraId="129F76E7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09A5A49D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Thyroid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32A8D927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32010</w:t>
                  </w:r>
                </w:p>
              </w:tc>
            </w:tr>
            <w:tr w:rsidR="004815D1" w:rsidRPr="004815D1" w14:paraId="6E53130B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0AA12535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Melanoma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631D18F3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25010</w:t>
                  </w:r>
                </w:p>
              </w:tc>
            </w:tr>
            <w:tr w:rsidR="004815D1" w:rsidRPr="004815D1" w14:paraId="78B5763B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040E7500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Other skin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39AB38F9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25020</w:t>
                  </w:r>
                </w:p>
              </w:tc>
            </w:tr>
            <w:tr w:rsidR="004815D1" w:rsidRPr="004815D1" w14:paraId="068F3A3B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  <w:noWrap/>
                  <w:hideMark/>
                </w:tcPr>
                <w:p w14:paraId="6485A41A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NHL</w:t>
                  </w:r>
                </w:p>
              </w:tc>
              <w:tc>
                <w:tcPr>
                  <w:tcW w:w="1244" w:type="dxa"/>
                  <w:noWrap/>
                  <w:hideMark/>
                </w:tcPr>
                <w:p w14:paraId="75F55E39" w14:textId="77777777" w:rsidR="004815D1" w:rsidRPr="004815D1" w:rsidRDefault="004815D1" w:rsidP="004815D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970" w:type="dxa"/>
                  <w:noWrap/>
                  <w:hideMark/>
                </w:tcPr>
                <w:p w14:paraId="612C964F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33041, 33042, 35012</w:t>
                  </w:r>
                </w:p>
              </w:tc>
            </w:tr>
            <w:tr w:rsidR="004815D1" w:rsidRPr="004815D1" w14:paraId="2993D3EE" w14:textId="77777777" w:rsidTr="004815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3FB9A1A1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Myeloma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4F7A802B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34000</w:t>
                  </w:r>
                </w:p>
              </w:tc>
            </w:tr>
            <w:tr w:rsidR="004815D1" w:rsidRPr="004815D1" w14:paraId="4BF5CBD1" w14:textId="77777777" w:rsidTr="004815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0" w:type="dxa"/>
                  <w:gridSpan w:val="2"/>
                  <w:noWrap/>
                  <w:hideMark/>
                </w:tcPr>
                <w:p w14:paraId="273610ED" w14:textId="77777777" w:rsidR="004815D1" w:rsidRPr="004815D1" w:rsidRDefault="004815D1" w:rsidP="004815D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Acute leukemia</w:t>
                  </w:r>
                </w:p>
              </w:tc>
              <w:tc>
                <w:tcPr>
                  <w:tcW w:w="4970" w:type="dxa"/>
                  <w:noWrap/>
                  <w:hideMark/>
                </w:tcPr>
                <w:p w14:paraId="6034282A" w14:textId="77777777" w:rsidR="004815D1" w:rsidRPr="004815D1" w:rsidRDefault="004815D1" w:rsidP="004815D1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4815D1">
                    <w:rPr>
                      <w:rFonts w:eastAsia="Times New Roman"/>
                      <w:color w:val="000000"/>
                    </w:rPr>
                    <w:t>35011, 35021, 35031, 35041</w:t>
                  </w:r>
                </w:p>
              </w:tc>
            </w:tr>
          </w:tbl>
          <w:p w14:paraId="2F98F4BB" w14:textId="77777777" w:rsidR="00AC1815" w:rsidRDefault="00AC1815">
            <w:pPr>
              <w:rPr>
                <w:b/>
              </w:rPr>
            </w:pPr>
          </w:p>
        </w:tc>
      </w:tr>
    </w:tbl>
    <w:p w14:paraId="61089839" w14:textId="23F0F33A" w:rsidR="004B03A8" w:rsidRDefault="004B03A8">
      <w:pPr>
        <w:rPr>
          <w:b/>
        </w:rPr>
      </w:pPr>
    </w:p>
    <w:p w14:paraId="6DAFCA90" w14:textId="77777777" w:rsidR="004B03A8" w:rsidRDefault="004B03A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B4BF582" w14:textId="77777777" w:rsidR="00BF2CB7" w:rsidRDefault="00BF2CB7">
      <w:pPr>
        <w:rPr>
          <w:b/>
        </w:rPr>
        <w:sectPr w:rsidR="00BF2CB7" w:rsidSect="004815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BE3236" w14:textId="2108CFC4" w:rsidR="00BF2CB7" w:rsidRDefault="00450AE3">
      <w:pPr>
        <w:rPr>
          <w:b/>
        </w:rPr>
      </w:pPr>
      <w:r>
        <w:rPr>
          <w:b/>
        </w:rPr>
        <w:t>Supplementary Table 3</w:t>
      </w:r>
      <w:r w:rsidR="00BF2CB7">
        <w:rPr>
          <w:b/>
        </w:rPr>
        <w:t xml:space="preserve">: Hazard ratios for selected SEER diagnoses by diagnosis of </w:t>
      </w:r>
      <w:r w:rsidR="00052831">
        <w:rPr>
          <w:b/>
        </w:rPr>
        <w:t>KC</w:t>
      </w:r>
      <w:r w:rsidR="00BF2CB7">
        <w:rPr>
          <w:b/>
        </w:rPr>
        <w:t xml:space="preserve"> among 118,440 sol</w:t>
      </w:r>
      <w:r w:rsidR="009C6864">
        <w:rPr>
          <w:b/>
        </w:rPr>
        <w:t>id organ transplant recipients</w:t>
      </w:r>
    </w:p>
    <w:tbl>
      <w:tblPr>
        <w:tblStyle w:val="TableGrid"/>
        <w:tblW w:w="13966" w:type="dxa"/>
        <w:tblLook w:val="04A0" w:firstRow="1" w:lastRow="0" w:firstColumn="1" w:lastColumn="0" w:noHBand="0" w:noVBand="1"/>
      </w:tblPr>
      <w:tblGrid>
        <w:gridCol w:w="14022"/>
      </w:tblGrid>
      <w:tr w:rsidR="00AD30EB" w14:paraId="47942085" w14:textId="77777777" w:rsidTr="009B3D15">
        <w:tc>
          <w:tcPr>
            <w:tcW w:w="13966" w:type="dxa"/>
          </w:tcPr>
          <w:tbl>
            <w:tblPr>
              <w:tblW w:w="13806" w:type="dxa"/>
              <w:tblLook w:val="04A0" w:firstRow="1" w:lastRow="0" w:firstColumn="1" w:lastColumn="0" w:noHBand="0" w:noVBand="1"/>
            </w:tblPr>
            <w:tblGrid>
              <w:gridCol w:w="2766"/>
              <w:gridCol w:w="710"/>
              <w:gridCol w:w="610"/>
              <w:gridCol w:w="995"/>
              <w:gridCol w:w="1027"/>
              <w:gridCol w:w="1550"/>
              <w:gridCol w:w="791"/>
              <w:gridCol w:w="798"/>
              <w:gridCol w:w="538"/>
              <w:gridCol w:w="450"/>
              <w:gridCol w:w="1170"/>
              <w:gridCol w:w="720"/>
              <w:gridCol w:w="796"/>
              <w:gridCol w:w="785"/>
              <w:gridCol w:w="44"/>
              <w:gridCol w:w="56"/>
            </w:tblGrid>
            <w:tr w:rsidR="00E870F1" w:rsidRPr="00AD30EB" w14:paraId="1B28D9C9" w14:textId="77777777" w:rsidTr="00847208">
              <w:trPr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30328" w14:textId="77777777" w:rsidR="00E870F1" w:rsidRPr="00AD30EB" w:rsidRDefault="00E870F1" w:rsidP="00AD30EB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ECF8" w14:textId="73819C7E" w:rsidR="00E870F1" w:rsidRPr="00AD30EB" w:rsidRDefault="00E870F1" w:rsidP="00AD30E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BCC only</w:t>
                  </w:r>
                </w:p>
              </w:tc>
              <w:tc>
                <w:tcPr>
                  <w:tcW w:w="3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E552" w14:textId="125FBE51" w:rsidR="00E870F1" w:rsidRPr="00AD30EB" w:rsidRDefault="00E870F1" w:rsidP="00AD30E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SCC only</w:t>
                  </w:r>
                </w:p>
              </w:tc>
              <w:tc>
                <w:tcPr>
                  <w:tcW w:w="40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9651D" w14:textId="47091345" w:rsidR="00E870F1" w:rsidRPr="00AD30EB" w:rsidRDefault="00E870F1" w:rsidP="008E197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BCC+SCC</w:t>
                  </w:r>
                </w:p>
              </w:tc>
            </w:tr>
            <w:tr w:rsidR="00E870F1" w:rsidRPr="00AD30EB" w14:paraId="414F80DB" w14:textId="77777777" w:rsidTr="002B099F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7BC1B" w14:textId="77777777" w:rsidR="00E870F1" w:rsidRPr="00AD30EB" w:rsidRDefault="00E870F1" w:rsidP="00AD30E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13EA1F" w14:textId="1CB3F8EA" w:rsidR="00E870F1" w:rsidRPr="00AD30EB" w:rsidRDefault="00E870F1" w:rsidP="00C145A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n (BCC)</w:t>
                  </w:r>
                </w:p>
              </w:tc>
              <w:tc>
                <w:tcPr>
                  <w:tcW w:w="263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38013F" w14:textId="4063947C" w:rsidR="00E870F1" w:rsidRPr="00AD30EB" w:rsidRDefault="00E870F1" w:rsidP="00C145A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HR (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95%CI</w:t>
                  </w: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)</w:t>
                  </w:r>
                  <w:r w:rsidR="002B099F">
                    <w:rPr>
                      <w:rFonts w:eastAsia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6B405E" w14:textId="28860824" w:rsidR="00E870F1" w:rsidRPr="00AD30EB" w:rsidRDefault="00E870F1" w:rsidP="00C145A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n (SCC)</w:t>
                  </w:r>
                </w:p>
              </w:tc>
              <w:tc>
                <w:tcPr>
                  <w:tcW w:w="25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949286" w14:textId="47442FBD" w:rsidR="00E870F1" w:rsidRPr="00AD30EB" w:rsidRDefault="00E870F1" w:rsidP="00C145A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HR (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95%CI</w:t>
                  </w: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)</w:t>
                  </w:r>
                  <w:r w:rsidR="002B099F">
                    <w:rPr>
                      <w:rFonts w:eastAsia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AF24F" w14:textId="4E47FBB7" w:rsidR="00E870F1" w:rsidRPr="00AD30EB" w:rsidRDefault="00E870F1" w:rsidP="00C145A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n (BCC+SCC)</w:t>
                  </w:r>
                </w:p>
              </w:tc>
              <w:tc>
                <w:tcPr>
                  <w:tcW w:w="234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C5E0D8" w14:textId="1DE84592" w:rsidR="00E870F1" w:rsidRPr="00AD30EB" w:rsidRDefault="00E870F1" w:rsidP="00C145A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HR (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95%CI</w:t>
                  </w: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)</w:t>
                  </w:r>
                  <w:r w:rsidR="002B099F">
                    <w:rPr>
                      <w:rFonts w:eastAsia="Times New Roman"/>
                      <w:b/>
                      <w:bCs/>
                      <w:color w:val="000000"/>
                    </w:rPr>
                    <w:t>*</w:t>
                  </w:r>
                </w:p>
              </w:tc>
            </w:tr>
            <w:tr w:rsidR="00E870F1" w:rsidRPr="00AD30EB" w14:paraId="0AB699F7" w14:textId="77777777" w:rsidTr="002B099F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0F28DA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Overall malignancies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72D77" w14:textId="3EA5A953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1019A7">
                    <w:rPr>
                      <w:rFonts w:eastAsia="Times New Roman"/>
                      <w:color w:val="000000"/>
                    </w:rPr>
                    <w:t>202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9EFE20" w14:textId="0609726B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1.03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87DDAE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(0.87 - 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501DB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1.22)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6A2271" w14:textId="7745E8D5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712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02C6D" w14:textId="589111F1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1.47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05333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(1.32 -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8B2BE9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1.63)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A9BE05" w14:textId="19B36818" w:rsidR="002B7625" w:rsidRPr="00012695" w:rsidRDefault="00012695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289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205C71" w14:textId="094B9BEE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1.37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8729E0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(1.16 -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E5383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1.62)</w:t>
                  </w:r>
                </w:p>
              </w:tc>
            </w:tr>
            <w:tr w:rsidR="00E870F1" w:rsidRPr="00AD30EB" w14:paraId="76767265" w14:textId="77777777" w:rsidTr="00847208">
              <w:trPr>
                <w:gridAfter w:val="2"/>
                <w:wAfter w:w="100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3D5640" w14:textId="6AA1B8F4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Oral cavity and pharynx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39A95D" w14:textId="182E6240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228D99" w14:textId="7E1809B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1.24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9EF0D6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(0.59 -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8A1BC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2.63)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E323C" w14:textId="45DEF905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129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59946A" w14:textId="12B8255E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5.77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9F7389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(4.34 -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201E1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7.66)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D461" w14:textId="04773456" w:rsidR="002B7625" w:rsidRPr="00012695" w:rsidRDefault="00012695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304C73" w14:textId="6EEBA75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2.27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F1B2A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(1.20 -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600A4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4.29)</w:t>
                  </w:r>
                </w:p>
              </w:tc>
            </w:tr>
            <w:tr w:rsidR="00E870F1" w:rsidRPr="00AD30EB" w14:paraId="25647F31" w14:textId="77777777" w:rsidTr="00847208">
              <w:trPr>
                <w:gridAfter w:val="2"/>
                <w:wAfter w:w="100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0F8687" w14:textId="3CCF6059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Squamous</w:t>
                  </w:r>
                  <w:r w:rsidR="00960A55" w:rsidRPr="002B099F">
                    <w:rPr>
                      <w:rFonts w:eastAsia="Times New Roman"/>
                      <w:bCs/>
                    </w:rPr>
                    <w:t>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58587C" w14:textId="787D138F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A8AA02" w14:textId="6E234699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0.58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8ED4B6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(0.19 -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83169F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1.80)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A60BE" w14:textId="78C29C3D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118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0796B2" w14:textId="2D59EC48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5.70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2D08B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(4.24 -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B3934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7.66)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BEA3" w14:textId="37B9E788" w:rsidR="002B7625" w:rsidRPr="00012695" w:rsidRDefault="00012695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267D08" w14:textId="26608A98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2.22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97A57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(1.14 -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B3FFA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4.34)</w:t>
                  </w:r>
                </w:p>
              </w:tc>
            </w:tr>
            <w:tr w:rsidR="00E870F1" w:rsidRPr="00AD30EB" w14:paraId="4D0113D8" w14:textId="77777777" w:rsidTr="00847208">
              <w:trPr>
                <w:gridAfter w:val="2"/>
                <w:wAfter w:w="100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70517F" w14:textId="4790BBA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Non-squamous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D7AF5E" w14:textId="2FD4AF3E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F32EAF" w14:textId="0A478576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8.88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52B63C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(3.04 -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25DA4A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25.92)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51FE" w14:textId="107A3A96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340F17" w14:textId="07EE4A05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6.60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33C6C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(2.45 -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5D05C7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17.76)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F5F1A" w14:textId="119DF81E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B35C18" w14:textId="1DEB4FC1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2.85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E0AC0E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(0.38 -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357CCA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21.34)</w:t>
                  </w:r>
                </w:p>
              </w:tc>
            </w:tr>
            <w:tr w:rsidR="00E870F1" w:rsidRPr="00AD30EB" w14:paraId="39C0A29A" w14:textId="77777777" w:rsidTr="00847208">
              <w:trPr>
                <w:gridAfter w:val="2"/>
                <w:wAfter w:w="100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6323BB" w14:textId="09F605F0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Lip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AC68D7" w14:textId="5AAF5385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5E83BE" w14:textId="116FAF7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0.52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F0DC7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(0.07 -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460C1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3.70)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B092" w14:textId="34549C13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4B49F8" w14:textId="4A48759C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3.97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6160A0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(2.30 -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C49013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6.85)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DF42C" w14:textId="0E4B9FA5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D7FA5A" w14:textId="50D046EE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2.49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AC132E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(0.91 -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68A64D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6.85)</w:t>
                  </w:r>
                </w:p>
              </w:tc>
            </w:tr>
            <w:tr w:rsidR="00E870F1" w:rsidRPr="00AD30EB" w14:paraId="7957BB01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2AC47D" w14:textId="26DB0A7E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Tongue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8FF4E0" w14:textId="4E770E20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C0C162" w14:textId="653EC171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1.47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C79B8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(0.36 -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A5619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6.04)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19B2" w14:textId="13BA910B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9E4490" w14:textId="7286B524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3.90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B9063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(1.97 -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2FD414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7.70)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DFB98" w14:textId="68EC7F78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E7DF48" w14:textId="20CD226A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1.95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6D82BB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(0.47 -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3D14E8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8.05)</w:t>
                  </w:r>
                </w:p>
              </w:tc>
            </w:tr>
            <w:tr w:rsidR="00E870F1" w:rsidRPr="00AD30EB" w14:paraId="5D18F96B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AE1471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Esophagus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A81B06" w14:textId="166733BE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530F49" w14:textId="34B213A3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0.47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7E545C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(0.07 -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773C8A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3.40)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B25A4" w14:textId="02D4DD21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5A625C" w14:textId="14467FA2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0.70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7C304B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(0.22 -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55BB6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2.23)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22DD" w14:textId="5624E606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028E79" w14:textId="4599F42C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2072B3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(0.27 -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DD2674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4.51)</w:t>
                  </w:r>
                </w:p>
              </w:tc>
            </w:tr>
            <w:tr w:rsidR="00E870F1" w:rsidRPr="00AD30EB" w14:paraId="0679A263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257070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Stomach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75FBA3" w14:textId="0FBD6CAE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57481D" w14:textId="0221819C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0.53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7648B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(0.07 -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CF8511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3.78)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981C4" w14:textId="514DF918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0C40D" w14:textId="2E0002D5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DE0FA0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(0.38 -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0A2BF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2.91)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C6F85" w14:textId="162492D5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4671F5" w14:textId="30FB3AD3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0.66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8EB72B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(0.09 -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15CD81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4.79)</w:t>
                  </w:r>
                </w:p>
              </w:tc>
            </w:tr>
            <w:tr w:rsidR="00E870F1" w:rsidRPr="00AD30EB" w14:paraId="6DBEBEB5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575F40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Colon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53F167" w14:textId="28A0E248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EDBEF7" w14:textId="7B437E5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0.44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C3E3B8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(0.14 -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03E974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1.37)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D820" w14:textId="36D42A4D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23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1FD84A" w14:textId="3D74149E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1.18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B95DDC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(0.71 -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5285A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1.96)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672A" w14:textId="56764CC0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DD60FA" w14:textId="451F0401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0.36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DE61D0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(0.09 -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5B404D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1.43)</w:t>
                  </w:r>
                </w:p>
              </w:tc>
            </w:tr>
            <w:tr w:rsidR="00E870F1" w:rsidRPr="00AD30EB" w14:paraId="2B6CEFAE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A725C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Rectum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CB3CD1" w14:textId="63E0D602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623A03" w14:textId="1A60F60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584753" w14:textId="6A9FD91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B52AE0" w14:textId="5F36B533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4DF7" w14:textId="352B3B0F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3A802F" w14:textId="443B1E9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0.64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54566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(0.16 -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828FC4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2.63)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B34BA" w14:textId="255ECFF3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D24BD1" w14:textId="02279712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B33CE9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(0.11 -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348205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5.83)</w:t>
                  </w:r>
                </w:p>
              </w:tc>
            </w:tr>
            <w:tr w:rsidR="00E870F1" w:rsidRPr="00AD30EB" w14:paraId="59CB4FB2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33B557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Anus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3FD0DD" w14:textId="4B3DB72A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C076E4" w14:textId="53E8E256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2.41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9DC9B7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(0.75 -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5056DD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7.72)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79F7" w14:textId="4F342E16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21068B" w14:textId="51E8BEAB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3.56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04ED6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(1.68 -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15036D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7.54)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CDF2" w14:textId="586B8BE3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31599F" w14:textId="4B829D56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1.21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47E74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(0.17 -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7F6ED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8.78)</w:t>
                  </w:r>
                </w:p>
              </w:tc>
            </w:tr>
            <w:tr w:rsidR="00E870F1" w:rsidRPr="00AD30EB" w14:paraId="4F5D485E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BD3E99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Pancreas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959870" w14:textId="6C53B29A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1752BD" w14:textId="333C7D09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1.75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CE10B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(0.64 -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6470E9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4.79)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98BC4" w14:textId="35C5BB71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4C5D1B" w14:textId="133EDC63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0.70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9CB31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(0.22 -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8E8058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2.23)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402F5" w14:textId="5AFEC420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DEA2D6" w14:textId="211BB7B9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1.13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19B0AD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(0.28 -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9BBAE1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4.62)</w:t>
                  </w:r>
                </w:p>
              </w:tc>
            </w:tr>
            <w:tr w:rsidR="00E870F1" w:rsidRPr="00AD30EB" w14:paraId="2FA01C89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AE1717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Larynx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F68637" w14:textId="1492D45B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B89822" w14:textId="3005D62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0.73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B134D5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(0.10 -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44991C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5.29)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C7303" w14:textId="04EDF9EF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B296D2" w14:textId="3693DB2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1.06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50D35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(0.33 -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C8EE1A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3.41)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1387A" w14:textId="04D2BBD0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631D16" w14:textId="7AD2472B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0.91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5F8CF6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(0.12 -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AFAD8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6.59)</w:t>
                  </w:r>
                </w:p>
              </w:tc>
            </w:tr>
            <w:tr w:rsidR="00E870F1" w:rsidRPr="00AD30EB" w14:paraId="340F7AF9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73721D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Lung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FECC8E" w14:textId="13520D40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ED7ACE" w14:textId="0E87CE3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D1A7D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(0.69 -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3DE53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1.55)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5AEA" w14:textId="6EC0D660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8FEEA4" w14:textId="4CE52B3B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1.26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C2B3C3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(0.96 -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7723C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1.65)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0F7D4" w14:textId="1B14EA13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A50893" w14:textId="79E083E6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1.22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46C37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(0.79 -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C5CB26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1.86)</w:t>
                  </w:r>
                </w:p>
              </w:tc>
            </w:tr>
            <w:tr w:rsidR="00E870F1" w:rsidRPr="00AD30EB" w14:paraId="5289ADFC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ED7A33" w14:textId="7AB0058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Squamous</w:t>
                  </w:r>
                  <w:r w:rsidR="00960A55" w:rsidRPr="002B099F">
                    <w:rPr>
                      <w:rFonts w:eastAsia="Times New Roman"/>
                      <w:bCs/>
                    </w:rPr>
                    <w:t>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1FA94D" w14:textId="120B1F5C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75C4E7" w14:textId="6BFA1C61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0FAB9B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(0.55 -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374369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2.09)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FE4F" w14:textId="387480EB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39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21CE69" w14:textId="51848CBD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1.72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F885FD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(1.17 -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38E758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2.52)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4AA85" w14:textId="2EF45967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0FE9CB" w14:textId="32A061CC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1.45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88EDE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(0.77 -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1AC879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2.75)</w:t>
                  </w:r>
                </w:p>
              </w:tc>
            </w:tr>
            <w:tr w:rsidR="00E870F1" w:rsidRPr="00AD30EB" w14:paraId="1278EE81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E48932" w14:textId="227F2D16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Non-squamous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714D42" w14:textId="7D9ACB79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70052E" w14:textId="5AAED6B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836A29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(0.60 -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8C866D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1.68)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1783F" w14:textId="5BAA24B8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39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0DF423" w14:textId="6483F9C2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0.98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5BDC2D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(0.67 -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1A6EC3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1.43)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C4A5F" w14:textId="56E930CC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17DC1A" w14:textId="729EA13B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6379D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(0.60 -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45B68C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1.89)</w:t>
                  </w:r>
                </w:p>
              </w:tc>
            </w:tr>
            <w:tr w:rsidR="00E870F1" w:rsidRPr="00AD30EB" w14:paraId="57CC3687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6295F1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Kidney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25745" w14:textId="008024B2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1F188B" w14:textId="15AD97B9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0.99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FD45BD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(0.51 -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695B2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1.91)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5504" w14:textId="085F7023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DB75F5" w14:textId="573ECA86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0.75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49231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(0.43 -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D37F65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1.31)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36C94" w14:textId="044D50F2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CB2A52" w14:textId="68DDF4C1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0.68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23637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(0.28 -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AB46E9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1.64)</w:t>
                  </w:r>
                </w:p>
              </w:tc>
            </w:tr>
            <w:tr w:rsidR="00E870F1" w:rsidRPr="00AD30EB" w14:paraId="2F4376AB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54C9BC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Bladder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AB4DA6" w14:textId="52DF140F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CC1254" w14:textId="51FAC6D9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E802F9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(0.43 -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C6D7DD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2.54)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DC7BE" w14:textId="1FEBF1CA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17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53DEC0" w14:textId="6B86483A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1.62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953EB3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(0.95 -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930F6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2.76)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85BA1" w14:textId="4C3424B1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C39D7E" w14:textId="6C6922C9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1.51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7DBCE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(0.66 -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C48588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3.43)</w:t>
                  </w:r>
                </w:p>
              </w:tc>
            </w:tr>
            <w:tr w:rsidR="00E870F1" w:rsidRPr="00AD30EB" w14:paraId="5439DFE5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2C43C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Prostate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D61C7F" w14:textId="1A5F84C5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320CD4" w14:textId="72CE9279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1.45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22F66F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(1.00 -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54DCD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2.10)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CE84A" w14:textId="3A5BD0A2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A9CA47" w14:textId="6F348270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0.91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C1BE10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(0.65 -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A55576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1.28)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C6CD2" w14:textId="3A2CE2BB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CC6E0C" w14:textId="768FE476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1.11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A6CEED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(0.70 -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5D2AA6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1.76)</w:t>
                  </w:r>
                </w:p>
              </w:tc>
            </w:tr>
            <w:tr w:rsidR="00E870F1" w:rsidRPr="00AD30EB" w14:paraId="1D693366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4F39D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Breast (female)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B7CABB" w14:textId="1E680FE2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6BE625" w14:textId="26102DB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0.86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68F3E0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(0.32 -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60E1CC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2.32)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4EB4" w14:textId="7C106209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C307AF" w14:textId="6EE84468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0.80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0A7D5F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(0.35 -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787336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1.79)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A638" w14:textId="165BB874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8C652" w14:textId="6E2761C5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2.35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0CFA4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(1.04 -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E9478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5.28)</w:t>
                  </w:r>
                </w:p>
              </w:tc>
            </w:tr>
            <w:tr w:rsidR="00E870F1" w:rsidRPr="00AD30EB" w14:paraId="166E2298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E59C8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Uterus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221159" w14:textId="164E300B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B3DEE1" w14:textId="06E959AE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2.48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7A6224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(0.61 -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13B10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10.16)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7E96" w14:textId="04D3A93B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7C45D8" w14:textId="7DF93238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0.66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904E8D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(0.09 -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22645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4.80)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1205" w14:textId="7A985D6A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6F6340" w14:textId="339BA2AA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3F5057" w14:textId="013B7B55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F9D507" w14:textId="1331F28A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870F1" w:rsidRPr="00AD30EB" w14:paraId="196F93BD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31EBC6" w14:textId="66DAA03B" w:rsidR="002B7625" w:rsidRPr="00AD30EB" w:rsidRDefault="002B7625" w:rsidP="00FE044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Female HPV-related</w:t>
                  </w:r>
                  <w:r w:rsidR="00FE0448">
                    <w:rPr>
                      <w:rFonts w:eastAsia="Times New Roman"/>
                      <w:b/>
                      <w:bCs/>
                      <w:color w:val="000000"/>
                    </w:rPr>
                    <w:t xml:space="preserve"> genital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682526" w14:textId="2FEA8375" w:rsidR="002B7625" w:rsidRPr="001019A7" w:rsidRDefault="001019A7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2EDA82" w14:textId="53005275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0.99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815CF6" w14:textId="4B38CDEF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(0.14 -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D7F187" w14:textId="77777777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7.14)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D79D3" w14:textId="0276E0AA" w:rsidR="002B7625" w:rsidRPr="001019A7" w:rsidRDefault="00E12462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59AFAC" w14:textId="4CED1E3A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3.89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B514FB" w14:textId="5D4127EF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(1.67 -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F29D34" w14:textId="77777777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9.05)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2D1763" w14:textId="3FF75688" w:rsidR="002B7625" w:rsidRPr="00012695" w:rsidRDefault="0024633B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859A54" w14:textId="6E0C47D8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7E321A" w14:textId="76C672DB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54E203" w14:textId="47297162" w:rsidR="002B7625" w:rsidRPr="00AD30EB" w:rsidRDefault="002B7625" w:rsidP="00FE044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870F1" w:rsidRPr="00AD30EB" w14:paraId="6B33CACA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837CD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Thyroid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9CA077" w14:textId="0C4CB483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5A4E3B" w14:textId="0C660A0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77F164" w14:textId="1E25D391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747FDD" w14:textId="471D3B39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071CD" w14:textId="56FB2FCF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5A28E9" w14:textId="7D277CEC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1.80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E0548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(0.79 -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1694E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4.11)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83378" w14:textId="224D2B16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5A6889" w14:textId="24E71CCA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0.77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691FB8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(0.11 -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F2A86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5.50)</w:t>
                  </w:r>
                </w:p>
              </w:tc>
            </w:tr>
            <w:tr w:rsidR="00E870F1" w:rsidRPr="00AD30EB" w14:paraId="49ACDF93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F790E2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Melanoma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E7271F" w14:textId="4EAAD3E1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7DFE5B" w14:textId="30C4C5DB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1.74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938AC6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(0.95 -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3FC418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3.19)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58E7" w14:textId="6A66690C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47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529CF9" w14:textId="194AC048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1.97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5C9E2C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(1.28 -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2CF427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3.03)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6924A" w14:textId="0FD5B2D3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9F28E7" w14:textId="59EB6460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1.89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0EA40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(0.97 -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578C44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3.69)</w:t>
                  </w:r>
                </w:p>
              </w:tc>
            </w:tr>
            <w:tr w:rsidR="00E870F1" w:rsidRPr="00AD30EB" w14:paraId="6963A8DB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09E033" w14:textId="6FF8F4AC" w:rsidR="002B7625" w:rsidRPr="009C09CE" w:rsidRDefault="002B7625" w:rsidP="00960A5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vertAlign w:val="superscript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Other skin</w:t>
                  </w:r>
                  <w:r w:rsidR="00960A55" w:rsidRPr="002B099F">
                    <w:rPr>
                      <w:rFonts w:eastAsia="Times New Roman"/>
                      <w:bCs/>
                      <w:vertAlign w:val="superscript"/>
                    </w:rPr>
                    <w:t>‡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F6CE02" w14:textId="1BB48BC0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EAB72D" w14:textId="49D48B74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2.14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823175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(1.00 -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B035F1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4.59)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1B45" w14:textId="15B3315C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46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120943" w14:textId="3EC29273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3.92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FA1759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(2.53 -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5E7A2B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6.10)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F743" w14:textId="6613F6F3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816603" w14:textId="7DD6EB6F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6.01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33693D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(3.57 -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59356F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10.09)</w:t>
                  </w:r>
                </w:p>
              </w:tc>
            </w:tr>
            <w:tr w:rsidR="00E870F1" w:rsidRPr="00AD30EB" w14:paraId="25D3805E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51C8FA" w14:textId="0073C42D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Merkel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BABB2E" w14:textId="5E96FC17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97FC7A" w14:textId="0C4A2003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2.66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BDD679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(0.97 -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D9A710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7.34)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0846" w14:textId="394232AB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EAF91D" w14:textId="46180992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3.91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63A161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(2.03 -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32E9E5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7.53)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7F96" w14:textId="3DE5C309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43BFFE" w14:textId="27A49B96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6.88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297042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(3.36 -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C4468E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14.09)</w:t>
                  </w:r>
                </w:p>
              </w:tc>
            </w:tr>
            <w:tr w:rsidR="00E870F1" w:rsidRPr="00AD30EB" w14:paraId="2122766E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F05444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NHL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73A257" w14:textId="3678D653" w:rsidR="002B7625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>
                    <w:rPr>
                      <w:rFonts w:eastAsia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D7E6F" w14:textId="20AB8E02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0.43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4837F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 xml:space="preserve">(0.19 -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982885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i/>
                      <w:color w:val="000000"/>
                    </w:rPr>
                    <w:t>0.97)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EE549" w14:textId="3E12DCE4" w:rsidR="002B7625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5740B9" w14:textId="1E2E1DEE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0.68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5ABAD7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(0.43 -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BECECD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1.07)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B3DD6" w14:textId="711F7B82" w:rsidR="002B7625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1082B0" w14:textId="7BB8A33C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0.81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72694A" w14:textId="77777777" w:rsidR="002B7625" w:rsidRPr="00AD30EB" w:rsidRDefault="002B7625" w:rsidP="00AD30E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(0.42 -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3DFD11" w14:textId="77777777" w:rsidR="002B7625" w:rsidRPr="00AD30EB" w:rsidRDefault="002B7625" w:rsidP="00AD30E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1.57)</w:t>
                  </w:r>
                </w:p>
              </w:tc>
            </w:tr>
            <w:tr w:rsidR="00E870F1" w:rsidRPr="00AD30EB" w14:paraId="2F9938D2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261A2D" w14:textId="420D2B25" w:rsidR="00E870F1" w:rsidRPr="009C09CE" w:rsidRDefault="00E870F1" w:rsidP="00960A55">
                  <w:pPr>
                    <w:spacing w:after="0" w:line="240" w:lineRule="auto"/>
                    <w:rPr>
                      <w:rFonts w:eastAsia="Times New Roman"/>
                      <w:color w:val="000000"/>
                      <w:vertAlign w:val="superscript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DLBCL</w:t>
                  </w:r>
                  <w:r w:rsidR="00960A55" w:rsidRPr="00960A55">
                    <w:rPr>
                      <w:rFonts w:eastAsia="Times New Roman"/>
                      <w:bCs/>
                      <w:vertAlign w:val="superscript"/>
                    </w:rPr>
                    <w:t>§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D4E1FD" w14:textId="741E0CC4" w:rsidR="00E870F1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C6FD60" w14:textId="1F27C59D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0.40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F31B39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(0.13 -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684142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1.23)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F5B8" w14:textId="5AF4D674" w:rsidR="00E870F1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9C5BDD" w14:textId="09EF19B5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7D13CA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(0.63 -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CF272" w14:textId="4860437C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1.74)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8A35F7" w14:textId="361A88B7" w:rsidR="00E870F1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9DAC86" w14:textId="29931A3F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0.83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F0517F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(0.34 -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732D2E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2.01)</w:t>
                  </w:r>
                </w:p>
              </w:tc>
            </w:tr>
            <w:tr w:rsidR="00E870F1" w:rsidRPr="00AD30EB" w14:paraId="7167439A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25948D" w14:textId="244DBC66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AD30EB">
                    <w:rPr>
                      <w:rFonts w:eastAsia="Times New Roman"/>
                      <w:color w:val="000000"/>
                    </w:rPr>
                    <w:t>Other NHL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6924ED" w14:textId="5D94DD9C" w:rsidR="00E870F1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C0AAE8" w14:textId="28EE8B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0.48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695D47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(0.15 -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2C1BDA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1.50)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E684" w14:textId="44C8181F" w:rsidR="00E870F1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35305E" w14:textId="5D1459D3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i/>
                      <w:color w:val="000000"/>
                    </w:rPr>
                    <w:t>0.23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8D6C81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i/>
                      <w:color w:val="000000"/>
                    </w:rPr>
                    <w:t xml:space="preserve">(0.08 -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48FD" w14:textId="04D3864B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i/>
                      <w:color w:val="000000"/>
                    </w:rPr>
                    <w:t>0.73)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534172" w14:textId="3275A25D" w:rsidR="00E870F1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64C742" w14:textId="0B62B33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0.78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3D1568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(0.29 -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6AF5E0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2.11)</w:t>
                  </w:r>
                </w:p>
              </w:tc>
            </w:tr>
            <w:tr w:rsidR="00E870F1" w:rsidRPr="00AD30EB" w14:paraId="24D67258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9951C0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Myeloma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4C8C58" w14:textId="00809037" w:rsidR="00E870F1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E1EE52" w14:textId="76BA89FC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1.17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8082C7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(0.29 -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25CE9C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4.79)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21249" w14:textId="039F70C9" w:rsidR="00E870F1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73E0A3" w14:textId="19864141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1.21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7D75E7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(0.44 -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0EA99" w14:textId="6CC80489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3.37)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E932D1" w14:textId="0FB5455B" w:rsidR="00E870F1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D4B498" w14:textId="6481EDAA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1.48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20E9DD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(0.36 - 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B87112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6.13)</w:t>
                  </w:r>
                </w:p>
              </w:tc>
            </w:tr>
            <w:tr w:rsidR="00E870F1" w:rsidRPr="00AD30EB" w14:paraId="7A22938D" w14:textId="77777777" w:rsidTr="00847208">
              <w:trPr>
                <w:gridAfter w:val="1"/>
                <w:wAfter w:w="56" w:type="dxa"/>
                <w:trHeight w:val="300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ED534A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AD30EB">
                    <w:rPr>
                      <w:rFonts w:eastAsia="Times New Roman"/>
                      <w:b/>
                      <w:bCs/>
                      <w:color w:val="000000"/>
                    </w:rPr>
                    <w:t>Acute leukemia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86653" w14:textId="00439FEC" w:rsidR="00E870F1" w:rsidRPr="001019A7" w:rsidRDefault="001019A7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A11600" w14:textId="2CB0F94A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0.72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D5C8DA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(0.10 - 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873EA6" w14:textId="777777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5.18)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8C1D0" w14:textId="1ED13123" w:rsidR="00E870F1" w:rsidRPr="001019A7" w:rsidRDefault="00E12462" w:rsidP="001019A7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7B05B4" w14:textId="6F0452C8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1.06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9681FE" w14:textId="77777777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 xml:space="preserve">(0.33 -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AF35" w14:textId="7C7B3E77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3.44)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3A7EA0" w14:textId="3B5F86B3" w:rsidR="00E870F1" w:rsidRPr="00012695" w:rsidRDefault="0024633B" w:rsidP="000126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1F7E77" w14:textId="678784CC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AD30EB">
                    <w:rPr>
                      <w:rFonts w:eastAsia="Times New Roman"/>
                      <w:color w:val="000000"/>
                    </w:rPr>
                    <w:t>0.00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435899" w14:textId="156A7B36" w:rsidR="00E870F1" w:rsidRPr="00AD30EB" w:rsidRDefault="00E870F1" w:rsidP="00E870F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AAB65B" w14:textId="7F267B9D" w:rsidR="00E870F1" w:rsidRPr="00AD30EB" w:rsidRDefault="00E870F1" w:rsidP="00E870F1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1192CB76" w14:textId="77777777" w:rsidR="00AD30EB" w:rsidRDefault="00AD30EB"/>
        </w:tc>
      </w:tr>
    </w:tbl>
    <w:p w14:paraId="4D28835E" w14:textId="0E4D1A4D" w:rsidR="00E91732" w:rsidRDefault="00E91732" w:rsidP="00E91732">
      <w:r>
        <w:t xml:space="preserve">Abbreviations: </w:t>
      </w:r>
      <w:r w:rsidR="00D70D3E">
        <w:t xml:space="preserve">KC= keratinocytic carcinoma; BCC= basal cell carcinoma; SCC= squamous cell carcinoma; </w:t>
      </w:r>
      <w:r>
        <w:t>HPV = human papillomavirus; MCC = Merkel cell carcinoma; NHL = non-Hodgkin lymphoma; DLBCL = diffuse large B-cell lymphoma</w:t>
      </w:r>
    </w:p>
    <w:p w14:paraId="2E2461A6" w14:textId="59201F74" w:rsidR="002B099F" w:rsidRDefault="002B099F" w:rsidP="00E91732">
      <w:r>
        <w:t xml:space="preserve">* Cox regression models with age as the time scale, adjusted for sex, organ, </w:t>
      </w:r>
      <w:proofErr w:type="gramStart"/>
      <w:r>
        <w:t>year</w:t>
      </w:r>
      <w:proofErr w:type="gramEnd"/>
      <w:r>
        <w:t xml:space="preserve"> of transplant, and time since transplant. BCC, SCC, and BCC+SCC are time-dependent variables.</w:t>
      </w:r>
    </w:p>
    <w:p w14:paraId="0ECF12A9" w14:textId="77777777" w:rsidR="00960A55" w:rsidRDefault="00960A55" w:rsidP="00960A55">
      <w:r w:rsidRPr="002B099F">
        <w:rPr>
          <w:rFonts w:eastAsia="Times New Roman"/>
          <w:bCs/>
        </w:rPr>
        <w:t>†</w:t>
      </w:r>
      <w:r>
        <w:rPr>
          <w:rFonts w:eastAsia="Times New Roman"/>
          <w:bCs/>
        </w:rPr>
        <w:t xml:space="preserve"> </w:t>
      </w:r>
      <w:r>
        <w:t>Internal squamous cell cancers were identified using SEER histology codes 8052, 8070-8078, 8083, and 8084.</w:t>
      </w:r>
    </w:p>
    <w:p w14:paraId="390BA181" w14:textId="77777777" w:rsidR="00960A55" w:rsidRDefault="00960A55" w:rsidP="00960A55">
      <w:r w:rsidRPr="002B099F">
        <w:rPr>
          <w:rFonts w:eastAsia="Times New Roman"/>
          <w:bCs/>
          <w:vertAlign w:val="superscript"/>
        </w:rPr>
        <w:t>‡</w:t>
      </w:r>
      <w:r>
        <w:t xml:space="preserve"> Histology codes were used to define Merkel cell carcinoma (8247) and other types of skin cancer (8123, 8140, 8200, 8390, 8400-8402, 8407, 8409, 8410, 8413, 8560, 8800-8802, 8830, 8832, 8890, and 9120).</w:t>
      </w:r>
    </w:p>
    <w:p w14:paraId="0E3FAFFA" w14:textId="77777777" w:rsidR="00960A55" w:rsidRPr="00960A55" w:rsidRDefault="00960A55" w:rsidP="00960A55">
      <w:pPr>
        <w:rPr>
          <w:rFonts w:eastAsia="Times New Roman"/>
          <w:bCs/>
          <w:vertAlign w:val="superscript"/>
        </w:rPr>
      </w:pPr>
      <w:r w:rsidRPr="00960A55">
        <w:rPr>
          <w:rFonts w:eastAsia="Times New Roman"/>
          <w:bCs/>
          <w:vertAlign w:val="superscript"/>
        </w:rPr>
        <w:t>§</w:t>
      </w:r>
      <w:r>
        <w:rPr>
          <w:rFonts w:eastAsia="Times New Roman"/>
          <w:bCs/>
          <w:vertAlign w:val="superscript"/>
        </w:rPr>
        <w:t xml:space="preserve"> </w:t>
      </w:r>
      <w:r>
        <w:t xml:space="preserve">Histology codes were used to define DLBCL (9678-9680, 9684, 9688, 9712, 9737, 9738). </w:t>
      </w:r>
    </w:p>
    <w:p w14:paraId="5DBA17AA" w14:textId="77777777" w:rsidR="009C6864" w:rsidRDefault="009C6864"/>
    <w:p w14:paraId="6A60FAC2" w14:textId="02A36DC2" w:rsidR="004B03A8" w:rsidRPr="00347C8B" w:rsidRDefault="004B03A8" w:rsidP="00347C8B">
      <w:pPr>
        <w:spacing w:after="0" w:line="240" w:lineRule="auto"/>
      </w:pPr>
    </w:p>
    <w:sectPr w:rsidR="004B03A8" w:rsidRPr="00347C8B" w:rsidSect="00BF2C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36224" w14:textId="77777777" w:rsidR="00B9171F" w:rsidRDefault="00B9171F" w:rsidP="00096239">
      <w:pPr>
        <w:spacing w:after="0" w:line="240" w:lineRule="auto"/>
      </w:pPr>
      <w:r>
        <w:separator/>
      </w:r>
    </w:p>
  </w:endnote>
  <w:endnote w:type="continuationSeparator" w:id="0">
    <w:p w14:paraId="52136C52" w14:textId="77777777" w:rsidR="00B9171F" w:rsidRDefault="00B9171F" w:rsidP="0009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888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50FB94" w14:textId="77777777" w:rsidR="00B9171F" w:rsidRDefault="00B9171F" w:rsidP="000C45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6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40A028" w14:textId="77777777" w:rsidR="00B9171F" w:rsidRDefault="00B917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D9475" w14:textId="77777777" w:rsidR="00B9171F" w:rsidRDefault="00B9171F" w:rsidP="00096239">
      <w:pPr>
        <w:spacing w:after="0" w:line="240" w:lineRule="auto"/>
      </w:pPr>
      <w:r>
        <w:separator/>
      </w:r>
    </w:p>
  </w:footnote>
  <w:footnote w:type="continuationSeparator" w:id="0">
    <w:p w14:paraId="1C12341D" w14:textId="77777777" w:rsidR="00B9171F" w:rsidRDefault="00B9171F" w:rsidP="0009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2A5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8798C"/>
    <w:multiLevelType w:val="hybridMultilevel"/>
    <w:tmpl w:val="BCEAF4AA"/>
    <w:lvl w:ilvl="0" w:tplc="5274A01C">
      <w:start w:val="1"/>
      <w:numFmt w:val="decimal"/>
      <w:lvlText w:val="%1"/>
      <w:lvlJc w:val="right"/>
      <w:pPr>
        <w:ind w:left="72" w:hanging="72"/>
      </w:pPr>
      <w:rPr>
        <w:rFonts w:cs="Times New Roman"/>
        <w:vertAlign w:val="superscrip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864CC"/>
    <w:multiLevelType w:val="hybridMultilevel"/>
    <w:tmpl w:val="5A4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07A5B"/>
    <w:multiLevelType w:val="hybridMultilevel"/>
    <w:tmpl w:val="9FD0559C"/>
    <w:lvl w:ilvl="0" w:tplc="CB08A1A6">
      <w:start w:val="1"/>
      <w:numFmt w:val="decimal"/>
      <w:lvlText w:val="%1"/>
      <w:lvlJc w:val="left"/>
      <w:pPr>
        <w:ind w:left="720" w:hanging="576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US" w:vendorID="64" w:dllVersion="131078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810A3"/>
    <w:rsid w:val="00000D1F"/>
    <w:rsid w:val="00005DB7"/>
    <w:rsid w:val="00011F22"/>
    <w:rsid w:val="00012169"/>
    <w:rsid w:val="00012695"/>
    <w:rsid w:val="00012C15"/>
    <w:rsid w:val="00017246"/>
    <w:rsid w:val="0002196E"/>
    <w:rsid w:val="00021DD5"/>
    <w:rsid w:val="00022ECB"/>
    <w:rsid w:val="000239BD"/>
    <w:rsid w:val="000243FF"/>
    <w:rsid w:val="000251BA"/>
    <w:rsid w:val="0003157B"/>
    <w:rsid w:val="00031A1D"/>
    <w:rsid w:val="0003311B"/>
    <w:rsid w:val="00036D49"/>
    <w:rsid w:val="00045D31"/>
    <w:rsid w:val="00046416"/>
    <w:rsid w:val="00046E89"/>
    <w:rsid w:val="000471B2"/>
    <w:rsid w:val="00047DD0"/>
    <w:rsid w:val="00050907"/>
    <w:rsid w:val="00052831"/>
    <w:rsid w:val="00055FEA"/>
    <w:rsid w:val="00066C14"/>
    <w:rsid w:val="000744EA"/>
    <w:rsid w:val="000757CF"/>
    <w:rsid w:val="0007669C"/>
    <w:rsid w:val="00076BE2"/>
    <w:rsid w:val="00076F82"/>
    <w:rsid w:val="00080318"/>
    <w:rsid w:val="0008272B"/>
    <w:rsid w:val="00082905"/>
    <w:rsid w:val="00083029"/>
    <w:rsid w:val="0008315E"/>
    <w:rsid w:val="00084EFF"/>
    <w:rsid w:val="000850F9"/>
    <w:rsid w:val="0009050A"/>
    <w:rsid w:val="00092AB4"/>
    <w:rsid w:val="00093EA5"/>
    <w:rsid w:val="00094187"/>
    <w:rsid w:val="00095D8D"/>
    <w:rsid w:val="000961E9"/>
    <w:rsid w:val="00096239"/>
    <w:rsid w:val="000A48E5"/>
    <w:rsid w:val="000A7524"/>
    <w:rsid w:val="000A75CE"/>
    <w:rsid w:val="000A77DA"/>
    <w:rsid w:val="000B5F85"/>
    <w:rsid w:val="000B70A3"/>
    <w:rsid w:val="000C0571"/>
    <w:rsid w:val="000C1E6C"/>
    <w:rsid w:val="000C29DE"/>
    <w:rsid w:val="000C2A18"/>
    <w:rsid w:val="000C45B4"/>
    <w:rsid w:val="000C477C"/>
    <w:rsid w:val="000C650A"/>
    <w:rsid w:val="000C736C"/>
    <w:rsid w:val="000D2A40"/>
    <w:rsid w:val="000D6111"/>
    <w:rsid w:val="000D6B39"/>
    <w:rsid w:val="000D6C2C"/>
    <w:rsid w:val="000E2AA6"/>
    <w:rsid w:val="000E2D14"/>
    <w:rsid w:val="000F3860"/>
    <w:rsid w:val="000F3BD8"/>
    <w:rsid w:val="000F45E1"/>
    <w:rsid w:val="001019A7"/>
    <w:rsid w:val="00101E8F"/>
    <w:rsid w:val="00102F9E"/>
    <w:rsid w:val="001051B1"/>
    <w:rsid w:val="00107AEB"/>
    <w:rsid w:val="00112B99"/>
    <w:rsid w:val="00114F3B"/>
    <w:rsid w:val="0011541B"/>
    <w:rsid w:val="00115873"/>
    <w:rsid w:val="001173ED"/>
    <w:rsid w:val="00117ECF"/>
    <w:rsid w:val="001243EB"/>
    <w:rsid w:val="00126326"/>
    <w:rsid w:val="001270D4"/>
    <w:rsid w:val="0013125D"/>
    <w:rsid w:val="00131EE8"/>
    <w:rsid w:val="00132934"/>
    <w:rsid w:val="001342DF"/>
    <w:rsid w:val="00135FC2"/>
    <w:rsid w:val="0013649E"/>
    <w:rsid w:val="00137659"/>
    <w:rsid w:val="001405BE"/>
    <w:rsid w:val="00143867"/>
    <w:rsid w:val="00144848"/>
    <w:rsid w:val="00146184"/>
    <w:rsid w:val="00154A43"/>
    <w:rsid w:val="00161CB1"/>
    <w:rsid w:val="001653FE"/>
    <w:rsid w:val="00167885"/>
    <w:rsid w:val="0017023E"/>
    <w:rsid w:val="001740AF"/>
    <w:rsid w:val="001747B3"/>
    <w:rsid w:val="00177247"/>
    <w:rsid w:val="001810A3"/>
    <w:rsid w:val="001817DB"/>
    <w:rsid w:val="00182CCE"/>
    <w:rsid w:val="00185DDB"/>
    <w:rsid w:val="001905FF"/>
    <w:rsid w:val="001935A4"/>
    <w:rsid w:val="001946F9"/>
    <w:rsid w:val="0019511E"/>
    <w:rsid w:val="00195DC2"/>
    <w:rsid w:val="001974D7"/>
    <w:rsid w:val="001A2E5E"/>
    <w:rsid w:val="001A34D2"/>
    <w:rsid w:val="001A6CCF"/>
    <w:rsid w:val="001A6D0F"/>
    <w:rsid w:val="001B34F4"/>
    <w:rsid w:val="001B74F1"/>
    <w:rsid w:val="001C1996"/>
    <w:rsid w:val="001C1BAE"/>
    <w:rsid w:val="001C7F1C"/>
    <w:rsid w:val="001D4195"/>
    <w:rsid w:val="001D752C"/>
    <w:rsid w:val="001E2E6B"/>
    <w:rsid w:val="001E5655"/>
    <w:rsid w:val="001F2DDE"/>
    <w:rsid w:val="001F6517"/>
    <w:rsid w:val="00200AA7"/>
    <w:rsid w:val="00201A4B"/>
    <w:rsid w:val="00201E0F"/>
    <w:rsid w:val="00203182"/>
    <w:rsid w:val="00205C30"/>
    <w:rsid w:val="00214A8F"/>
    <w:rsid w:val="0021628B"/>
    <w:rsid w:val="00216582"/>
    <w:rsid w:val="00217294"/>
    <w:rsid w:val="00221599"/>
    <w:rsid w:val="00222594"/>
    <w:rsid w:val="00224FBC"/>
    <w:rsid w:val="00225A7C"/>
    <w:rsid w:val="00225B2A"/>
    <w:rsid w:val="00230DB9"/>
    <w:rsid w:val="0023263E"/>
    <w:rsid w:val="002327CE"/>
    <w:rsid w:val="00236A9E"/>
    <w:rsid w:val="00240A5C"/>
    <w:rsid w:val="00242664"/>
    <w:rsid w:val="00242C94"/>
    <w:rsid w:val="0024591C"/>
    <w:rsid w:val="00245F03"/>
    <w:rsid w:val="0024633B"/>
    <w:rsid w:val="00253211"/>
    <w:rsid w:val="00261E6F"/>
    <w:rsid w:val="00263A84"/>
    <w:rsid w:val="00266924"/>
    <w:rsid w:val="002675C8"/>
    <w:rsid w:val="00272A3D"/>
    <w:rsid w:val="0027439C"/>
    <w:rsid w:val="002770E3"/>
    <w:rsid w:val="002779EE"/>
    <w:rsid w:val="00277F80"/>
    <w:rsid w:val="0028017D"/>
    <w:rsid w:val="00281AD9"/>
    <w:rsid w:val="002829B1"/>
    <w:rsid w:val="00282DF2"/>
    <w:rsid w:val="00282E93"/>
    <w:rsid w:val="00284413"/>
    <w:rsid w:val="002943DF"/>
    <w:rsid w:val="00296B5E"/>
    <w:rsid w:val="002A1FDD"/>
    <w:rsid w:val="002B099F"/>
    <w:rsid w:val="002B0B13"/>
    <w:rsid w:val="002B5A4B"/>
    <w:rsid w:val="002B7625"/>
    <w:rsid w:val="002B7C9A"/>
    <w:rsid w:val="002C6274"/>
    <w:rsid w:val="002C7003"/>
    <w:rsid w:val="002D18D5"/>
    <w:rsid w:val="002D7842"/>
    <w:rsid w:val="002E0452"/>
    <w:rsid w:val="002E5E9B"/>
    <w:rsid w:val="002E72E1"/>
    <w:rsid w:val="002E7A5B"/>
    <w:rsid w:val="002F13CF"/>
    <w:rsid w:val="002F2624"/>
    <w:rsid w:val="002F37B4"/>
    <w:rsid w:val="002F4104"/>
    <w:rsid w:val="002F4946"/>
    <w:rsid w:val="002F4FB1"/>
    <w:rsid w:val="002F6B5F"/>
    <w:rsid w:val="003015F2"/>
    <w:rsid w:val="00304BEB"/>
    <w:rsid w:val="00304D8E"/>
    <w:rsid w:val="00305D85"/>
    <w:rsid w:val="00305DB5"/>
    <w:rsid w:val="00312A70"/>
    <w:rsid w:val="00316375"/>
    <w:rsid w:val="0031749A"/>
    <w:rsid w:val="003217D5"/>
    <w:rsid w:val="0032357A"/>
    <w:rsid w:val="00325FEC"/>
    <w:rsid w:val="00327B2C"/>
    <w:rsid w:val="00333CFB"/>
    <w:rsid w:val="00333E94"/>
    <w:rsid w:val="003344A9"/>
    <w:rsid w:val="00334F4B"/>
    <w:rsid w:val="0033545C"/>
    <w:rsid w:val="00337A08"/>
    <w:rsid w:val="00337A8C"/>
    <w:rsid w:val="00342B04"/>
    <w:rsid w:val="0034476D"/>
    <w:rsid w:val="00346BBB"/>
    <w:rsid w:val="00347C8B"/>
    <w:rsid w:val="00351C4D"/>
    <w:rsid w:val="0035397D"/>
    <w:rsid w:val="00356F7E"/>
    <w:rsid w:val="0036292C"/>
    <w:rsid w:val="0036365F"/>
    <w:rsid w:val="00364347"/>
    <w:rsid w:val="003711E4"/>
    <w:rsid w:val="00373845"/>
    <w:rsid w:val="00374665"/>
    <w:rsid w:val="00384532"/>
    <w:rsid w:val="00385726"/>
    <w:rsid w:val="00390636"/>
    <w:rsid w:val="003914C3"/>
    <w:rsid w:val="0039655D"/>
    <w:rsid w:val="003A0206"/>
    <w:rsid w:val="003B7093"/>
    <w:rsid w:val="003C0466"/>
    <w:rsid w:val="003C07AE"/>
    <w:rsid w:val="003C0920"/>
    <w:rsid w:val="003C1F73"/>
    <w:rsid w:val="003C276A"/>
    <w:rsid w:val="003C52E2"/>
    <w:rsid w:val="003C7BB0"/>
    <w:rsid w:val="003E0D0C"/>
    <w:rsid w:val="003E14C3"/>
    <w:rsid w:val="003E15A0"/>
    <w:rsid w:val="003E336A"/>
    <w:rsid w:val="003E3577"/>
    <w:rsid w:val="003E5CE6"/>
    <w:rsid w:val="003E603C"/>
    <w:rsid w:val="003F112A"/>
    <w:rsid w:val="003F15F1"/>
    <w:rsid w:val="003F20AE"/>
    <w:rsid w:val="003F3E9F"/>
    <w:rsid w:val="003F677E"/>
    <w:rsid w:val="00402192"/>
    <w:rsid w:val="00402451"/>
    <w:rsid w:val="00404B75"/>
    <w:rsid w:val="00411DA7"/>
    <w:rsid w:val="00412A49"/>
    <w:rsid w:val="0041607E"/>
    <w:rsid w:val="00421B6F"/>
    <w:rsid w:val="00422146"/>
    <w:rsid w:val="00424360"/>
    <w:rsid w:val="00427BE6"/>
    <w:rsid w:val="00431027"/>
    <w:rsid w:val="0043523E"/>
    <w:rsid w:val="00442286"/>
    <w:rsid w:val="00444127"/>
    <w:rsid w:val="00446F39"/>
    <w:rsid w:val="00447156"/>
    <w:rsid w:val="00447AA9"/>
    <w:rsid w:val="00450AE3"/>
    <w:rsid w:val="00453F45"/>
    <w:rsid w:val="00461EFD"/>
    <w:rsid w:val="00464A44"/>
    <w:rsid w:val="004664E6"/>
    <w:rsid w:val="004717C4"/>
    <w:rsid w:val="00475386"/>
    <w:rsid w:val="00480027"/>
    <w:rsid w:val="004815D1"/>
    <w:rsid w:val="004831AB"/>
    <w:rsid w:val="00484448"/>
    <w:rsid w:val="00486672"/>
    <w:rsid w:val="00487A2E"/>
    <w:rsid w:val="0049131F"/>
    <w:rsid w:val="004918B6"/>
    <w:rsid w:val="00492137"/>
    <w:rsid w:val="00495D15"/>
    <w:rsid w:val="00496208"/>
    <w:rsid w:val="00496775"/>
    <w:rsid w:val="004A3258"/>
    <w:rsid w:val="004A3BBC"/>
    <w:rsid w:val="004A47F2"/>
    <w:rsid w:val="004A49CA"/>
    <w:rsid w:val="004A4C48"/>
    <w:rsid w:val="004A533F"/>
    <w:rsid w:val="004A57EB"/>
    <w:rsid w:val="004A6047"/>
    <w:rsid w:val="004A6C5C"/>
    <w:rsid w:val="004B03A8"/>
    <w:rsid w:val="004B1189"/>
    <w:rsid w:val="004B77D7"/>
    <w:rsid w:val="004C7350"/>
    <w:rsid w:val="004D175B"/>
    <w:rsid w:val="004D4419"/>
    <w:rsid w:val="004D6D89"/>
    <w:rsid w:val="004E2C11"/>
    <w:rsid w:val="004E304F"/>
    <w:rsid w:val="004F2A7F"/>
    <w:rsid w:val="004F3E69"/>
    <w:rsid w:val="004F41AD"/>
    <w:rsid w:val="004F6DB6"/>
    <w:rsid w:val="004F6FCD"/>
    <w:rsid w:val="005030A2"/>
    <w:rsid w:val="00506872"/>
    <w:rsid w:val="00506C81"/>
    <w:rsid w:val="005101FC"/>
    <w:rsid w:val="0051035C"/>
    <w:rsid w:val="005108B5"/>
    <w:rsid w:val="00510DED"/>
    <w:rsid w:val="00511DBF"/>
    <w:rsid w:val="00513D70"/>
    <w:rsid w:val="00516696"/>
    <w:rsid w:val="00520A7C"/>
    <w:rsid w:val="00520BCC"/>
    <w:rsid w:val="00523913"/>
    <w:rsid w:val="00523F0D"/>
    <w:rsid w:val="00526EEA"/>
    <w:rsid w:val="00530259"/>
    <w:rsid w:val="00530D13"/>
    <w:rsid w:val="005326D9"/>
    <w:rsid w:val="00532E23"/>
    <w:rsid w:val="005335A7"/>
    <w:rsid w:val="00540471"/>
    <w:rsid w:val="005427B0"/>
    <w:rsid w:val="005432BF"/>
    <w:rsid w:val="00545A17"/>
    <w:rsid w:val="005505AB"/>
    <w:rsid w:val="005507E7"/>
    <w:rsid w:val="00551494"/>
    <w:rsid w:val="0055153F"/>
    <w:rsid w:val="0055178D"/>
    <w:rsid w:val="00553B7B"/>
    <w:rsid w:val="00553ED2"/>
    <w:rsid w:val="00553F18"/>
    <w:rsid w:val="0055521E"/>
    <w:rsid w:val="00555784"/>
    <w:rsid w:val="005559F9"/>
    <w:rsid w:val="00557746"/>
    <w:rsid w:val="0056238A"/>
    <w:rsid w:val="005668F7"/>
    <w:rsid w:val="00566A7B"/>
    <w:rsid w:val="00571B95"/>
    <w:rsid w:val="0058051C"/>
    <w:rsid w:val="00580930"/>
    <w:rsid w:val="00582AC1"/>
    <w:rsid w:val="00583288"/>
    <w:rsid w:val="00583B24"/>
    <w:rsid w:val="0058424D"/>
    <w:rsid w:val="00584E47"/>
    <w:rsid w:val="00587D21"/>
    <w:rsid w:val="00590FBA"/>
    <w:rsid w:val="0059216E"/>
    <w:rsid w:val="005938CE"/>
    <w:rsid w:val="00594B46"/>
    <w:rsid w:val="0059735A"/>
    <w:rsid w:val="00597883"/>
    <w:rsid w:val="005A0426"/>
    <w:rsid w:val="005A1E6E"/>
    <w:rsid w:val="005A4127"/>
    <w:rsid w:val="005A6017"/>
    <w:rsid w:val="005B0F7D"/>
    <w:rsid w:val="005B37DA"/>
    <w:rsid w:val="005B57E6"/>
    <w:rsid w:val="005C008A"/>
    <w:rsid w:val="005C0335"/>
    <w:rsid w:val="005C1E00"/>
    <w:rsid w:val="005C3037"/>
    <w:rsid w:val="005C42E5"/>
    <w:rsid w:val="005C52A5"/>
    <w:rsid w:val="005C571B"/>
    <w:rsid w:val="005C72D5"/>
    <w:rsid w:val="005D057B"/>
    <w:rsid w:val="005D07F4"/>
    <w:rsid w:val="005D298A"/>
    <w:rsid w:val="005D7264"/>
    <w:rsid w:val="005D7D0A"/>
    <w:rsid w:val="005E00AF"/>
    <w:rsid w:val="005E0845"/>
    <w:rsid w:val="005E15B0"/>
    <w:rsid w:val="005E58AE"/>
    <w:rsid w:val="005E6FD4"/>
    <w:rsid w:val="005E70F9"/>
    <w:rsid w:val="005E74A2"/>
    <w:rsid w:val="005F37D9"/>
    <w:rsid w:val="005F51E8"/>
    <w:rsid w:val="005F5CE5"/>
    <w:rsid w:val="005F6338"/>
    <w:rsid w:val="00605B2E"/>
    <w:rsid w:val="00606274"/>
    <w:rsid w:val="0060694A"/>
    <w:rsid w:val="006102EB"/>
    <w:rsid w:val="00611F38"/>
    <w:rsid w:val="00612C48"/>
    <w:rsid w:val="0061725E"/>
    <w:rsid w:val="00617AF7"/>
    <w:rsid w:val="00624801"/>
    <w:rsid w:val="00626EC3"/>
    <w:rsid w:val="006332E8"/>
    <w:rsid w:val="00633E35"/>
    <w:rsid w:val="00635F2D"/>
    <w:rsid w:val="00636844"/>
    <w:rsid w:val="00641F97"/>
    <w:rsid w:val="00645E8E"/>
    <w:rsid w:val="00653C7C"/>
    <w:rsid w:val="00654509"/>
    <w:rsid w:val="00661588"/>
    <w:rsid w:val="00666004"/>
    <w:rsid w:val="0066646E"/>
    <w:rsid w:val="00667AC2"/>
    <w:rsid w:val="00673250"/>
    <w:rsid w:val="00674C67"/>
    <w:rsid w:val="00677590"/>
    <w:rsid w:val="00682B13"/>
    <w:rsid w:val="00682F35"/>
    <w:rsid w:val="006831C2"/>
    <w:rsid w:val="00684ED3"/>
    <w:rsid w:val="00690669"/>
    <w:rsid w:val="006910A8"/>
    <w:rsid w:val="00692F35"/>
    <w:rsid w:val="006956F0"/>
    <w:rsid w:val="006A7C08"/>
    <w:rsid w:val="006B5C98"/>
    <w:rsid w:val="006C0EAF"/>
    <w:rsid w:val="006C107C"/>
    <w:rsid w:val="006C359B"/>
    <w:rsid w:val="006C3E62"/>
    <w:rsid w:val="006C6551"/>
    <w:rsid w:val="006C7ECB"/>
    <w:rsid w:val="006D024D"/>
    <w:rsid w:val="006D053A"/>
    <w:rsid w:val="006D0A5F"/>
    <w:rsid w:val="006D1F18"/>
    <w:rsid w:val="006D3FE3"/>
    <w:rsid w:val="006E1D59"/>
    <w:rsid w:val="006E308E"/>
    <w:rsid w:val="006E53F2"/>
    <w:rsid w:val="006F5EBF"/>
    <w:rsid w:val="006F653D"/>
    <w:rsid w:val="006F6702"/>
    <w:rsid w:val="006F672B"/>
    <w:rsid w:val="006F77C5"/>
    <w:rsid w:val="006F7CFD"/>
    <w:rsid w:val="006F7D2E"/>
    <w:rsid w:val="007007A6"/>
    <w:rsid w:val="00707381"/>
    <w:rsid w:val="00707535"/>
    <w:rsid w:val="007076D3"/>
    <w:rsid w:val="00707A65"/>
    <w:rsid w:val="00707F08"/>
    <w:rsid w:val="00716314"/>
    <w:rsid w:val="00716EBD"/>
    <w:rsid w:val="007207E2"/>
    <w:rsid w:val="00721CBE"/>
    <w:rsid w:val="00722CDB"/>
    <w:rsid w:val="007233CE"/>
    <w:rsid w:val="0072476F"/>
    <w:rsid w:val="0072490C"/>
    <w:rsid w:val="0072491D"/>
    <w:rsid w:val="00725270"/>
    <w:rsid w:val="00727DF3"/>
    <w:rsid w:val="00730DC6"/>
    <w:rsid w:val="007312CB"/>
    <w:rsid w:val="00731522"/>
    <w:rsid w:val="00731CE3"/>
    <w:rsid w:val="00746318"/>
    <w:rsid w:val="00747281"/>
    <w:rsid w:val="0074797F"/>
    <w:rsid w:val="00751F92"/>
    <w:rsid w:val="00752981"/>
    <w:rsid w:val="00753E6B"/>
    <w:rsid w:val="00754707"/>
    <w:rsid w:val="00755FA1"/>
    <w:rsid w:val="00755FFE"/>
    <w:rsid w:val="007561D9"/>
    <w:rsid w:val="00757FC7"/>
    <w:rsid w:val="00763116"/>
    <w:rsid w:val="00763A6C"/>
    <w:rsid w:val="00764053"/>
    <w:rsid w:val="00770328"/>
    <w:rsid w:val="007707B1"/>
    <w:rsid w:val="0077085F"/>
    <w:rsid w:val="00771560"/>
    <w:rsid w:val="00771D04"/>
    <w:rsid w:val="00773834"/>
    <w:rsid w:val="00777B9D"/>
    <w:rsid w:val="00781B3D"/>
    <w:rsid w:val="007857CA"/>
    <w:rsid w:val="00787D0A"/>
    <w:rsid w:val="007902C9"/>
    <w:rsid w:val="007908F5"/>
    <w:rsid w:val="00790E59"/>
    <w:rsid w:val="007911A0"/>
    <w:rsid w:val="00792301"/>
    <w:rsid w:val="00793485"/>
    <w:rsid w:val="00794AB8"/>
    <w:rsid w:val="007953E6"/>
    <w:rsid w:val="007968BC"/>
    <w:rsid w:val="007973E2"/>
    <w:rsid w:val="00797C08"/>
    <w:rsid w:val="007A0DB8"/>
    <w:rsid w:val="007A4659"/>
    <w:rsid w:val="007A48B7"/>
    <w:rsid w:val="007A551B"/>
    <w:rsid w:val="007A6D26"/>
    <w:rsid w:val="007A71CF"/>
    <w:rsid w:val="007B01F0"/>
    <w:rsid w:val="007B5F84"/>
    <w:rsid w:val="007B7512"/>
    <w:rsid w:val="007B76F6"/>
    <w:rsid w:val="007B7DA9"/>
    <w:rsid w:val="007C0D2B"/>
    <w:rsid w:val="007C582C"/>
    <w:rsid w:val="007C5A1D"/>
    <w:rsid w:val="007D2398"/>
    <w:rsid w:val="007D5557"/>
    <w:rsid w:val="007E1FBA"/>
    <w:rsid w:val="007E391D"/>
    <w:rsid w:val="007E45A2"/>
    <w:rsid w:val="007E65FA"/>
    <w:rsid w:val="007F0D9D"/>
    <w:rsid w:val="007F19B3"/>
    <w:rsid w:val="007F49B2"/>
    <w:rsid w:val="007F6CEE"/>
    <w:rsid w:val="00801886"/>
    <w:rsid w:val="00802D25"/>
    <w:rsid w:val="0080420D"/>
    <w:rsid w:val="0080500D"/>
    <w:rsid w:val="00805866"/>
    <w:rsid w:val="0080631A"/>
    <w:rsid w:val="00806AB9"/>
    <w:rsid w:val="008125B7"/>
    <w:rsid w:val="008132A7"/>
    <w:rsid w:val="00813AEE"/>
    <w:rsid w:val="008147D4"/>
    <w:rsid w:val="008157A1"/>
    <w:rsid w:val="0082464E"/>
    <w:rsid w:val="00824912"/>
    <w:rsid w:val="0082674B"/>
    <w:rsid w:val="00827E14"/>
    <w:rsid w:val="00830C8E"/>
    <w:rsid w:val="00832A62"/>
    <w:rsid w:val="008421CA"/>
    <w:rsid w:val="00842900"/>
    <w:rsid w:val="00844772"/>
    <w:rsid w:val="00846A34"/>
    <w:rsid w:val="008471C4"/>
    <w:rsid w:val="00847208"/>
    <w:rsid w:val="0084725A"/>
    <w:rsid w:val="008545E4"/>
    <w:rsid w:val="00856C15"/>
    <w:rsid w:val="00857750"/>
    <w:rsid w:val="00861A38"/>
    <w:rsid w:val="00861C2F"/>
    <w:rsid w:val="0086315C"/>
    <w:rsid w:val="008660B6"/>
    <w:rsid w:val="00870867"/>
    <w:rsid w:val="00871DF8"/>
    <w:rsid w:val="00873732"/>
    <w:rsid w:val="00874F4F"/>
    <w:rsid w:val="008763AB"/>
    <w:rsid w:val="00877A4A"/>
    <w:rsid w:val="00880117"/>
    <w:rsid w:val="008809FD"/>
    <w:rsid w:val="00880FD8"/>
    <w:rsid w:val="00881E48"/>
    <w:rsid w:val="008831FD"/>
    <w:rsid w:val="00883FC4"/>
    <w:rsid w:val="0088441B"/>
    <w:rsid w:val="00886F82"/>
    <w:rsid w:val="0089320D"/>
    <w:rsid w:val="00895522"/>
    <w:rsid w:val="00895C92"/>
    <w:rsid w:val="00896A05"/>
    <w:rsid w:val="008972CE"/>
    <w:rsid w:val="008A359F"/>
    <w:rsid w:val="008B0B8D"/>
    <w:rsid w:val="008B7D4E"/>
    <w:rsid w:val="008B7E9F"/>
    <w:rsid w:val="008C01AD"/>
    <w:rsid w:val="008C1D1B"/>
    <w:rsid w:val="008C28B4"/>
    <w:rsid w:val="008C3E52"/>
    <w:rsid w:val="008C4AD2"/>
    <w:rsid w:val="008C6155"/>
    <w:rsid w:val="008C7985"/>
    <w:rsid w:val="008D0724"/>
    <w:rsid w:val="008D228A"/>
    <w:rsid w:val="008D2825"/>
    <w:rsid w:val="008D58F6"/>
    <w:rsid w:val="008D5B5C"/>
    <w:rsid w:val="008D6570"/>
    <w:rsid w:val="008D6879"/>
    <w:rsid w:val="008D6A0C"/>
    <w:rsid w:val="008D6F95"/>
    <w:rsid w:val="008D7B6E"/>
    <w:rsid w:val="008E0DF7"/>
    <w:rsid w:val="008E1972"/>
    <w:rsid w:val="008F0808"/>
    <w:rsid w:val="008F49B3"/>
    <w:rsid w:val="008F5776"/>
    <w:rsid w:val="008F581A"/>
    <w:rsid w:val="0090047C"/>
    <w:rsid w:val="00901376"/>
    <w:rsid w:val="009065BE"/>
    <w:rsid w:val="00911C7C"/>
    <w:rsid w:val="00913352"/>
    <w:rsid w:val="00913D2F"/>
    <w:rsid w:val="00914C92"/>
    <w:rsid w:val="00915246"/>
    <w:rsid w:val="00915A1D"/>
    <w:rsid w:val="00916913"/>
    <w:rsid w:val="00917DAB"/>
    <w:rsid w:val="00922AAB"/>
    <w:rsid w:val="0092333D"/>
    <w:rsid w:val="009250F8"/>
    <w:rsid w:val="00931848"/>
    <w:rsid w:val="009353FD"/>
    <w:rsid w:val="00935DE8"/>
    <w:rsid w:val="009370B1"/>
    <w:rsid w:val="00941BF5"/>
    <w:rsid w:val="009435FE"/>
    <w:rsid w:val="009460DD"/>
    <w:rsid w:val="00952CCA"/>
    <w:rsid w:val="00952E9E"/>
    <w:rsid w:val="00953014"/>
    <w:rsid w:val="0095536B"/>
    <w:rsid w:val="00960A55"/>
    <w:rsid w:val="00961071"/>
    <w:rsid w:val="00963F78"/>
    <w:rsid w:val="00964092"/>
    <w:rsid w:val="00966E1F"/>
    <w:rsid w:val="00972D1C"/>
    <w:rsid w:val="00974C1B"/>
    <w:rsid w:val="00992057"/>
    <w:rsid w:val="00992174"/>
    <w:rsid w:val="009934FF"/>
    <w:rsid w:val="00993AC6"/>
    <w:rsid w:val="00993F9A"/>
    <w:rsid w:val="00994D6C"/>
    <w:rsid w:val="009A084C"/>
    <w:rsid w:val="009A118F"/>
    <w:rsid w:val="009A1E7B"/>
    <w:rsid w:val="009A5065"/>
    <w:rsid w:val="009B01A3"/>
    <w:rsid w:val="009B3D15"/>
    <w:rsid w:val="009B5FEF"/>
    <w:rsid w:val="009C09CE"/>
    <w:rsid w:val="009C12D9"/>
    <w:rsid w:val="009C1B3A"/>
    <w:rsid w:val="009C33A4"/>
    <w:rsid w:val="009C3F53"/>
    <w:rsid w:val="009C4651"/>
    <w:rsid w:val="009C61BA"/>
    <w:rsid w:val="009C6864"/>
    <w:rsid w:val="009D1EE4"/>
    <w:rsid w:val="009D4793"/>
    <w:rsid w:val="009D5496"/>
    <w:rsid w:val="009E1E50"/>
    <w:rsid w:val="009E30EE"/>
    <w:rsid w:val="009E6787"/>
    <w:rsid w:val="009F1F8F"/>
    <w:rsid w:val="009F213C"/>
    <w:rsid w:val="009F4519"/>
    <w:rsid w:val="00A02699"/>
    <w:rsid w:val="00A02792"/>
    <w:rsid w:val="00A02D76"/>
    <w:rsid w:val="00A037F3"/>
    <w:rsid w:val="00A03E73"/>
    <w:rsid w:val="00A059AB"/>
    <w:rsid w:val="00A10318"/>
    <w:rsid w:val="00A12A1B"/>
    <w:rsid w:val="00A13588"/>
    <w:rsid w:val="00A14DBD"/>
    <w:rsid w:val="00A16669"/>
    <w:rsid w:val="00A2244E"/>
    <w:rsid w:val="00A27C79"/>
    <w:rsid w:val="00A33A76"/>
    <w:rsid w:val="00A3514A"/>
    <w:rsid w:val="00A3617B"/>
    <w:rsid w:val="00A415C7"/>
    <w:rsid w:val="00A4314C"/>
    <w:rsid w:val="00A45643"/>
    <w:rsid w:val="00A462EC"/>
    <w:rsid w:val="00A46708"/>
    <w:rsid w:val="00A5066A"/>
    <w:rsid w:val="00A5135B"/>
    <w:rsid w:val="00A52424"/>
    <w:rsid w:val="00A529D5"/>
    <w:rsid w:val="00A54771"/>
    <w:rsid w:val="00A54A55"/>
    <w:rsid w:val="00A5570C"/>
    <w:rsid w:val="00A605C5"/>
    <w:rsid w:val="00A627D9"/>
    <w:rsid w:val="00A651AD"/>
    <w:rsid w:val="00A6741A"/>
    <w:rsid w:val="00A70298"/>
    <w:rsid w:val="00A713FE"/>
    <w:rsid w:val="00A74705"/>
    <w:rsid w:val="00A7678E"/>
    <w:rsid w:val="00A76C7B"/>
    <w:rsid w:val="00A77402"/>
    <w:rsid w:val="00A803BE"/>
    <w:rsid w:val="00A82CC8"/>
    <w:rsid w:val="00A84FF8"/>
    <w:rsid w:val="00A85D37"/>
    <w:rsid w:val="00A863A4"/>
    <w:rsid w:val="00A8786A"/>
    <w:rsid w:val="00A96949"/>
    <w:rsid w:val="00AA20CA"/>
    <w:rsid w:val="00AA29AA"/>
    <w:rsid w:val="00AA419E"/>
    <w:rsid w:val="00AA483B"/>
    <w:rsid w:val="00AA48A3"/>
    <w:rsid w:val="00AA5918"/>
    <w:rsid w:val="00AA5F95"/>
    <w:rsid w:val="00AA7F66"/>
    <w:rsid w:val="00AB0118"/>
    <w:rsid w:val="00AB1B68"/>
    <w:rsid w:val="00AB4AEB"/>
    <w:rsid w:val="00AB612E"/>
    <w:rsid w:val="00AB756A"/>
    <w:rsid w:val="00AC1163"/>
    <w:rsid w:val="00AC1815"/>
    <w:rsid w:val="00AC289F"/>
    <w:rsid w:val="00AC38BF"/>
    <w:rsid w:val="00AD1392"/>
    <w:rsid w:val="00AD30EB"/>
    <w:rsid w:val="00AD799D"/>
    <w:rsid w:val="00AD7BC2"/>
    <w:rsid w:val="00AD7F56"/>
    <w:rsid w:val="00AE5C9D"/>
    <w:rsid w:val="00AE79F9"/>
    <w:rsid w:val="00AF19DB"/>
    <w:rsid w:val="00AF3B59"/>
    <w:rsid w:val="00AF5029"/>
    <w:rsid w:val="00AF53CC"/>
    <w:rsid w:val="00AF5DEE"/>
    <w:rsid w:val="00B00522"/>
    <w:rsid w:val="00B03CB7"/>
    <w:rsid w:val="00B04AE5"/>
    <w:rsid w:val="00B104E7"/>
    <w:rsid w:val="00B110F0"/>
    <w:rsid w:val="00B1143E"/>
    <w:rsid w:val="00B16B3E"/>
    <w:rsid w:val="00B2186C"/>
    <w:rsid w:val="00B2729F"/>
    <w:rsid w:val="00B30185"/>
    <w:rsid w:val="00B327A2"/>
    <w:rsid w:val="00B33BF1"/>
    <w:rsid w:val="00B349A9"/>
    <w:rsid w:val="00B41DC1"/>
    <w:rsid w:val="00B45D14"/>
    <w:rsid w:val="00B46991"/>
    <w:rsid w:val="00B5415A"/>
    <w:rsid w:val="00B54649"/>
    <w:rsid w:val="00B548F6"/>
    <w:rsid w:val="00B61156"/>
    <w:rsid w:val="00B765AB"/>
    <w:rsid w:val="00B81719"/>
    <w:rsid w:val="00B83DF2"/>
    <w:rsid w:val="00B86172"/>
    <w:rsid w:val="00B87CE5"/>
    <w:rsid w:val="00B9171F"/>
    <w:rsid w:val="00B91D74"/>
    <w:rsid w:val="00B923D6"/>
    <w:rsid w:val="00B956A4"/>
    <w:rsid w:val="00B961B0"/>
    <w:rsid w:val="00B96619"/>
    <w:rsid w:val="00B96F42"/>
    <w:rsid w:val="00BA26A4"/>
    <w:rsid w:val="00BA2D22"/>
    <w:rsid w:val="00BA6F3D"/>
    <w:rsid w:val="00BB2437"/>
    <w:rsid w:val="00BB2BEE"/>
    <w:rsid w:val="00BB37DD"/>
    <w:rsid w:val="00BB65C6"/>
    <w:rsid w:val="00BB6BDA"/>
    <w:rsid w:val="00BB7736"/>
    <w:rsid w:val="00BB7B72"/>
    <w:rsid w:val="00BC22AA"/>
    <w:rsid w:val="00BC5BC4"/>
    <w:rsid w:val="00BC7868"/>
    <w:rsid w:val="00BD1730"/>
    <w:rsid w:val="00BD38F7"/>
    <w:rsid w:val="00BD4172"/>
    <w:rsid w:val="00BD6033"/>
    <w:rsid w:val="00BE2E37"/>
    <w:rsid w:val="00BF2CB7"/>
    <w:rsid w:val="00BF301A"/>
    <w:rsid w:val="00BF3820"/>
    <w:rsid w:val="00BF383C"/>
    <w:rsid w:val="00BF3F37"/>
    <w:rsid w:val="00C041EB"/>
    <w:rsid w:val="00C04FDE"/>
    <w:rsid w:val="00C06629"/>
    <w:rsid w:val="00C0729C"/>
    <w:rsid w:val="00C076A8"/>
    <w:rsid w:val="00C113D1"/>
    <w:rsid w:val="00C11F85"/>
    <w:rsid w:val="00C13CC7"/>
    <w:rsid w:val="00C145A3"/>
    <w:rsid w:val="00C1464B"/>
    <w:rsid w:val="00C14F16"/>
    <w:rsid w:val="00C15611"/>
    <w:rsid w:val="00C15F6A"/>
    <w:rsid w:val="00C167BD"/>
    <w:rsid w:val="00C17D6C"/>
    <w:rsid w:val="00C2489F"/>
    <w:rsid w:val="00C26E06"/>
    <w:rsid w:val="00C27605"/>
    <w:rsid w:val="00C339F3"/>
    <w:rsid w:val="00C366E8"/>
    <w:rsid w:val="00C400EB"/>
    <w:rsid w:val="00C52D3F"/>
    <w:rsid w:val="00C530B2"/>
    <w:rsid w:val="00C5561A"/>
    <w:rsid w:val="00C6153B"/>
    <w:rsid w:val="00C62573"/>
    <w:rsid w:val="00C62CB8"/>
    <w:rsid w:val="00C715AA"/>
    <w:rsid w:val="00C7277A"/>
    <w:rsid w:val="00C80FCE"/>
    <w:rsid w:val="00C82AC6"/>
    <w:rsid w:val="00C835E6"/>
    <w:rsid w:val="00C8714B"/>
    <w:rsid w:val="00C87B0C"/>
    <w:rsid w:val="00C96205"/>
    <w:rsid w:val="00C97874"/>
    <w:rsid w:val="00C97EE1"/>
    <w:rsid w:val="00CA3035"/>
    <w:rsid w:val="00CA6462"/>
    <w:rsid w:val="00CA7A8E"/>
    <w:rsid w:val="00CB0671"/>
    <w:rsid w:val="00CB52B5"/>
    <w:rsid w:val="00CB6D48"/>
    <w:rsid w:val="00CB75CF"/>
    <w:rsid w:val="00CB7F27"/>
    <w:rsid w:val="00CC4B2F"/>
    <w:rsid w:val="00CC5765"/>
    <w:rsid w:val="00CD0CB4"/>
    <w:rsid w:val="00CD0EFE"/>
    <w:rsid w:val="00CD7EB2"/>
    <w:rsid w:val="00CE33CB"/>
    <w:rsid w:val="00CE5036"/>
    <w:rsid w:val="00CE5C50"/>
    <w:rsid w:val="00CE655D"/>
    <w:rsid w:val="00CE771A"/>
    <w:rsid w:val="00CF0B90"/>
    <w:rsid w:val="00CF201B"/>
    <w:rsid w:val="00CF2521"/>
    <w:rsid w:val="00CF381D"/>
    <w:rsid w:val="00CF46C0"/>
    <w:rsid w:val="00CF54D6"/>
    <w:rsid w:val="00CF6424"/>
    <w:rsid w:val="00CF744A"/>
    <w:rsid w:val="00CF786E"/>
    <w:rsid w:val="00D02208"/>
    <w:rsid w:val="00D026E4"/>
    <w:rsid w:val="00D058F4"/>
    <w:rsid w:val="00D10ADD"/>
    <w:rsid w:val="00D10F82"/>
    <w:rsid w:val="00D15ED6"/>
    <w:rsid w:val="00D25474"/>
    <w:rsid w:val="00D26202"/>
    <w:rsid w:val="00D26361"/>
    <w:rsid w:val="00D330F8"/>
    <w:rsid w:val="00D33596"/>
    <w:rsid w:val="00D33BCB"/>
    <w:rsid w:val="00D34519"/>
    <w:rsid w:val="00D3675B"/>
    <w:rsid w:val="00D37056"/>
    <w:rsid w:val="00D37506"/>
    <w:rsid w:val="00D41D04"/>
    <w:rsid w:val="00D4773D"/>
    <w:rsid w:val="00D5030B"/>
    <w:rsid w:val="00D51363"/>
    <w:rsid w:val="00D526A2"/>
    <w:rsid w:val="00D55520"/>
    <w:rsid w:val="00D555E7"/>
    <w:rsid w:val="00D56688"/>
    <w:rsid w:val="00D6013B"/>
    <w:rsid w:val="00D60329"/>
    <w:rsid w:val="00D65C31"/>
    <w:rsid w:val="00D67245"/>
    <w:rsid w:val="00D70D3E"/>
    <w:rsid w:val="00D73283"/>
    <w:rsid w:val="00D75492"/>
    <w:rsid w:val="00D75759"/>
    <w:rsid w:val="00D760C5"/>
    <w:rsid w:val="00D8282A"/>
    <w:rsid w:val="00D8302C"/>
    <w:rsid w:val="00D85BF4"/>
    <w:rsid w:val="00D8726E"/>
    <w:rsid w:val="00D902BC"/>
    <w:rsid w:val="00D92AA0"/>
    <w:rsid w:val="00D93331"/>
    <w:rsid w:val="00D94023"/>
    <w:rsid w:val="00D95BF9"/>
    <w:rsid w:val="00DA1E87"/>
    <w:rsid w:val="00DB4089"/>
    <w:rsid w:val="00DB5DBA"/>
    <w:rsid w:val="00DB6D21"/>
    <w:rsid w:val="00DB70A9"/>
    <w:rsid w:val="00DB750E"/>
    <w:rsid w:val="00DC6A06"/>
    <w:rsid w:val="00DC6CB4"/>
    <w:rsid w:val="00DC7877"/>
    <w:rsid w:val="00DC7F95"/>
    <w:rsid w:val="00DD1DD2"/>
    <w:rsid w:val="00DD797A"/>
    <w:rsid w:val="00DE08BC"/>
    <w:rsid w:val="00DE4C82"/>
    <w:rsid w:val="00DE6077"/>
    <w:rsid w:val="00DF04FF"/>
    <w:rsid w:val="00DF31F7"/>
    <w:rsid w:val="00E0134B"/>
    <w:rsid w:val="00E01816"/>
    <w:rsid w:val="00E026C6"/>
    <w:rsid w:val="00E04BDC"/>
    <w:rsid w:val="00E04D6E"/>
    <w:rsid w:val="00E07EFA"/>
    <w:rsid w:val="00E1085A"/>
    <w:rsid w:val="00E10D1E"/>
    <w:rsid w:val="00E1177D"/>
    <w:rsid w:val="00E11FCF"/>
    <w:rsid w:val="00E12462"/>
    <w:rsid w:val="00E12DF2"/>
    <w:rsid w:val="00E1452A"/>
    <w:rsid w:val="00E21094"/>
    <w:rsid w:val="00E3161E"/>
    <w:rsid w:val="00E31AAA"/>
    <w:rsid w:val="00E32D10"/>
    <w:rsid w:val="00E3563C"/>
    <w:rsid w:val="00E41464"/>
    <w:rsid w:val="00E418B5"/>
    <w:rsid w:val="00E41DCF"/>
    <w:rsid w:val="00E41E77"/>
    <w:rsid w:val="00E45705"/>
    <w:rsid w:val="00E46246"/>
    <w:rsid w:val="00E462A1"/>
    <w:rsid w:val="00E51C77"/>
    <w:rsid w:val="00E53381"/>
    <w:rsid w:val="00E54EEC"/>
    <w:rsid w:val="00E57D03"/>
    <w:rsid w:val="00E61DFA"/>
    <w:rsid w:val="00E63A07"/>
    <w:rsid w:val="00E656E1"/>
    <w:rsid w:val="00E701FB"/>
    <w:rsid w:val="00E70933"/>
    <w:rsid w:val="00E70D53"/>
    <w:rsid w:val="00E72CC9"/>
    <w:rsid w:val="00E75F47"/>
    <w:rsid w:val="00E77EDA"/>
    <w:rsid w:val="00E800CD"/>
    <w:rsid w:val="00E83292"/>
    <w:rsid w:val="00E85161"/>
    <w:rsid w:val="00E860C9"/>
    <w:rsid w:val="00E86324"/>
    <w:rsid w:val="00E870F1"/>
    <w:rsid w:val="00E874C5"/>
    <w:rsid w:val="00E905AD"/>
    <w:rsid w:val="00E91732"/>
    <w:rsid w:val="00E92117"/>
    <w:rsid w:val="00E92519"/>
    <w:rsid w:val="00EA05BB"/>
    <w:rsid w:val="00EA0CE3"/>
    <w:rsid w:val="00EA4324"/>
    <w:rsid w:val="00EA6EEA"/>
    <w:rsid w:val="00EB3362"/>
    <w:rsid w:val="00EB744E"/>
    <w:rsid w:val="00EC377B"/>
    <w:rsid w:val="00ED09F8"/>
    <w:rsid w:val="00ED0B2D"/>
    <w:rsid w:val="00ED1AC8"/>
    <w:rsid w:val="00ED33CF"/>
    <w:rsid w:val="00ED5CC0"/>
    <w:rsid w:val="00ED7F91"/>
    <w:rsid w:val="00EE2BE6"/>
    <w:rsid w:val="00EE7481"/>
    <w:rsid w:val="00EF10AF"/>
    <w:rsid w:val="00EF2F9A"/>
    <w:rsid w:val="00EF446D"/>
    <w:rsid w:val="00EF6DF6"/>
    <w:rsid w:val="00F040B5"/>
    <w:rsid w:val="00F15C71"/>
    <w:rsid w:val="00F1662F"/>
    <w:rsid w:val="00F16A51"/>
    <w:rsid w:val="00F17396"/>
    <w:rsid w:val="00F202B5"/>
    <w:rsid w:val="00F221D3"/>
    <w:rsid w:val="00F24C6A"/>
    <w:rsid w:val="00F30558"/>
    <w:rsid w:val="00F34AC2"/>
    <w:rsid w:val="00F34D8C"/>
    <w:rsid w:val="00F374F2"/>
    <w:rsid w:val="00F44563"/>
    <w:rsid w:val="00F45969"/>
    <w:rsid w:val="00F45FFE"/>
    <w:rsid w:val="00F471F2"/>
    <w:rsid w:val="00F5384B"/>
    <w:rsid w:val="00F605DB"/>
    <w:rsid w:val="00F63A83"/>
    <w:rsid w:val="00F67AFC"/>
    <w:rsid w:val="00F701B3"/>
    <w:rsid w:val="00F77481"/>
    <w:rsid w:val="00F80990"/>
    <w:rsid w:val="00F82DDC"/>
    <w:rsid w:val="00F879A2"/>
    <w:rsid w:val="00F91204"/>
    <w:rsid w:val="00F91936"/>
    <w:rsid w:val="00F93632"/>
    <w:rsid w:val="00FA2F55"/>
    <w:rsid w:val="00FA6C6B"/>
    <w:rsid w:val="00FA7509"/>
    <w:rsid w:val="00FB2D10"/>
    <w:rsid w:val="00FB2E9A"/>
    <w:rsid w:val="00FB4910"/>
    <w:rsid w:val="00FB4CEF"/>
    <w:rsid w:val="00FB6B05"/>
    <w:rsid w:val="00FB6D43"/>
    <w:rsid w:val="00FC09FC"/>
    <w:rsid w:val="00FC2669"/>
    <w:rsid w:val="00FC351C"/>
    <w:rsid w:val="00FC494E"/>
    <w:rsid w:val="00FC4DF9"/>
    <w:rsid w:val="00FC638F"/>
    <w:rsid w:val="00FC78EA"/>
    <w:rsid w:val="00FD0AE6"/>
    <w:rsid w:val="00FD0AFF"/>
    <w:rsid w:val="00FD0DFC"/>
    <w:rsid w:val="00FD6A98"/>
    <w:rsid w:val="00FE0448"/>
    <w:rsid w:val="00FE0DA4"/>
    <w:rsid w:val="00FE6C95"/>
    <w:rsid w:val="00FE6EAD"/>
    <w:rsid w:val="00FE76C6"/>
    <w:rsid w:val="00FF213E"/>
    <w:rsid w:val="00FF5D05"/>
    <w:rsid w:val="00FF67E2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0A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12C4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12C48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12C48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612C48"/>
    <w:rPr>
      <w:noProof/>
      <w:sz w:val="22"/>
      <w:szCs w:val="22"/>
    </w:rPr>
  </w:style>
  <w:style w:type="table" w:styleId="TableGrid">
    <w:name w:val="Table Grid"/>
    <w:basedOn w:val="TableNormal"/>
    <w:uiPriority w:val="59"/>
    <w:rsid w:val="00806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7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7F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0"/>
    <w:rsid w:val="004815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07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A65"/>
    <w:rPr>
      <w:color w:val="800080"/>
      <w:u w:val="single"/>
    </w:rPr>
  </w:style>
  <w:style w:type="paragraph" w:customStyle="1" w:styleId="xl63">
    <w:name w:val="xl63"/>
    <w:basedOn w:val="Normal"/>
    <w:rsid w:val="0070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707A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707A6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707A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707A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707A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707A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707A65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707A65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707A65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707A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707A65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707A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707A65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707A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71"/>
    <w:rsid w:val="0008031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6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39"/>
    <w:rPr>
      <w:sz w:val="22"/>
      <w:szCs w:val="22"/>
    </w:rPr>
  </w:style>
  <w:style w:type="paragraph" w:styleId="ListParagraph">
    <w:name w:val="List Paragraph"/>
    <w:basedOn w:val="Normal"/>
    <w:uiPriority w:val="72"/>
    <w:rsid w:val="00E41E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F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9233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12C4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12C48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12C48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612C48"/>
    <w:rPr>
      <w:noProof/>
      <w:sz w:val="22"/>
      <w:szCs w:val="22"/>
    </w:rPr>
  </w:style>
  <w:style w:type="table" w:styleId="TableGrid">
    <w:name w:val="Table Grid"/>
    <w:basedOn w:val="TableNormal"/>
    <w:uiPriority w:val="59"/>
    <w:rsid w:val="00806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7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7F"/>
    <w:rPr>
      <w:rFonts w:ascii="Tahoma" w:hAnsi="Tahoma" w:cs="Tahoma"/>
      <w:sz w:val="16"/>
      <w:szCs w:val="16"/>
    </w:rPr>
  </w:style>
  <w:style w:type="table" w:styleId="MediumList1">
    <w:name w:val="Medium List 1"/>
    <w:basedOn w:val="TableNormal"/>
    <w:uiPriority w:val="60"/>
    <w:rsid w:val="004815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07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A65"/>
    <w:rPr>
      <w:color w:val="800080"/>
      <w:u w:val="single"/>
    </w:rPr>
  </w:style>
  <w:style w:type="paragraph" w:customStyle="1" w:styleId="xl63">
    <w:name w:val="xl63"/>
    <w:basedOn w:val="Normal"/>
    <w:rsid w:val="0070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707A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707A6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707A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707A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707A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707A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707A65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707A65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707A6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707A65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707A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707A65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707A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707A65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707A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707A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71"/>
    <w:rsid w:val="0008031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6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39"/>
    <w:rPr>
      <w:sz w:val="22"/>
      <w:szCs w:val="22"/>
    </w:rPr>
  </w:style>
  <w:style w:type="paragraph" w:styleId="ListParagraph">
    <w:name w:val="List Paragraph"/>
    <w:basedOn w:val="Normal"/>
    <w:uiPriority w:val="72"/>
    <w:rsid w:val="00E41E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F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92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1021-605F-814D-A0EC-C423255C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Zamoiski, Rachel (NIH/NCI) [F]</dc:creator>
  <cp:lastModifiedBy>Lindsay Morton</cp:lastModifiedBy>
  <cp:revision>3</cp:revision>
  <cp:lastPrinted>2016-07-13T15:52:00Z</cp:lastPrinted>
  <dcterms:created xsi:type="dcterms:W3CDTF">2016-10-28T14:42:00Z</dcterms:created>
  <dcterms:modified xsi:type="dcterms:W3CDTF">2016-10-28T14:42:00Z</dcterms:modified>
</cp:coreProperties>
</file>