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AD" w:rsidRPr="00C53C64" w:rsidRDefault="00B71DAD" w:rsidP="00B71D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3C64">
        <w:rPr>
          <w:rFonts w:ascii="Times New Roman" w:hAnsi="Times New Roman" w:cs="Times New Roman"/>
          <w:b/>
          <w:sz w:val="24"/>
          <w:szCs w:val="24"/>
        </w:rPr>
        <w:t xml:space="preserve">Table S2. Sensitivity analysis for case numbers showing key variables altered in analysis, 2005-2008 and 2012-2013 </w:t>
      </w:r>
    </w:p>
    <w:p w:rsidR="00B71DAD" w:rsidRPr="00C53C64" w:rsidRDefault="00B71DAD" w:rsidP="00B71D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2"/>
        <w:gridCol w:w="1378"/>
        <w:gridCol w:w="1350"/>
      </w:tblGrid>
      <w:tr w:rsidR="00B71DAD" w:rsidRPr="00C53C64" w:rsidTr="00EE22D8">
        <w:trPr>
          <w:trHeight w:val="209"/>
        </w:trPr>
        <w:tc>
          <w:tcPr>
            <w:tcW w:w="591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71DAD" w:rsidRPr="00C53C64" w:rsidRDefault="00B71DAD" w:rsidP="00AF22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3C64">
              <w:rPr>
                <w:rFonts w:ascii="Times New Roman" w:hAnsi="Times New Roman"/>
                <w:b/>
                <w:sz w:val="24"/>
                <w:szCs w:val="24"/>
              </w:rPr>
              <w:t xml:space="preserve">Key variables altered in analysis 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71DAD" w:rsidRPr="00C53C64" w:rsidRDefault="00B71DAD" w:rsidP="00AF22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C64">
              <w:rPr>
                <w:rFonts w:ascii="Times New Roman" w:hAnsi="Times New Roman"/>
                <w:b/>
                <w:sz w:val="24"/>
                <w:szCs w:val="24"/>
              </w:rPr>
              <w:t>Number of cases</w:t>
            </w:r>
          </w:p>
        </w:tc>
        <w:bookmarkStart w:id="0" w:name="_GoBack"/>
        <w:bookmarkEnd w:id="0"/>
      </w:tr>
      <w:tr w:rsidR="00B71DAD" w:rsidRPr="00C53C64" w:rsidTr="00EE22D8">
        <w:tc>
          <w:tcPr>
            <w:tcW w:w="5912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B71DAD" w:rsidRPr="00C53C64" w:rsidRDefault="00B71DAD" w:rsidP="00AF222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  <w:vAlign w:val="center"/>
          </w:tcPr>
          <w:p w:rsidR="00B71DAD" w:rsidRPr="00C53C64" w:rsidRDefault="00B71DAD" w:rsidP="00AF22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C64">
              <w:rPr>
                <w:rFonts w:ascii="Times New Roman" w:hAnsi="Times New Roman"/>
                <w:b/>
                <w:sz w:val="24"/>
                <w:szCs w:val="24"/>
              </w:rPr>
              <w:t>2005-2008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:rsidR="00B71DAD" w:rsidRPr="00C53C64" w:rsidRDefault="00B71DAD" w:rsidP="00AF22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C64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</w:tr>
      <w:tr w:rsidR="00B71DAD" w:rsidRPr="00C53C64" w:rsidTr="00EE22D8">
        <w:trPr>
          <w:trHeight w:val="576"/>
        </w:trPr>
        <w:tc>
          <w:tcPr>
            <w:tcW w:w="5912" w:type="dxa"/>
            <w:tcBorders>
              <w:top w:val="single" w:sz="4" w:space="0" w:color="auto"/>
            </w:tcBorders>
          </w:tcPr>
          <w:p w:rsidR="00B71DAD" w:rsidRPr="00C53C64" w:rsidRDefault="00B71DAD" w:rsidP="007423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 xml:space="preserve">Base numbers 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B71DAD" w:rsidRPr="00C53C64" w:rsidRDefault="00B71DAD" w:rsidP="007423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107,600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71DAD" w:rsidRPr="00C53C64" w:rsidRDefault="00B71DAD" w:rsidP="007423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41,700</w:t>
            </w:r>
          </w:p>
        </w:tc>
      </w:tr>
      <w:tr w:rsidR="00B71DAD" w:rsidRPr="00C53C64" w:rsidTr="00EE22D8">
        <w:tc>
          <w:tcPr>
            <w:tcW w:w="5912" w:type="dxa"/>
          </w:tcPr>
          <w:p w:rsidR="00B71DAD" w:rsidRPr="00C53C64" w:rsidRDefault="00B71DAD" w:rsidP="007423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Community death rates</w:t>
            </w:r>
          </w:p>
        </w:tc>
        <w:tc>
          <w:tcPr>
            <w:tcW w:w="1378" w:type="dxa"/>
          </w:tcPr>
          <w:p w:rsidR="00B71DAD" w:rsidRPr="00C53C64" w:rsidRDefault="00B71DAD" w:rsidP="007423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109,500</w:t>
            </w:r>
          </w:p>
        </w:tc>
        <w:tc>
          <w:tcPr>
            <w:tcW w:w="1350" w:type="dxa"/>
          </w:tcPr>
          <w:p w:rsidR="00B71DAD" w:rsidRPr="00C53C64" w:rsidRDefault="00B71DAD" w:rsidP="007423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48,800</w:t>
            </w:r>
          </w:p>
        </w:tc>
      </w:tr>
      <w:tr w:rsidR="00B71DAD" w:rsidRPr="00C53C64" w:rsidTr="00EE22D8">
        <w:tc>
          <w:tcPr>
            <w:tcW w:w="5912" w:type="dxa"/>
          </w:tcPr>
          <w:p w:rsidR="00B71DAD" w:rsidRPr="00C53C64" w:rsidRDefault="00B71DAD" w:rsidP="007423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Altered blood culturing estimates</w:t>
            </w:r>
          </w:p>
        </w:tc>
        <w:tc>
          <w:tcPr>
            <w:tcW w:w="1378" w:type="dxa"/>
          </w:tcPr>
          <w:p w:rsidR="00B71DAD" w:rsidRPr="00C53C64" w:rsidRDefault="00B71DAD" w:rsidP="007423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98,100</w:t>
            </w:r>
          </w:p>
        </w:tc>
        <w:tc>
          <w:tcPr>
            <w:tcW w:w="1350" w:type="dxa"/>
          </w:tcPr>
          <w:p w:rsidR="00B71DAD" w:rsidRPr="00C53C64" w:rsidRDefault="00B71DAD" w:rsidP="007423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34,400</w:t>
            </w:r>
          </w:p>
        </w:tc>
      </w:tr>
      <w:tr w:rsidR="00B71DAD" w:rsidRPr="00C53C64" w:rsidTr="00EE22D8">
        <w:tc>
          <w:tcPr>
            <w:tcW w:w="5912" w:type="dxa"/>
          </w:tcPr>
          <w:p w:rsidR="00B71DAD" w:rsidRPr="00C53C64" w:rsidRDefault="00B71DAD" w:rsidP="007423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 xml:space="preserve">NBP/BPP VAR ratio of 11:1 with 1.89 adjustment  </w:t>
            </w:r>
          </w:p>
        </w:tc>
        <w:tc>
          <w:tcPr>
            <w:tcW w:w="1378" w:type="dxa"/>
          </w:tcPr>
          <w:p w:rsidR="00B71DAD" w:rsidRPr="00C53C64" w:rsidRDefault="00B71DAD" w:rsidP="007423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196,100</w:t>
            </w:r>
          </w:p>
        </w:tc>
        <w:tc>
          <w:tcPr>
            <w:tcW w:w="1350" w:type="dxa"/>
          </w:tcPr>
          <w:p w:rsidR="00B71DAD" w:rsidRPr="00C53C64" w:rsidRDefault="00B71DAD" w:rsidP="007423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78,100</w:t>
            </w:r>
          </w:p>
        </w:tc>
      </w:tr>
      <w:tr w:rsidR="00B71DAD" w:rsidRPr="00C53C64" w:rsidTr="00EE22D8">
        <w:tc>
          <w:tcPr>
            <w:tcW w:w="5912" w:type="dxa"/>
          </w:tcPr>
          <w:p w:rsidR="00B71DAD" w:rsidRPr="00C53C64" w:rsidRDefault="00B71DAD" w:rsidP="007423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NBP/BPP VAR ratio of 7.6:1</w:t>
            </w:r>
          </w:p>
        </w:tc>
        <w:tc>
          <w:tcPr>
            <w:tcW w:w="1378" w:type="dxa"/>
          </w:tcPr>
          <w:p w:rsidR="00B71DAD" w:rsidRPr="00C53C64" w:rsidRDefault="00B71DAD" w:rsidP="007423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80,300</w:t>
            </w:r>
          </w:p>
        </w:tc>
        <w:tc>
          <w:tcPr>
            <w:tcW w:w="1350" w:type="dxa"/>
          </w:tcPr>
          <w:p w:rsidR="00B71DAD" w:rsidRPr="00C53C64" w:rsidRDefault="00B71DAD" w:rsidP="007423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26,500</w:t>
            </w:r>
          </w:p>
        </w:tc>
      </w:tr>
      <w:tr w:rsidR="00B71DAD" w:rsidRPr="00C53C64" w:rsidTr="00EE22D8">
        <w:tc>
          <w:tcPr>
            <w:tcW w:w="5912" w:type="dxa"/>
          </w:tcPr>
          <w:p w:rsidR="00B71DAD" w:rsidRPr="00C53C64" w:rsidRDefault="00B71DAD" w:rsidP="007423D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 xml:space="preserve">Altered NBP calculations with separate HIV estimates </w:t>
            </w:r>
          </w:p>
        </w:tc>
        <w:tc>
          <w:tcPr>
            <w:tcW w:w="1378" w:type="dxa"/>
          </w:tcPr>
          <w:p w:rsidR="00B71DAD" w:rsidRPr="00C53C64" w:rsidRDefault="00B71DAD" w:rsidP="007423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144,900</w:t>
            </w:r>
          </w:p>
        </w:tc>
        <w:tc>
          <w:tcPr>
            <w:tcW w:w="1350" w:type="dxa"/>
          </w:tcPr>
          <w:p w:rsidR="00B71DAD" w:rsidRPr="00C53C64" w:rsidRDefault="00B71DAD" w:rsidP="007423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C64">
              <w:rPr>
                <w:rFonts w:ascii="Times New Roman" w:hAnsi="Times New Roman"/>
                <w:sz w:val="24"/>
                <w:szCs w:val="24"/>
              </w:rPr>
              <w:t>59,500</w:t>
            </w:r>
          </w:p>
        </w:tc>
      </w:tr>
    </w:tbl>
    <w:p w:rsidR="00B71DAD" w:rsidRPr="00C53C64" w:rsidRDefault="00B71DAD" w:rsidP="007423DD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0"/>
          <w:szCs w:val="20"/>
        </w:rPr>
      </w:pPr>
      <w:r w:rsidRPr="00C53C64">
        <w:rPr>
          <w:rFonts w:ascii="Times New Roman" w:hAnsi="Times New Roman" w:cs="Times New Roman"/>
          <w:sz w:val="20"/>
          <w:szCs w:val="20"/>
        </w:rPr>
        <w:t>NBP = non-</w:t>
      </w:r>
      <w:proofErr w:type="spellStart"/>
      <w:r w:rsidRPr="00C53C64">
        <w:rPr>
          <w:rFonts w:ascii="Times New Roman" w:hAnsi="Times New Roman" w:cs="Times New Roman"/>
          <w:sz w:val="20"/>
          <w:szCs w:val="20"/>
        </w:rPr>
        <w:t>bacteraemic</w:t>
      </w:r>
      <w:proofErr w:type="spellEnd"/>
      <w:r w:rsidRPr="00C53C64">
        <w:rPr>
          <w:rFonts w:ascii="Times New Roman" w:hAnsi="Times New Roman" w:cs="Times New Roman"/>
          <w:sz w:val="20"/>
          <w:szCs w:val="20"/>
        </w:rPr>
        <w:t xml:space="preserve"> pneumococcal pneumonia; BPP = </w:t>
      </w:r>
      <w:proofErr w:type="spellStart"/>
      <w:r w:rsidRPr="00C53C64">
        <w:rPr>
          <w:rFonts w:ascii="Times New Roman" w:hAnsi="Times New Roman" w:cs="Times New Roman"/>
          <w:sz w:val="20"/>
          <w:szCs w:val="20"/>
        </w:rPr>
        <w:t>bacteraemic</w:t>
      </w:r>
      <w:proofErr w:type="spellEnd"/>
      <w:r w:rsidRPr="00C53C64">
        <w:rPr>
          <w:rFonts w:ascii="Times New Roman" w:hAnsi="Times New Roman" w:cs="Times New Roman"/>
          <w:sz w:val="20"/>
          <w:szCs w:val="20"/>
        </w:rPr>
        <w:t xml:space="preserve"> pneumococcal pneumonia</w:t>
      </w:r>
    </w:p>
    <w:p w:rsidR="00B71DAD" w:rsidRPr="00C53C64" w:rsidRDefault="00B71DAD" w:rsidP="00B71D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71DAD" w:rsidRPr="00C53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D53"/>
    <w:multiLevelType w:val="hybridMultilevel"/>
    <w:tmpl w:val="B6B48D8C"/>
    <w:lvl w:ilvl="0" w:tplc="1C090011">
      <w:numFmt w:val="decimal"/>
      <w:lvlText w:val="%1)"/>
      <w:lvlJc w:val="left"/>
      <w:pPr>
        <w:ind w:left="44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84FB9"/>
    <w:multiLevelType w:val="hybridMultilevel"/>
    <w:tmpl w:val="41B41D80"/>
    <w:lvl w:ilvl="0" w:tplc="1C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AD"/>
    <w:rsid w:val="000D6DC0"/>
    <w:rsid w:val="007423DD"/>
    <w:rsid w:val="00A51F2E"/>
    <w:rsid w:val="00B71DAD"/>
    <w:rsid w:val="00BA2F75"/>
    <w:rsid w:val="00E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696F9-7F84-4E52-9ED7-6D975E65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AD"/>
    <w:pPr>
      <w:spacing w:after="200" w:line="276" w:lineRule="auto"/>
    </w:pPr>
    <w:rPr>
      <w:rFonts w:eastAsiaTheme="minorEastAsia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1DAD"/>
    <w:pPr>
      <w:ind w:left="720"/>
      <w:contextualSpacing/>
    </w:pPr>
  </w:style>
  <w:style w:type="table" w:styleId="TableGrid">
    <w:name w:val="Table Grid"/>
    <w:basedOn w:val="TableNormal"/>
    <w:uiPriority w:val="99"/>
    <w:rsid w:val="00B71D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DD"/>
    <w:rPr>
      <w:rFonts w:ascii="Segoe UI" w:eastAsiaTheme="minorEastAsia" w:hAnsi="Segoe UI" w:cs="Segoe UI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von Mollendorf</dc:creator>
  <cp:keywords/>
  <dc:description/>
  <cp:lastModifiedBy>Claire von Mollendorf</cp:lastModifiedBy>
  <cp:revision>2</cp:revision>
  <dcterms:created xsi:type="dcterms:W3CDTF">2017-06-11T06:20:00Z</dcterms:created>
  <dcterms:modified xsi:type="dcterms:W3CDTF">2017-06-11T10:27:00Z</dcterms:modified>
</cp:coreProperties>
</file>