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1A06D" w14:textId="77777777" w:rsidR="008F1530" w:rsidRPr="000E38CD" w:rsidRDefault="008F1530" w:rsidP="00752DF8">
      <w:pPr>
        <w:spacing w:line="480" w:lineRule="auto"/>
        <w:rPr>
          <w:rFonts w:ascii="Times New Roman" w:hAnsi="Times New Roman"/>
          <w:b/>
        </w:rPr>
      </w:pPr>
      <w:bookmarkStart w:id="0" w:name="_GoBack"/>
      <w:r w:rsidRPr="000E38CD">
        <w:rPr>
          <w:rFonts w:ascii="Times New Roman" w:hAnsi="Times New Roman"/>
          <w:b/>
        </w:rPr>
        <w:t>SUPPLEMENTAL FILE</w:t>
      </w:r>
    </w:p>
    <w:bookmarkEnd w:id="0"/>
    <w:p w14:paraId="3582DB69" w14:textId="77777777" w:rsidR="00D11173" w:rsidRPr="008B2AB3" w:rsidRDefault="00D11173" w:rsidP="000C09E0">
      <w:pPr>
        <w:spacing w:line="480" w:lineRule="auto"/>
        <w:rPr>
          <w:rFonts w:ascii="Times New Roman" w:hAnsi="Times New Roman"/>
          <w:b/>
          <w:color w:val="000000" w:themeColor="text1"/>
        </w:rPr>
      </w:pPr>
      <w:r w:rsidRPr="008B2AB3">
        <w:rPr>
          <w:rFonts w:ascii="Times New Roman" w:hAnsi="Times New Roman"/>
          <w:b/>
          <w:color w:val="000000" w:themeColor="text1"/>
        </w:rPr>
        <w:t>Additional details on state of residence</w:t>
      </w:r>
    </w:p>
    <w:p w14:paraId="78281219" w14:textId="77777777" w:rsidR="00D11173" w:rsidRPr="00DB7A43" w:rsidRDefault="00D11173" w:rsidP="004A0E77">
      <w:pPr>
        <w:spacing w:line="480" w:lineRule="auto"/>
        <w:rPr>
          <w:rFonts w:ascii="Times New Roman" w:hAnsi="Times New Roman"/>
          <w:color w:val="000000" w:themeColor="text1"/>
        </w:rPr>
      </w:pPr>
      <w:r w:rsidRPr="00DB7A43">
        <w:rPr>
          <w:rFonts w:ascii="Times New Roman" w:hAnsi="Times New Roman"/>
          <w:color w:val="000000" w:themeColor="text1"/>
        </w:rPr>
        <w:t xml:space="preserve">Multiple sources of address information were considered. </w:t>
      </w:r>
      <w:r>
        <w:rPr>
          <w:rFonts w:ascii="Times New Roman" w:hAnsi="Times New Roman"/>
          <w:color w:val="000000" w:themeColor="text1"/>
        </w:rPr>
        <w:t>W</w:t>
      </w:r>
      <w:r w:rsidRPr="00DB7A43">
        <w:rPr>
          <w:rFonts w:ascii="Times New Roman" w:hAnsi="Times New Roman"/>
          <w:color w:val="000000" w:themeColor="text1"/>
        </w:rPr>
        <w:t xml:space="preserve">orkers were assumed to have resided in the states where the plants were located while employed. Some addresses during the period of employment (starting as early as 1939 when the Massachusetts plant opened) were available from plant personnel records.  Various tracing efforts from previous studies of this cohort </w:t>
      </w:r>
      <w:r w:rsidRPr="00DB7A43">
        <w:rPr>
          <w:rFonts w:ascii="Times New Roman" w:hAnsi="Times New Roman"/>
          <w:color w:val="000000" w:themeColor="text1"/>
        </w:rPr>
        <w:fldChar w:fldCharType="begin">
          <w:fldData xml:space="preserve">PEVuZE5vdGU+PENpdGU+PEF1dGhvcj5QcmluY2U8L0F1dGhvcj48WWVhcj4yMDA2PC9ZZWFyPjxS
ZWNOdW0+MjAxNjA8L1JlY051bT48RGlzcGxheVRleHQ+W1ByaW5jZSwgZXQgYWwuIDIwMDY7IFJ1
ZGVyLCBldCBhbC4gMjAwNjsgU2lsdmVyLCBldCBhbC4gMjAwOV08L0Rpc3BsYXlUZXh0PjxyZWNv
cmQ+PHJlYy1udW1iZXI+MjAxNjA8L3JlYy1udW1iZXI+PGZvcmVpZ24ta2V5cz48a2V5IGFwcD0i
RU4iIGRiLWlkPSJldnh6ZHJwOWJmYXAwZGU1c3AycHNzemQydmF0MDV2OWVhMnAiIHRpbWVzdGFt
cD0iMCI+MjAxNjA8L2tleT48L2ZvcmVpZ24ta2V5cz48cmVmLXR5cGUgbmFtZT0iSm91cm5hbCBB
cnRpY2xlIj4xNzwvcmVmLXR5cGU+PGNvbnRyaWJ1dG9ycz48YXV0aG9ycz48YXV0aG9yPlByaW5j
ZSwgTS4gTS4gPC9hdXRob3I+PGF1dGhvcj5SdWRlciwgQS4gTS4gPC9hdXRob3I+PGF1dGhvcj5I
ZWluLCBNLiBKLiA8L2F1dGhvcj48YXV0aG9yPldhdGVycywgTS4gQS48L2F1dGhvcj48YXV0aG9y
PldoZWxhbiwgRS4gQS48L2F1dGhvcj48YXV0aG9yPk5pbHNlbiwgTi48L2F1dGhvcj48YXV0aG9y
PldhcmQsIEUuIE0uIDwvYXV0aG9yPjxhdXRob3I+U2Nobm9yciwgVC4gTS48L2F1dGhvcj48YXV0
aG9yPkxhYmVyLCBQLiBBLjwvYXV0aG9yPjxhdXRob3I+RGF2aXMtS2luZywgSy4gRS48L2F1dGhv
cj48L2F1dGhvcnM+PC9jb250cmlidXRvcnM+PGF1dGgtYWRkcmVzcz5OYXRpb25hbCBJbnN0aXR1
dGUgZm9yIE9jY3VwYXRpb25hbCBTYWZldHkgYW5kIEhlYWx0aCAoTklPU0gpLCBEaXZpc2lvbiBv
ZiBTdXJ2ZWlsbGFuY2UsIEhhemFyZCBFdmFsdWF0aW9uLCBhbmQgRmllbGQgU3R1ZGllcywgSW5k
dXN0cnl3aWRlIFN0dWRpZXMgQnJhbmNoLCA0Njc2IENvbHVtYmlhIFBhcmt3YXksIENpbmNpbm5h
dGksIE9oaW8gNDUyMjYsIFVTQS4gbW1wM0BjZGMuZ292PC9hdXRoLWFkZHJlc3M+PHRpdGxlcz48
dGl0bGU+TW9ydGFsaXR5IGFuZCBleHBvc3VyZSByZXNwb25zZSBhbW9uZyAxNCw0NTggZWxlY3Ry
aWNhbCBjYXBhY2l0b3IgbWFudWZhY3R1cmluZyB3b3JrZXJzIGV4cG9zZWQgdG8gcG9seWNobG9y
aW5hdGVkIGJpcGhlbnlscyAoUENCcyk8L3RpdGxlPjxzZWNvbmRhcnktdGl0bGU+RW52aXJvbiBI
ZWFsdGggUGVyc3BlY3Q8L3NlY29uZGFyeS10aXRsZT48L3RpdGxlcz48cGVyaW9kaWNhbD48ZnVs
bC10aXRsZT5FbnZpcm9uIEhlYWx0aCBQZXJzcGVjdDwvZnVsbC10aXRsZT48L3BlcmlvZGljYWw+
PHBhZ2VzPjE1MDgtMTUxNDwvcGFnZXM+PHZvbHVtZT4xMTQ8L3ZvbHVtZT48bnVtYmVyPjEwPC9u
dW1iZXI+PGtleXdvcmRzPjxrZXl3b3JkPkFkb2xlc2NlbnQ8L2tleXdvcmQ+PGtleXdvcmQ+QWR1
bHQ8L2tleXdvcmQ+PGtleXdvcmQ+QWdlZDwva2V5d29yZD48a2V5d29yZD5BZ2VkLCA4MCBhbmQg
b3Zlcjwva2V5d29yZD48a2V5d29yZD5DYXVzZSBvZiBEZWF0aDwva2V5d29yZD48a2V5d29yZD5D
b2hvcnQgU3R1ZGllczwva2V5d29yZD48a2V5d29yZD5Db21wYXJhdGl2ZSBTdHVkeTwva2V5d29y
ZD48a2V5d29yZD5Dcm9zcy1TZWN0aW9uYWwgU3R1ZGllczwva2V5d29yZD48a2V5d29yZD5IdW1h
bjwva2V5d29yZD48a2V5d29yZD5JbmNpZGVuY2U8L2tleXdvcmQ+PGtleXdvcmQ+TWlkZGxlIEFn
ZWQ8L2tleXdvcmQ+PGtleXdvcmQ+TmF0aW9uYWwgSW5zdGl0dXRlIGZvciBPY2N1cGF0aW9uYWwg
U2FmZXR5IGFuZCBIZWFsdGg8L2tleXdvcmQ+PGtleXdvcmQ+TmVvcGxhc21zLypjaGVtaWNhbGx5
IGluZHVjZWQvbW9ydGFsaXR5PC9rZXl3b3JkPjxrZXl3b3JkPk5ldyBZb3JrPC9rZXl3b3JkPjxr
ZXl3b3JkPk9jY3VwYXRpb25hbCBEaXNlYXNlcy8qY2hlbWljYWxseSBpbmR1Y2VkL21vcnRhbGl0
eTwva2V5d29yZD48a2V5d29yZD5SZXRyb3NwZWN0aXZlIFN0dWRpZXM8L2tleXdvcmQ+PGtleXdv
cmQ+VW5pdGVkIFN0YXRlczwva2V5d29yZD48a2V5d29yZD5NYXNzYWNodXNldHRzPC9rZXl3b3Jk
PjxrZXl3b3JkPnBvbHljaGxvcmluYXRlZCBiaXBoZW55bHM8L2tleXdvcmQ+PGtleXdvcmQ+bWVu
PC9rZXl3b3JkPjxrZXl3b3JkPndvbWVuPC9rZXl3b3JkPjxrZXl3b3JkPklXU0I8L2tleXdvcmQ+
PGtleXdvcmQ+TklPU0g8L2tleXdvcmQ+PGtleXdvcmQ+b3VyUENCPC9rZXl3b3JkPjxrZXl3b3Jk
PkNBUFJPVDwva2V5d29yZD48a2V5d29yZD5QQ0IgYnJlYXN0PC9rZXl3b3JkPjxrZXl3b3JkPlBD
QlNTUjwva2V5d29yZD48a2V5d29yZD5DQU4gNTQyPC9rZXl3b3JkPjxrZXl3b3JkPmluIFVNSFMg
ZmlsZXM8L2tleXdvcmQ+PGtleXdvcmQ+RE9DIE9OIFVNSFMgRFJJVkU8L2tleXdvcmQ+PGtleXdv
cmQ+UENCbW9ydDIwMDg8L2tleXdvcmQ+PGtleXdvcmQ+UENCIGhhbGZsaWZlPC9rZXl3b3JkPjxr
ZXl3b3JkPlVNSFMgY2hsb3Jzb2x2PC9rZXl3b3JkPjxrZXl3b3JkPklBUkMgMTA3PC9rZXl3b3Jk
Pjwva2V5d29yZHM+PGRhdGVzPjx5ZWFyPjIwMDY8L3llYXI+PHB1Yi1kYXRlcz48ZGF0ZT4yMDA2
PC9kYXRlPjwvcHViLWRhdGVzPjwvZGF0ZXM+PGxhYmVsPjE1NjczPC9sYWJlbD48dXJscz48L3Vy
bHM+PC9yZWNvcmQ+PC9DaXRlPjxDaXRlPjxBdXRob3I+UnVkZXI8L0F1dGhvcj48WWVhcj4yMDA2
PC9ZZWFyPjxSZWNOdW0+MjQyOTQ8L1JlY051bT48cmVjb3JkPjxyZWMtbnVtYmVyPjI0Mjk0PC9y
ZWMtbnVtYmVyPjxmb3JlaWduLWtleXM+PGtleSBhcHA9IkVOIiBkYi1pZD0iZXZ4emRycDliZmFw
MGRlNXNwMnBzc3pkMnZhdDA1djllYTJwIiB0aW1lc3RhbXA9IjAiPjI0Mjk0PC9rZXk+PC9mb3Jl
aWduLWtleXM+PHJlZi10eXBlIG5hbWU9IkpvdXJuYWwgQXJ0aWNsZSI+MTc8L3JlZi10eXBlPjxj
b250cmlidXRvcnM+PGF1dGhvcnM+PGF1dGhvcj5SdWRlciwgQS4gTS4gPC9hdXRob3I+PGF1dGhv
cj5IZWluLCBNLiBKLiA8L2F1dGhvcj48YXV0aG9yPk5pbHNlbiwgTi4gPC9hdXRob3I+PGF1dGhv
cj5XYXRlcnMsIE0uIEEuIDwvYXV0aG9yPjxhdXRob3I+TGFiZXIsIFAuIDwvYXV0aG9yPjxhdXRo
b3I+RGF2aXMtS2luZywgSy4gPC9hdXRob3I+PGF1dGhvcj5QcmluY2UsIE0uIE0uIDwvYXV0aG9y
PjxhdXRob3I+V2hlbGFuLCBFLjwvYXV0aG9yPjwvYXV0aG9ycz48L2NvbnRyaWJ1dG9ycz48YXV0
aC1hZGRyZXNzPk5hdGlvbmFsIEluc3RpdHV0ZSBmb3IgT2NjdXBhdGlvbmFsIFNhZmV0eSBhbmQg
SGVhbHRoLCBDaW5jaW5uYXRpLCBPaGlvIDQ1MjI2LCBVU0EuIGFtcjJAY2RjLmdvdjwvYXV0aC1h
ZGRyZXNzPjx0aXRsZXM+PHRpdGxlPk1vcnRhbGl0eSBhbW9uZyB3b3JrZXJzIGV4cG9zZWQgdG8g
cG9seWNobG9yaW5hdGVkIGJpcGhlbnlscyAoUENCcykgaW4gYW4gZWxlY3RyaWNhbCBjYXBhY2l0
b3IgbWFudWZhY3R1cmluZyBwbGFudCBpbiBJbmRpYW5hOiBhbiB1cGRhdGU8L3RpdGxlPjxzZWNv
bmRhcnktdGl0bGU+RW52aXJvbiBIZWFsdGggUGVyc3BlY3Q8L3NlY29uZGFyeS10aXRsZT48L3Rp
dGxlcz48cGVyaW9kaWNhbD48ZnVsbC10aXRsZT5FbnZpcm9uIEhlYWx0aCBQZXJzcGVjdDwvZnVs
bC10aXRsZT48L3BlcmlvZGljYWw+PHBhZ2VzPjE4LTIzPC9wYWdlcz48dm9sdW1lPjExNDwvdm9s
dW1lPjxudW1iZXI+MTwvbnVtYmVyPjxrZXl3b3Jkcz48a2V5d29yZD5wb2x5Y2hsb3JpbmF0ZWQg
YmlwaGVueWxzPC9rZXl3b3JkPjxrZXl3b3JkPm9jY3VwYXRpb25hbCBleHBvc3VyZTwva2V5d29y
ZD48a2V5d29yZD5JV1NCPC9rZXl3b3JkPjxrZXl3b3JkPk5JT1NIPC9rZXl3b3JkPjxrZXl3b3Jk
PkluZGlhbmE8L2tleXdvcmQ+PGtleXdvcmQ+Q0FQUk9UPC9rZXl3b3JkPjxrZXl3b3JkPk5FeHBh
bmQ8L2tleXdvcmQ+PGtleXdvcmQ+QnJvd251cDwva2V5d29yZD48a2V5d29yZD5QQ0IgYnJlYXN0
PC9rZXl3b3JkPjxrZXl3b3JkPlBDQlNTUjwva2V5d29yZD48a2V5d29yZD5DQU4gNTQyPC9rZXl3
b3JkPjxrZXl3b3JkPkJSTk9DQzwva2V5d29yZD48a2V5d29yZD5pbiBVTUhTIGZpbGVzPC9rZXl3
b3JkPjxrZXl3b3JkPkRPQyBPTiBVTUhTIERSSVZFPC9rZXl3b3JkPjxrZXl3b3JkPlN1cHAgdGFi
bGUgb24gdW1ocyBkcml2ZTwva2V5d29yZD48a2V5d29yZD5QQ0Jtb3J0MjAwODwva2V5d29yZD48
a2V5d29yZD5QQ0IgaGFsZmxpZmU8L2tleXdvcmQ+PGtleXdvcmQ+VU1IUyBjaGxvcnNvbHY8L2tl
eXdvcmQ+PGtleXdvcmQ+SUFSQyAxMDc8L2tleXdvcmQ+PGtleXdvcmQ+UENCPC9rZXl3b3JkPjwv
a2V5d29yZHM+PGRhdGVzPjx5ZWFyPjIwMDY8L3llYXI+PHB1Yi1kYXRlcz48ZGF0ZT4yMDA2PC9k
YXRlPjwvcHViLWRhdGVzPjwvZGF0ZXM+PGlzYm4+MDA5MS02NzY1IChQcmludCk8L2lzYm4+PGFj
Y2Vzc2lvbi1udW0+MTYzOTM2NTI8L2FjY2Vzc2lvbi1udW0+PGxhYmVsPjI2NzUwPC9sYWJlbD48
dXJscz48L3VybHM+PHJlc2VhcmNoLW5vdGVzPldlc3Rpbmdob3VzZSwgQmxvb21pbmd0b24sIElu
ZGlhbmE8L3Jlc2VhcmNoLW5vdGVzPjxsYW5ndWFnZT5lbmc8L2xhbmd1YWdlPjwvcmVjb3JkPjwv
Q2l0ZT48Q2l0ZT48QXV0aG9yPlNpbHZlcjwvQXV0aG9yPjxZZWFyPjIwMDk8L1llYXI+PFJlY051
bT4zMTQyMzwvUmVjTnVtPjxyZWNvcmQ+PHJlYy1udW1iZXI+MzE0MjM8L3JlYy1udW1iZXI+PGZv
cmVpZ24ta2V5cz48a2V5IGFwcD0iRU4iIGRiLWlkPSJldnh6ZHJwOWJmYXAwZGU1c3AycHNzemQy
dmF0MDV2OWVhMnAiIHRpbWVzdGFtcD0iMCI+MzE0MjM8L2tleT48L2ZvcmVpZ24ta2V5cz48cmVm
LXR5cGUgbmFtZT0iSm91cm5hbCBBcnRpY2xlIj4xNzwvcmVmLXR5cGU+PGNvbnRyaWJ1dG9ycz48
YXV0aG9ycz48YXV0aG9yPlNpbHZlciwgUy4gUi48L2F1dGhvcj48YXV0aG9yPldoZWxhbiwgRS4g
QS48L2F1dGhvcj48YXV0aG9yPkRlZGRlbnMsIEouIEEuPC9hdXRob3I+PGF1dGhvcj5TdGVlbmxh
bmQsIE4uIEsuPC9hdXRob3I+PGF1dGhvcj5Ib3BmLCBOLiBCLjwvYXV0aG9yPjxhdXRob3I+V2F0
ZXJzLCBNLiBBLjwvYXV0aG9yPjxhdXRob3I+UnVkZXIsIEEuIE0uPC9hdXRob3I+PGF1dGhvcj5Q
cmluY2UsIE0uIE0uPC9hdXRob3I+PGF1dGhvcj5Zb25nLCBMLiBDLjwvYXV0aG9yPjxhdXRob3I+
SGVpbiwgTS4gSi4gIDwvYXV0aG9yPjxhdXRob3I+V2FyZCwgRS4gTS48L2F1dGhvcj48L2F1dGhv
cnM+PC9jb250cmlidXRvcnM+PGF1dGgtYWRkcmVzcz5EaXZpc2lvbiBvZiBTdXJ2ZWlsbGFuY2Us
IEhhemFyZCBFdmFsdWF0aW9ucywgYW5kIEZpZWxkIFN0dWRpZXMgKERTSEVGUyksIE5hdGlvbmFs
IEluc3RpdHV0ZSBmb3IgT2NjdXBhdGlvbmFsIFNhZmV0eSBhbmQgSGVhbHRoIChOSU9TSCksIENp
bmNpbm5hdGksIE9ILCBVU0EuIHNzaWx2ZXJAY2RjLmdvdjwvYXV0aC1hZGRyZXNzPjx0aXRsZXM+
PHRpdGxlPk9jY3VwYXRpb25hbCBleHBvc3VyZSB0byBwb2x5Y2hsb3JpbmF0ZWQgYmlwaGVueWxz
IGFuZCByaXNrIG9mIGJyZWFzdCBjYW5jZXIgPC90aXRsZT48c2Vjb25kYXJ5LXRpdGxlPkVudmly
b24gSGVhbHRoIFBlcnNwZWN0PC9zZWNvbmRhcnktdGl0bGU+PC90aXRsZXM+PHBlcmlvZGljYWw+
PGZ1bGwtdGl0bGU+RW52aXJvbiBIZWFsdGggUGVyc3BlY3Q8L2Z1bGwtdGl0bGU+PC9wZXJpb2Rp
Y2FsPjxwYWdlcz4yNzYtODI8L3BhZ2VzPjx2b2x1bWU+MTE3PC92b2x1bWU+PG51bWJlcj4yPC9u
dW1iZXI+PGVkaXRpb24+MjAwNy8wOC8xOTwvZWRpdGlvbj48a2V5d29yZHM+PGtleXdvcmQ+SHVt
YW5zPC9rZXl3b3JkPjxrZXl3b3JkPmJyZWFzdCBuZW9wbGFzbXM8L2tleXdvcmQ+PGtleXdvcmQ+
TmF0aW9uYWwgSW5zdGl0dXRlIGZvciBPY2N1cGF0aW9uYWwgU2FmZXR5IGFuZCBIZWFsdGggKFUu
Uy4pPC9rZXl3b3JkPjxrZXl3b3JkPk9jY3VwYXRpb25hbCBFeHBvc3VyZS8gYWR2ZXJzZSBlZmZl
Y3RzPC9rZXl3b3JkPjxrZXl3b3JkPlBDQiBzcHJlYWRzaGVldDwva2V5d29yZD48a2V5d29yZD5V
bml0ZWQgU3RhdGVzPC9rZXl3b3JkPjxrZXl3b3JkPklXU0I8L2tleXdvcmQ+PGtleXdvcmQ+TklP
U0g8L2tleXdvcmQ+PGtleXdvcmQ+UENCU1NSPC9rZXl3b3JkPjxrZXl3b3JkPkNJTUVUSDwva2V5
d29yZD48a2V5d29yZD5pbiBVTUhTIGZpbGVzPC9rZXl3b3JkPjxrZXl3b3JkPlBDQiBoYWxmbGlm
ZTwva2V5d29yZD48a2V5d29yZD5ET0MgT04gVU1IUyBEUklWRTwva2V5d29yZD48a2V5d29yZD5J
QVJDIDEwNzwva2V5d29yZD48L2tleXdvcmRzPjxkYXRlcz48eWVhcj4yMDA5PC95ZWFyPjwvZGF0
ZXM+PGlzYm4+MDk1Ny01MjQzIChQcmludCk8L2lzYm4+PHVybHM+PC91cmxzPjxlbGVjdHJvbmlj
LXJlc291cmNlLW51bT5FbnZpcm9uIEhlYWx0aCBQZXJzcGVjdCBkb2k6MTAuMTI4OS9laHAuMTE3
NzQ8L2VsZWN0cm9uaWMtcmVzb3VyY2UtbnVtPjxsYW5ndWFnZT5lbmc8L2xhbmd1YWdlPjwvcmVj
b3JkPjwvQ2l0ZT48L0VuZE5vdGU+AG==
</w:fldData>
        </w:fldChar>
      </w:r>
      <w:r>
        <w:rPr>
          <w:rFonts w:ascii="Times New Roman" w:hAnsi="Times New Roman"/>
          <w:color w:val="000000" w:themeColor="text1"/>
        </w:rPr>
        <w:instrText xml:space="preserve"> ADDIN EN.CITE </w:instrText>
      </w:r>
      <w:r>
        <w:rPr>
          <w:rFonts w:ascii="Times New Roman" w:hAnsi="Times New Roman"/>
          <w:color w:val="000000" w:themeColor="text1"/>
        </w:rPr>
        <w:fldChar w:fldCharType="begin">
          <w:fldData xml:space="preserve">PEVuZE5vdGU+PENpdGU+PEF1dGhvcj5QcmluY2U8L0F1dGhvcj48WWVhcj4yMDA2PC9ZZWFyPjxS
ZWNOdW0+MjAxNjA8L1JlY051bT48RGlzcGxheVRleHQ+W1ByaW5jZSwgZXQgYWwuIDIwMDY7IFJ1
ZGVyLCBldCBhbC4gMjAwNjsgU2lsdmVyLCBldCBhbC4gMjAwOV08L0Rpc3BsYXlUZXh0PjxyZWNv
cmQ+PHJlYy1udW1iZXI+MjAxNjA8L3JlYy1udW1iZXI+PGZvcmVpZ24ta2V5cz48a2V5IGFwcD0i
RU4iIGRiLWlkPSJldnh6ZHJwOWJmYXAwZGU1c3AycHNzemQydmF0MDV2OWVhMnAiIHRpbWVzdGFt
cD0iMCI+MjAxNjA8L2tleT48L2ZvcmVpZ24ta2V5cz48cmVmLXR5cGUgbmFtZT0iSm91cm5hbCBB
cnRpY2xlIj4xNzwvcmVmLXR5cGU+PGNvbnRyaWJ1dG9ycz48YXV0aG9ycz48YXV0aG9yPlByaW5j
ZSwgTS4gTS4gPC9hdXRob3I+PGF1dGhvcj5SdWRlciwgQS4gTS4gPC9hdXRob3I+PGF1dGhvcj5I
ZWluLCBNLiBKLiA8L2F1dGhvcj48YXV0aG9yPldhdGVycywgTS4gQS48L2F1dGhvcj48YXV0aG9y
PldoZWxhbiwgRS4gQS48L2F1dGhvcj48YXV0aG9yPk5pbHNlbiwgTi48L2F1dGhvcj48YXV0aG9y
PldhcmQsIEUuIE0uIDwvYXV0aG9yPjxhdXRob3I+U2Nobm9yciwgVC4gTS48L2F1dGhvcj48YXV0
aG9yPkxhYmVyLCBQLiBBLjwvYXV0aG9yPjxhdXRob3I+RGF2aXMtS2luZywgSy4gRS48L2F1dGhv
cj48L2F1dGhvcnM+PC9jb250cmlidXRvcnM+PGF1dGgtYWRkcmVzcz5OYXRpb25hbCBJbnN0aXR1
dGUgZm9yIE9jY3VwYXRpb25hbCBTYWZldHkgYW5kIEhlYWx0aCAoTklPU0gpLCBEaXZpc2lvbiBv
ZiBTdXJ2ZWlsbGFuY2UsIEhhemFyZCBFdmFsdWF0aW9uLCBhbmQgRmllbGQgU3R1ZGllcywgSW5k
dXN0cnl3aWRlIFN0dWRpZXMgQnJhbmNoLCA0Njc2IENvbHVtYmlhIFBhcmt3YXksIENpbmNpbm5h
dGksIE9oaW8gNDUyMjYsIFVTQS4gbW1wM0BjZGMuZ292PC9hdXRoLWFkZHJlc3M+PHRpdGxlcz48
dGl0bGU+TW9ydGFsaXR5IGFuZCBleHBvc3VyZSByZXNwb25zZSBhbW9uZyAxNCw0NTggZWxlY3Ry
aWNhbCBjYXBhY2l0b3IgbWFudWZhY3R1cmluZyB3b3JrZXJzIGV4cG9zZWQgdG8gcG9seWNobG9y
aW5hdGVkIGJpcGhlbnlscyAoUENCcyk8L3RpdGxlPjxzZWNvbmRhcnktdGl0bGU+RW52aXJvbiBI
ZWFsdGggUGVyc3BlY3Q8L3NlY29uZGFyeS10aXRsZT48L3RpdGxlcz48cGVyaW9kaWNhbD48ZnVs
bC10aXRsZT5FbnZpcm9uIEhlYWx0aCBQZXJzcGVjdDwvZnVsbC10aXRsZT48L3BlcmlvZGljYWw+
PHBhZ2VzPjE1MDgtMTUxNDwvcGFnZXM+PHZvbHVtZT4xMTQ8L3ZvbHVtZT48bnVtYmVyPjEwPC9u
dW1iZXI+PGtleXdvcmRzPjxrZXl3b3JkPkFkb2xlc2NlbnQ8L2tleXdvcmQ+PGtleXdvcmQ+QWR1
bHQ8L2tleXdvcmQ+PGtleXdvcmQ+QWdlZDwva2V5d29yZD48a2V5d29yZD5BZ2VkLCA4MCBhbmQg
b3Zlcjwva2V5d29yZD48a2V5d29yZD5DYXVzZSBvZiBEZWF0aDwva2V5d29yZD48a2V5d29yZD5D
b2hvcnQgU3R1ZGllczwva2V5d29yZD48a2V5d29yZD5Db21wYXJhdGl2ZSBTdHVkeTwva2V5d29y
ZD48a2V5d29yZD5Dcm9zcy1TZWN0aW9uYWwgU3R1ZGllczwva2V5d29yZD48a2V5d29yZD5IdW1h
bjwva2V5d29yZD48a2V5d29yZD5JbmNpZGVuY2U8L2tleXdvcmQ+PGtleXdvcmQ+TWlkZGxlIEFn
ZWQ8L2tleXdvcmQ+PGtleXdvcmQ+TmF0aW9uYWwgSW5zdGl0dXRlIGZvciBPY2N1cGF0aW9uYWwg
U2FmZXR5IGFuZCBIZWFsdGg8L2tleXdvcmQ+PGtleXdvcmQ+TmVvcGxhc21zLypjaGVtaWNhbGx5
IGluZHVjZWQvbW9ydGFsaXR5PC9rZXl3b3JkPjxrZXl3b3JkPk5ldyBZb3JrPC9rZXl3b3JkPjxr
ZXl3b3JkPk9jY3VwYXRpb25hbCBEaXNlYXNlcy8qY2hlbWljYWxseSBpbmR1Y2VkL21vcnRhbGl0
eTwva2V5d29yZD48a2V5d29yZD5SZXRyb3NwZWN0aXZlIFN0dWRpZXM8L2tleXdvcmQ+PGtleXdv
cmQ+VW5pdGVkIFN0YXRlczwva2V5d29yZD48a2V5d29yZD5NYXNzYWNodXNldHRzPC9rZXl3b3Jk
PjxrZXl3b3JkPnBvbHljaGxvcmluYXRlZCBiaXBoZW55bHM8L2tleXdvcmQ+PGtleXdvcmQ+bWVu
PC9rZXl3b3JkPjxrZXl3b3JkPndvbWVuPC9rZXl3b3JkPjxrZXl3b3JkPklXU0I8L2tleXdvcmQ+
PGtleXdvcmQ+TklPU0g8L2tleXdvcmQ+PGtleXdvcmQ+b3VyUENCPC9rZXl3b3JkPjxrZXl3b3Jk
PkNBUFJPVDwva2V5d29yZD48a2V5d29yZD5QQ0IgYnJlYXN0PC9rZXl3b3JkPjxrZXl3b3JkPlBD
QlNTUjwva2V5d29yZD48a2V5d29yZD5DQU4gNTQyPC9rZXl3b3JkPjxrZXl3b3JkPmluIFVNSFMg
ZmlsZXM8L2tleXdvcmQ+PGtleXdvcmQ+RE9DIE9OIFVNSFMgRFJJVkU8L2tleXdvcmQ+PGtleXdv
cmQ+UENCbW9ydDIwMDg8L2tleXdvcmQ+PGtleXdvcmQ+UENCIGhhbGZsaWZlPC9rZXl3b3JkPjxr
ZXl3b3JkPlVNSFMgY2hsb3Jzb2x2PC9rZXl3b3JkPjxrZXl3b3JkPklBUkMgMTA3PC9rZXl3b3Jk
Pjwva2V5d29yZHM+PGRhdGVzPjx5ZWFyPjIwMDY8L3llYXI+PHB1Yi1kYXRlcz48ZGF0ZT4yMDA2
PC9kYXRlPjwvcHViLWRhdGVzPjwvZGF0ZXM+PGxhYmVsPjE1NjczPC9sYWJlbD48dXJscz48L3Vy
bHM+PC9yZWNvcmQ+PC9DaXRlPjxDaXRlPjxBdXRob3I+UnVkZXI8L0F1dGhvcj48WWVhcj4yMDA2
PC9ZZWFyPjxSZWNOdW0+MjQyOTQ8L1JlY051bT48cmVjb3JkPjxyZWMtbnVtYmVyPjI0Mjk0PC9y
ZWMtbnVtYmVyPjxmb3JlaWduLWtleXM+PGtleSBhcHA9IkVOIiBkYi1pZD0iZXZ4emRycDliZmFw
MGRlNXNwMnBzc3pkMnZhdDA1djllYTJwIiB0aW1lc3RhbXA9IjAiPjI0Mjk0PC9rZXk+PC9mb3Jl
aWduLWtleXM+PHJlZi10eXBlIG5hbWU9IkpvdXJuYWwgQXJ0aWNsZSI+MTc8L3JlZi10eXBlPjxj
b250cmlidXRvcnM+PGF1dGhvcnM+PGF1dGhvcj5SdWRlciwgQS4gTS4gPC9hdXRob3I+PGF1dGhv
cj5IZWluLCBNLiBKLiA8L2F1dGhvcj48YXV0aG9yPk5pbHNlbiwgTi4gPC9hdXRob3I+PGF1dGhv
cj5XYXRlcnMsIE0uIEEuIDwvYXV0aG9yPjxhdXRob3I+TGFiZXIsIFAuIDwvYXV0aG9yPjxhdXRo
b3I+RGF2aXMtS2luZywgSy4gPC9hdXRob3I+PGF1dGhvcj5QcmluY2UsIE0uIE0uIDwvYXV0aG9y
PjxhdXRob3I+V2hlbGFuLCBFLjwvYXV0aG9yPjwvYXV0aG9ycz48L2NvbnRyaWJ1dG9ycz48YXV0
aC1hZGRyZXNzPk5hdGlvbmFsIEluc3RpdHV0ZSBmb3IgT2NjdXBhdGlvbmFsIFNhZmV0eSBhbmQg
SGVhbHRoLCBDaW5jaW5uYXRpLCBPaGlvIDQ1MjI2LCBVU0EuIGFtcjJAY2RjLmdvdjwvYXV0aC1h
ZGRyZXNzPjx0aXRsZXM+PHRpdGxlPk1vcnRhbGl0eSBhbW9uZyB3b3JrZXJzIGV4cG9zZWQgdG8g
cG9seWNobG9yaW5hdGVkIGJpcGhlbnlscyAoUENCcykgaW4gYW4gZWxlY3RyaWNhbCBjYXBhY2l0
b3IgbWFudWZhY3R1cmluZyBwbGFudCBpbiBJbmRpYW5hOiBhbiB1cGRhdGU8L3RpdGxlPjxzZWNv
bmRhcnktdGl0bGU+RW52aXJvbiBIZWFsdGggUGVyc3BlY3Q8L3NlY29uZGFyeS10aXRsZT48L3Rp
dGxlcz48cGVyaW9kaWNhbD48ZnVsbC10aXRsZT5FbnZpcm9uIEhlYWx0aCBQZXJzcGVjdDwvZnVs
bC10aXRsZT48L3BlcmlvZGljYWw+PHBhZ2VzPjE4LTIzPC9wYWdlcz48dm9sdW1lPjExNDwvdm9s
dW1lPjxudW1iZXI+MTwvbnVtYmVyPjxrZXl3b3Jkcz48a2V5d29yZD5wb2x5Y2hsb3JpbmF0ZWQg
YmlwaGVueWxzPC9rZXl3b3JkPjxrZXl3b3JkPm9jY3VwYXRpb25hbCBleHBvc3VyZTwva2V5d29y
ZD48a2V5d29yZD5JV1NCPC9rZXl3b3JkPjxrZXl3b3JkPk5JT1NIPC9rZXl3b3JkPjxrZXl3b3Jk
PkluZGlhbmE8L2tleXdvcmQ+PGtleXdvcmQ+Q0FQUk9UPC9rZXl3b3JkPjxrZXl3b3JkPk5FeHBh
bmQ8L2tleXdvcmQ+PGtleXdvcmQ+QnJvd251cDwva2V5d29yZD48a2V5d29yZD5QQ0IgYnJlYXN0
PC9rZXl3b3JkPjxrZXl3b3JkPlBDQlNTUjwva2V5d29yZD48a2V5d29yZD5DQU4gNTQyPC9rZXl3
b3JkPjxrZXl3b3JkPkJSTk9DQzwva2V5d29yZD48a2V5d29yZD5pbiBVTUhTIGZpbGVzPC9rZXl3
b3JkPjxrZXl3b3JkPkRPQyBPTiBVTUhTIERSSVZFPC9rZXl3b3JkPjxrZXl3b3JkPlN1cHAgdGFi
bGUgb24gdW1ocyBkcml2ZTwva2V5d29yZD48a2V5d29yZD5QQ0Jtb3J0MjAwODwva2V5d29yZD48
a2V5d29yZD5QQ0IgaGFsZmxpZmU8L2tleXdvcmQ+PGtleXdvcmQ+VU1IUyBjaGxvcnNvbHY8L2tl
eXdvcmQ+PGtleXdvcmQ+SUFSQyAxMDc8L2tleXdvcmQ+PGtleXdvcmQ+UENCPC9rZXl3b3JkPjwv
a2V5d29yZHM+PGRhdGVzPjx5ZWFyPjIwMDY8L3llYXI+PHB1Yi1kYXRlcz48ZGF0ZT4yMDA2PC9k
YXRlPjwvcHViLWRhdGVzPjwvZGF0ZXM+PGlzYm4+MDA5MS02NzY1IChQcmludCk8L2lzYm4+PGFj
Y2Vzc2lvbi1udW0+MTYzOTM2NTI8L2FjY2Vzc2lvbi1udW0+PGxhYmVsPjI2NzUwPC9sYWJlbD48
dXJscz48L3VybHM+PHJlc2VhcmNoLW5vdGVzPldlc3Rpbmdob3VzZSwgQmxvb21pbmd0b24sIElu
ZGlhbmE8L3Jlc2VhcmNoLW5vdGVzPjxsYW5ndWFnZT5lbmc8L2xhbmd1YWdlPjwvcmVjb3JkPjwv
Q2l0ZT48Q2l0ZT48QXV0aG9yPlNpbHZlcjwvQXV0aG9yPjxZZWFyPjIwMDk8L1llYXI+PFJlY051
bT4zMTQyMzwvUmVjTnVtPjxyZWNvcmQ+PHJlYy1udW1iZXI+MzE0MjM8L3JlYy1udW1iZXI+PGZv
cmVpZ24ta2V5cz48a2V5IGFwcD0iRU4iIGRiLWlkPSJldnh6ZHJwOWJmYXAwZGU1c3AycHNzemQy
dmF0MDV2OWVhMnAiIHRpbWVzdGFtcD0iMCI+MzE0MjM8L2tleT48L2ZvcmVpZ24ta2V5cz48cmVm
LXR5cGUgbmFtZT0iSm91cm5hbCBBcnRpY2xlIj4xNzwvcmVmLXR5cGU+PGNvbnRyaWJ1dG9ycz48
YXV0aG9ycz48YXV0aG9yPlNpbHZlciwgUy4gUi48L2F1dGhvcj48YXV0aG9yPldoZWxhbiwgRS4g
QS48L2F1dGhvcj48YXV0aG9yPkRlZGRlbnMsIEouIEEuPC9hdXRob3I+PGF1dGhvcj5TdGVlbmxh
bmQsIE4uIEsuPC9hdXRob3I+PGF1dGhvcj5Ib3BmLCBOLiBCLjwvYXV0aG9yPjxhdXRob3I+V2F0
ZXJzLCBNLiBBLjwvYXV0aG9yPjxhdXRob3I+UnVkZXIsIEEuIE0uPC9hdXRob3I+PGF1dGhvcj5Q
cmluY2UsIE0uIE0uPC9hdXRob3I+PGF1dGhvcj5Zb25nLCBMLiBDLjwvYXV0aG9yPjxhdXRob3I+
SGVpbiwgTS4gSi4gIDwvYXV0aG9yPjxhdXRob3I+V2FyZCwgRS4gTS48L2F1dGhvcj48L2F1dGhv
cnM+PC9jb250cmlidXRvcnM+PGF1dGgtYWRkcmVzcz5EaXZpc2lvbiBvZiBTdXJ2ZWlsbGFuY2Us
IEhhemFyZCBFdmFsdWF0aW9ucywgYW5kIEZpZWxkIFN0dWRpZXMgKERTSEVGUyksIE5hdGlvbmFs
IEluc3RpdHV0ZSBmb3IgT2NjdXBhdGlvbmFsIFNhZmV0eSBhbmQgSGVhbHRoIChOSU9TSCksIENp
bmNpbm5hdGksIE9ILCBVU0EuIHNzaWx2ZXJAY2RjLmdvdjwvYXV0aC1hZGRyZXNzPjx0aXRsZXM+
PHRpdGxlPk9jY3VwYXRpb25hbCBleHBvc3VyZSB0byBwb2x5Y2hsb3JpbmF0ZWQgYmlwaGVueWxz
IGFuZCByaXNrIG9mIGJyZWFzdCBjYW5jZXIgPC90aXRsZT48c2Vjb25kYXJ5LXRpdGxlPkVudmly
b24gSGVhbHRoIFBlcnNwZWN0PC9zZWNvbmRhcnktdGl0bGU+PC90aXRsZXM+PHBlcmlvZGljYWw+
PGZ1bGwtdGl0bGU+RW52aXJvbiBIZWFsdGggUGVyc3BlY3Q8L2Z1bGwtdGl0bGU+PC9wZXJpb2Rp
Y2FsPjxwYWdlcz4yNzYtODI8L3BhZ2VzPjx2b2x1bWU+MTE3PC92b2x1bWU+PG51bWJlcj4yPC9u
dW1iZXI+PGVkaXRpb24+MjAwNy8wOC8xOTwvZWRpdGlvbj48a2V5d29yZHM+PGtleXdvcmQ+SHVt
YW5zPC9rZXl3b3JkPjxrZXl3b3JkPmJyZWFzdCBuZW9wbGFzbXM8L2tleXdvcmQ+PGtleXdvcmQ+
TmF0aW9uYWwgSW5zdGl0dXRlIGZvciBPY2N1cGF0aW9uYWwgU2FmZXR5IGFuZCBIZWFsdGggKFUu
Uy4pPC9rZXl3b3JkPjxrZXl3b3JkPk9jY3VwYXRpb25hbCBFeHBvc3VyZS8gYWR2ZXJzZSBlZmZl
Y3RzPC9rZXl3b3JkPjxrZXl3b3JkPlBDQiBzcHJlYWRzaGVldDwva2V5d29yZD48a2V5d29yZD5V
bml0ZWQgU3RhdGVzPC9rZXl3b3JkPjxrZXl3b3JkPklXU0I8L2tleXdvcmQ+PGtleXdvcmQ+TklP
U0g8L2tleXdvcmQ+PGtleXdvcmQ+UENCU1NSPC9rZXl3b3JkPjxrZXl3b3JkPkNJTUVUSDwva2V5
d29yZD48a2V5d29yZD5pbiBVTUhTIGZpbGVzPC9rZXl3b3JkPjxrZXl3b3JkPlBDQiBoYWxmbGlm
ZTwva2V5d29yZD48a2V5d29yZD5ET0MgT04gVU1IUyBEUklWRTwva2V5d29yZD48a2V5d29yZD5J
QVJDIDEwNzwva2V5d29yZD48L2tleXdvcmRzPjxkYXRlcz48eWVhcj4yMDA5PC95ZWFyPjwvZGF0
ZXM+PGlzYm4+MDk1Ny01MjQzIChQcmludCk8L2lzYm4+PHVybHM+PC91cmxzPjxlbGVjdHJvbmlj
LXJlc291cmNlLW51bT5FbnZpcm9uIEhlYWx0aCBQZXJzcGVjdCBkb2k6MTAuMTI4OS9laHAuMTE3
NzQ8L2VsZWN0cm9uaWMtcmVzb3VyY2UtbnVtPjxsYW5ndWFnZT5lbmc8L2xhbmd1YWdlPjwvcmVj
b3JkPjwvQ2l0ZT48L0VuZE5vdGU+AG==
</w:fldData>
        </w:fldChar>
      </w:r>
      <w:r>
        <w:rPr>
          <w:rFonts w:ascii="Times New Roman" w:hAnsi="Times New Roman"/>
          <w:color w:val="000000" w:themeColor="text1"/>
        </w:rPr>
        <w:instrText xml:space="preserve"> ADDIN EN.CITE.DATA </w:instrText>
      </w:r>
      <w:r>
        <w:rPr>
          <w:rFonts w:ascii="Times New Roman" w:hAnsi="Times New Roman"/>
          <w:color w:val="000000" w:themeColor="text1"/>
        </w:rPr>
      </w:r>
      <w:r>
        <w:rPr>
          <w:rFonts w:ascii="Times New Roman" w:hAnsi="Times New Roman"/>
          <w:color w:val="000000" w:themeColor="text1"/>
        </w:rPr>
        <w:fldChar w:fldCharType="end"/>
      </w:r>
      <w:r w:rsidRPr="00DB7A43">
        <w:rPr>
          <w:rFonts w:ascii="Times New Roman" w:hAnsi="Times New Roman"/>
          <w:color w:val="000000" w:themeColor="text1"/>
        </w:rPr>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[Prince, et al. 2006; Ruder, et al. 2006; Silver, et al. 2009]</w:t>
      </w:r>
      <w:r w:rsidRPr="00DB7A43">
        <w:rPr>
          <w:rFonts w:ascii="Times New Roman" w:hAnsi="Times New Roman"/>
          <w:color w:val="000000" w:themeColor="text1"/>
        </w:rPr>
        <w:fldChar w:fldCharType="end"/>
      </w:r>
      <w:r w:rsidRPr="00DB7A43">
        <w:rPr>
          <w:rFonts w:ascii="Times New Roman" w:hAnsi="Times New Roman"/>
          <w:color w:val="000000" w:themeColor="text1"/>
        </w:rPr>
        <w:t xml:space="preserve"> included the Internal Revenue Service, Post Office, and credit services.  Together, these sources provided address information for 22,249 eligible workers (97%). Finally, eligible workers were also matched to LexisNexis® (a private vendor of residential information) in 2011 using first and last name, last known address, date of birth and Social Security Number (SSN); this provided additional address information for 19,235 eligible workers (84%).</w:t>
      </w:r>
    </w:p>
    <w:p w14:paraId="1BFDAC40" w14:textId="77777777" w:rsidR="004A0E77" w:rsidRDefault="004A0E77" w:rsidP="004A0E77">
      <w:pPr>
        <w:spacing w:line="480" w:lineRule="auto"/>
        <w:rPr>
          <w:rFonts w:ascii="Times New Roman" w:hAnsi="Times New Roman"/>
          <w:color w:val="000000" w:themeColor="text1"/>
        </w:rPr>
      </w:pPr>
    </w:p>
    <w:p w14:paraId="344B49CF" w14:textId="77777777" w:rsidR="00D11173" w:rsidRDefault="00D11173" w:rsidP="004A0E77">
      <w:pPr>
        <w:spacing w:line="480" w:lineRule="auto"/>
        <w:rPr>
          <w:rFonts w:ascii="Times New Roman" w:hAnsi="Times New Roman"/>
          <w:color w:val="000000" w:themeColor="text1"/>
        </w:rPr>
      </w:pPr>
      <w:r w:rsidRPr="00DB7A43">
        <w:rPr>
          <w:rFonts w:ascii="Times New Roman" w:hAnsi="Times New Roman"/>
          <w:color w:val="000000" w:themeColor="text1"/>
        </w:rPr>
        <w:t>Since only changes in the state of residence were relevant, these sources of address information were combined to create a residence history for each worker. State of residence was estimated for time periods with no known address information by dividing the gap at the midpoint and assigning the earlier state to the first half of the gap and the later state to the second half. For a given follow-up year, the worker was considered to be in the registry catchment if known to be living in at least one state associated with the catchment in that year.</w:t>
      </w:r>
    </w:p>
    <w:p w14:paraId="475B6670" w14:textId="77777777" w:rsidR="00D11173" w:rsidRDefault="00D11173">
      <w:pPr>
        <w:spacing w:line="480" w:lineRule="auto"/>
        <w:rPr>
          <w:rFonts w:ascii="Times New Roman" w:hAnsi="Times New Roman"/>
          <w:b/>
          <w:i/>
        </w:rPr>
      </w:pPr>
    </w:p>
    <w:p w14:paraId="1875A12B" w14:textId="40D7C4E7" w:rsidR="00D11173" w:rsidRPr="008B2AB3" w:rsidRDefault="00D11173">
      <w:pPr>
        <w:spacing w:line="480" w:lineRule="auto"/>
        <w:rPr>
          <w:rFonts w:ascii="Times New Roman" w:hAnsi="Times New Roman"/>
          <w:b/>
        </w:rPr>
      </w:pPr>
      <w:r w:rsidRPr="008B2AB3">
        <w:rPr>
          <w:rFonts w:ascii="Times New Roman" w:hAnsi="Times New Roman"/>
          <w:b/>
        </w:rPr>
        <w:t>SIR sensitivity analyses for prostate cancer</w:t>
      </w:r>
    </w:p>
    <w:p w14:paraId="73B4B739" w14:textId="77777777" w:rsidR="00D11173" w:rsidRPr="00A71654" w:rsidRDefault="00D11173" w:rsidP="004A0E77">
      <w:pPr>
        <w:spacing w:line="480" w:lineRule="auto"/>
        <w:rPr>
          <w:rFonts w:ascii="Times New Roman" w:hAnsi="Times New Roman"/>
        </w:rPr>
      </w:pPr>
      <w:r w:rsidRPr="00A71654">
        <w:rPr>
          <w:rFonts w:ascii="Times New Roman" w:hAnsi="Times New Roman"/>
        </w:rPr>
        <w:t xml:space="preserve">The primary analysis used data from the nine cancer registries to identify cases and the corresponding states to define the catchment. To evaluate the decision to expand the cancer </w:t>
      </w:r>
      <w:r w:rsidRPr="00A71654">
        <w:rPr>
          <w:rFonts w:ascii="Times New Roman" w:hAnsi="Times New Roman"/>
        </w:rPr>
        <w:lastRenderedPageBreak/>
        <w:t>registries beyond the states where the plants were located, life-table analyses were repeated using just the cancer registries for the three study states (and defining the catchment to be New York 1976-1981; New York and Massachusetts 1982-1986; and New York, Massachusetts, and Indiana 1987-2007).</w:t>
      </w:r>
    </w:p>
    <w:p w14:paraId="6DC5E392" w14:textId="77777777" w:rsidR="004A0E77" w:rsidRDefault="004A0E77" w:rsidP="004A0E77">
      <w:pPr>
        <w:autoSpaceDE w:val="0"/>
        <w:autoSpaceDN w:val="0"/>
        <w:adjustRightInd w:val="0"/>
        <w:spacing w:line="480" w:lineRule="auto"/>
        <w:rPr>
          <w:rFonts w:ascii="Times New Roman" w:hAnsi="Times New Roman"/>
        </w:rPr>
      </w:pPr>
    </w:p>
    <w:p w14:paraId="76E60648" w14:textId="77777777" w:rsidR="00D11173" w:rsidRPr="00A71654" w:rsidRDefault="00D11173" w:rsidP="004A0E77">
      <w:pPr>
        <w:autoSpaceDE w:val="0"/>
        <w:autoSpaceDN w:val="0"/>
        <w:adjustRightInd w:val="0"/>
        <w:spacing w:line="480" w:lineRule="auto"/>
        <w:rPr>
          <w:rFonts w:ascii="Times New Roman" w:hAnsi="Times New Roman"/>
        </w:rPr>
      </w:pPr>
      <w:r w:rsidRPr="00A71654">
        <w:rPr>
          <w:rFonts w:ascii="Times New Roman" w:hAnsi="Times New Roman"/>
        </w:rPr>
        <w:t xml:space="preserve">Because state cancer registries generally will not release information about tumors only known to them through other state registries, we evaluated the potential under-ascertainment of incident cases by repeating life-table analyses additionally including prostate cancer deaths identified from our earlier mortality study that occurred in any of the nine cancer registry states </w:t>
      </w:r>
      <w:r w:rsidRPr="000931C0">
        <w:rPr>
          <w:rFonts w:ascii="Times New Roman" w:hAnsi="Times New Roman"/>
        </w:rPr>
        <w:fldChar w:fldCharType="begin"/>
      </w:r>
      <w:r>
        <w:rPr>
          <w:rFonts w:ascii="Times New Roman" w:hAnsi="Times New Roman"/>
        </w:rPr>
        <w:instrText xml:space="preserve"> ADDIN EN.CITE &lt;EndNote&gt;&lt;Cite&gt;&lt;Author&gt;Ruder&lt;/Author&gt;&lt;Year&gt;2014&lt;/Year&gt;&lt;RecNum&gt;39261&lt;/RecNum&gt;&lt;DisplayText&gt;[Ruder, et al. 2014]&lt;/DisplayText&gt;&lt;record&gt;&lt;rec-number&gt;39261&lt;/rec-number&gt;&lt;foreign-keys&gt;&lt;key app="EN" db-id="evxzdrp9bfap0de5sp2psszd2vat05v9ea2p" timestamp="1325197531"&gt;39261&lt;/key&gt;&lt;/foreign-keys&gt;&lt;ref-type name="Journal Article"&gt;17&lt;/ref-type&gt;&lt;contributors&gt;&lt;authors&gt;&lt;author&gt;Ruder, A. M. &lt;/author&gt;&lt;author&gt;Hein, M. J. &lt;/author&gt;&lt;author&gt;Hopf, N. B.&lt;/author&gt;&lt;author&gt;Waters, M. A. &lt;/author&gt;&lt;/authors&gt;&lt;/contributors&gt;&lt;auth-address&gt;National Institute for Occupational Safety and Health, Cincinnati, Ohio 45226, USA. amr2@cdc.gov&lt;/auth-address&gt;&lt;titles&gt;&lt;title&gt;Mortality among 24,865 workers exposed to polychlorinated biphenyls (PCBs) in three electrical capacitor manufacturing plants:  A ten-year update&lt;/title&gt;&lt;secondary-title&gt;Int J Hyg Environ Health &lt;/secondary-title&gt;&lt;/titles&gt;&lt;periodical&gt;&lt;full-title&gt;Int J Hyg Environ Health&lt;/full-title&gt;&lt;/periodical&gt;&lt;pages&gt;176-187&lt;/pages&gt;&lt;volume&gt;217&lt;/volume&gt;&lt;number&gt;2-3&lt;/number&gt;&lt;keywords&gt;&lt;keyword&gt;polychlorinated biphenyls&lt;/keyword&gt;&lt;keyword&gt;PCB spreadsheet&lt;/keyword&gt;&lt;keyword&gt;IWSB&lt;/keyword&gt;&lt;keyword&gt;NIOSH&lt;/keyword&gt;&lt;keyword&gt;Cohort study&lt;/keyword&gt;&lt;keyword&gt;Occupational exposure&lt;/keyword&gt;&lt;keyword&gt;Cancer&lt;/keyword&gt;&lt;keyword&gt;Exposure assessment&lt;/keyword&gt;&lt;keyword&gt;Indiana&lt;/keyword&gt;&lt;keyword&gt;Massachusetts&lt;/keyword&gt;&lt;keyword&gt;New York&lt;/keyword&gt;&lt;keyword&gt;doc on umhs drive&lt;/keyword&gt;&lt;keyword&gt;PCB&lt;/keyword&gt;&lt;/keywords&gt;&lt;dates&gt;&lt;year&gt;2014&lt;/year&gt;&lt;/dates&gt;&lt;urls&gt;&lt;/urls&gt;&lt;research-notes&gt;NIOSHTIC 20042707 &lt;/research-notes&gt;&lt;language&gt;eng&lt;/language&gt;&lt;/record&gt;&lt;/Cite&gt;&lt;/EndNote&gt;</w:instrText>
      </w:r>
      <w:r w:rsidRPr="000931C0">
        <w:rPr>
          <w:rFonts w:ascii="Times New Roman" w:hAnsi="Times New Roman"/>
        </w:rPr>
        <w:fldChar w:fldCharType="separate"/>
      </w:r>
      <w:r w:rsidRPr="000931C0">
        <w:rPr>
          <w:rFonts w:ascii="Times New Roman" w:hAnsi="Times New Roman"/>
          <w:noProof/>
        </w:rPr>
        <w:t>[</w:t>
      </w:r>
      <w:r w:rsidRPr="00A71654">
        <w:rPr>
          <w:rFonts w:ascii="Times New Roman" w:hAnsi="Times New Roman"/>
          <w:noProof/>
        </w:rPr>
        <w:t>Ruder, et al. 2014</w:t>
      </w:r>
      <w:r w:rsidRPr="000931C0">
        <w:rPr>
          <w:rFonts w:ascii="Times New Roman" w:hAnsi="Times New Roman"/>
          <w:noProof/>
        </w:rPr>
        <w:t>]</w:t>
      </w:r>
      <w:r w:rsidRPr="000931C0">
        <w:rPr>
          <w:rFonts w:ascii="Times New Roman" w:hAnsi="Times New Roman"/>
        </w:rPr>
        <w:fldChar w:fldCharType="end"/>
      </w:r>
      <w:r w:rsidRPr="000931C0">
        <w:rPr>
          <w:rFonts w:ascii="Times New Roman" w:hAnsi="Times New Roman"/>
        </w:rPr>
        <w:t xml:space="preserve"> that may not have been included as cases in the primary analysis</w:t>
      </w:r>
      <w:r w:rsidRPr="00A71654">
        <w:rPr>
          <w:rFonts w:ascii="Times New Roman" w:hAnsi="Times New Roman"/>
        </w:rPr>
        <w:t xml:space="preserve">. For these, we estimated an approximate diagnosis date as seven years prior to the death date </w:t>
      </w:r>
      <w:r w:rsidRPr="000931C0">
        <w:rPr>
          <w:rFonts w:ascii="Times New Roman" w:hAnsi="Times New Roman"/>
        </w:rPr>
        <w:fldChar w:fldCharType="begin"/>
      </w:r>
      <w:r>
        <w:rPr>
          <w:rFonts w:ascii="Times New Roman" w:hAnsi="Times New Roman"/>
        </w:rPr>
        <w:instrText xml:space="preserve"> ADDIN EN.CITE &lt;EndNote&gt;&lt;Cite&gt;&lt;Author&gt;Antonarakis&lt;/Author&gt;&lt;Year&gt;2007&lt;/Year&gt;&lt;RecNum&gt;40474&lt;/RecNum&gt;&lt;DisplayText&gt;[Antonarakis, et al. 2007]&lt;/DisplayText&gt;&lt;record&gt;&lt;rec-number&gt;40474&lt;/rec-number&gt;&lt;foreign-keys&gt;&lt;key app="EN" db-id="evxzdrp9bfap0de5sp2psszd2vat05v9ea2p" timestamp="1346866394"&gt;40474&lt;/key&gt;&lt;/foreign-keys&gt;&lt;ref-type name="Journal Article"&gt;17&lt;/ref-type&gt;&lt;contributors&gt;&lt;authors&gt;&lt;author&gt;Antonarakis, E. S.&lt;/author&gt;&lt;author&gt;Blackford, A. L.&lt;/author&gt;&lt;author&gt;Garrett-Mayer, E.&lt;/author&gt;&lt;author&gt;Eisenberger, M. A.&lt;/author&gt;&lt;/authors&gt;&lt;/contributors&gt;&lt;auth-address&gt;Prostate Cancer Research Program, and the Division of Oncology Biostatistics, Sidney Kimmel Comprehensive Cancer Center, Johns Hopkins University, Baltimore, MD 21231, USA.&lt;/auth-address&gt;&lt;titles&gt;&lt;title&gt;Survival in men with nonmetastatic prostate cancer treated with hormone therapy: a quantitative systematic review&lt;/title&gt;&lt;secondary-title&gt;J Clin Oncol&lt;/secondary-title&gt;&lt;alt-title&gt;Journal of clinical oncology : official journal of the American Society of Clinical Oncology&lt;/alt-title&gt;&lt;/titles&gt;&lt;periodical&gt;&lt;full-title&gt;J Clin Oncol&lt;/full-title&gt;&lt;/periodical&gt;&lt;pages&gt;4998-5008&lt;/pages&gt;&lt;volume&gt;25&lt;/volume&gt;&lt;number&gt;31&lt;/number&gt;&lt;edition&gt;2007/11/01&lt;/edition&gt;&lt;keywords&gt;&lt;keyword&gt;Antineoplastic Agents, Hormonal/ therapeutic use&lt;/keyword&gt;&lt;keyword&gt;Humans&lt;/keyword&gt;&lt;keyword&gt;Male&lt;/keyword&gt;&lt;keyword&gt;Prostatectomy&lt;/keyword&gt;&lt;keyword&gt;Prostatic Neoplasms/ drug therapy/ mortality/therapy&lt;/keyword&gt;&lt;keyword&gt;Radiotherapy, Adjuvant&lt;/keyword&gt;&lt;keyword&gt;Survival Analysis&lt;/keyword&gt;&lt;keyword&gt;DOC ON UMHS DRIVE&lt;/keyword&gt;&lt;/keywords&gt;&lt;dates&gt;&lt;year&gt;2007&lt;/year&gt;&lt;pub-dates&gt;&lt;date&gt;Nov 1&lt;/date&gt;&lt;/pub-dates&gt;&lt;/dates&gt;&lt;isbn&gt;1527-7755 (Electronic)&amp;#xD;0732-183X (Linking)&lt;/isbn&gt;&lt;accession-num&gt;17971600&lt;/accession-num&gt;&lt;urls&gt;&lt;/urls&gt;&lt;electronic-resource-num&gt;10.1200/jco.2007.11.1559&lt;/electronic-resource-num&gt;&lt;remote-database-provider&gt;NLM&lt;/remote-database-provider&gt;&lt;language&gt;eng&lt;/language&gt;&lt;/record&gt;&lt;/Cite&gt;&lt;/EndNote&gt;</w:instrText>
      </w:r>
      <w:r w:rsidRPr="000931C0">
        <w:rPr>
          <w:rFonts w:ascii="Times New Roman" w:hAnsi="Times New Roman"/>
        </w:rPr>
        <w:fldChar w:fldCharType="separate"/>
      </w:r>
      <w:r w:rsidRPr="000931C0">
        <w:rPr>
          <w:rFonts w:ascii="Times New Roman" w:hAnsi="Times New Roman"/>
          <w:noProof/>
        </w:rPr>
        <w:t>[</w:t>
      </w:r>
      <w:r w:rsidRPr="00A71654">
        <w:rPr>
          <w:rFonts w:ascii="Times New Roman" w:hAnsi="Times New Roman"/>
          <w:noProof/>
        </w:rPr>
        <w:t>Antonarakis, et al. 2007</w:t>
      </w:r>
      <w:r w:rsidRPr="000931C0">
        <w:rPr>
          <w:rFonts w:ascii="Times New Roman" w:hAnsi="Times New Roman"/>
          <w:noProof/>
        </w:rPr>
        <w:t>]</w:t>
      </w:r>
      <w:r w:rsidRPr="000931C0">
        <w:rPr>
          <w:rFonts w:ascii="Times New Roman" w:hAnsi="Times New Roman"/>
        </w:rPr>
        <w:fldChar w:fldCharType="end"/>
      </w:r>
      <w:r w:rsidRPr="000931C0">
        <w:rPr>
          <w:rFonts w:ascii="Times New Roman" w:hAnsi="Times New Roman"/>
        </w:rPr>
        <w:t xml:space="preserve"> and required the estimated diagnosis date to be in the catchment</w:t>
      </w:r>
      <w:r w:rsidRPr="00A71654">
        <w:rPr>
          <w:rFonts w:ascii="Times New Roman" w:hAnsi="Times New Roman"/>
        </w:rPr>
        <w:t>.</w:t>
      </w:r>
    </w:p>
    <w:p w14:paraId="5BB84D73" w14:textId="77777777" w:rsidR="004A0E77" w:rsidRDefault="004A0E77" w:rsidP="004A0E77">
      <w:pPr>
        <w:spacing w:line="480" w:lineRule="auto"/>
        <w:rPr>
          <w:rFonts w:ascii="Times New Roman" w:hAnsi="Times New Roman"/>
        </w:rPr>
      </w:pPr>
    </w:p>
    <w:p w14:paraId="718BECAB" w14:textId="77777777" w:rsidR="00D11173" w:rsidRPr="00A71654" w:rsidRDefault="00D11173" w:rsidP="004A0E77">
      <w:pPr>
        <w:spacing w:line="480" w:lineRule="auto"/>
        <w:rPr>
          <w:rFonts w:ascii="Times New Roman" w:hAnsi="Times New Roman"/>
        </w:rPr>
      </w:pPr>
      <w:r w:rsidRPr="00A71654">
        <w:rPr>
          <w:rFonts w:ascii="Times New Roman" w:hAnsi="Times New Roman"/>
        </w:rPr>
        <w:t xml:space="preserve">The primary analysis was limited to person-time in the first (initial) risk period; however, since others have considered disjoint risk periods when estimating SIRs </w:t>
      </w:r>
      <w:r w:rsidRPr="000931C0">
        <w:rPr>
          <w:rFonts w:ascii="Times New Roman" w:hAnsi="Times New Roman"/>
        </w:rPr>
        <w:fldChar w:fldCharType="begin"/>
      </w:r>
      <w:r>
        <w:rPr>
          <w:rFonts w:ascii="Times New Roman" w:hAnsi="Times New Roman"/>
        </w:rPr>
        <w:instrText xml:space="preserve"> ADDIN EN.CITE &lt;EndNote&gt;&lt;Cite&gt;&lt;Author&gt;Bender&lt;/Author&gt;&lt;Year&gt;2007&lt;/Year&gt;&lt;RecNum&gt;28031&lt;/RecNum&gt;&lt;DisplayText&gt;[Bender, et al. 2007]&lt;/DisplayText&gt;&lt;record&gt;&lt;rec-number&gt;28031&lt;/rec-number&gt;&lt;foreign-keys&gt;&lt;key app="EN" db-id="evxzdrp9bfap0de5sp2psszd2vat05v9ea2p" timestamp="0"&gt;28031&lt;/key&gt;&lt;/foreign-keys&gt;&lt;ref-type name="Journal Article"&gt;17&lt;/ref-type&gt;&lt;contributors&gt;&lt;authors&gt;&lt;author&gt;Bender, T. J. &lt;/author&gt;&lt;author&gt;Beall, C. &lt;/author&gt;&lt;author&gt;Cheng, H. &lt;/author&gt;&lt;author&gt;Herrick, R. F. &lt;/author&gt;&lt;author&gt;Kahn, A. R. &lt;/author&gt;&lt;author&gt;Matthews, R. &lt;/author&gt;&lt;author&gt;Sathiakumar, N. &lt;/author&gt;&lt;author&gt;Schymura, M. J. &lt;/author&gt;&lt;author&gt;Stewart, J. H. &lt;/author&gt;&lt;author&gt;Delzell, E.&lt;/author&gt;&lt;/authors&gt;&lt;/contributors&gt;&lt;auth-address&gt;Department of Epidemiology, School of Public Health, University of Alabama at Birmingham, Birmingham, AL 35294, USA. bender@uab.edu&lt;/auth-address&gt;&lt;titles&gt;&lt;title&gt;Cancer incidence among semiconductor and electronic storage device workers&lt;/title&gt;&lt;secondary-title&gt;Occup Environ Med&lt;/secondary-title&gt;&lt;/titles&gt;&lt;periodical&gt;&lt;full-title&gt;Occup Environ Med&lt;/full-title&gt;&lt;/periodical&gt;&lt;pages&gt;30-6&lt;/pages&gt;&lt;volume&gt;64&lt;/volume&gt;&lt;number&gt;1&lt;/number&gt;&lt;keywords&gt;&lt;keyword&gt;Adult&lt;/keyword&gt;&lt;keyword&gt;Computer Storage Devices&lt;/keyword&gt;&lt;keyword&gt;*Electronics&lt;/keyword&gt;&lt;keyword&gt;Female&lt;/keyword&gt;&lt;keyword&gt;Humans&lt;/keyword&gt;&lt;keyword&gt;Incidence&lt;/keyword&gt;&lt;keyword&gt;Male&lt;/keyword&gt;&lt;keyword&gt;Middle Aged&lt;/keyword&gt;&lt;keyword&gt;Neoplasms: epidemiology: *etiology&lt;/keyword&gt;&lt;keyword&gt;New York: epidemiology&lt;/keyword&gt;&lt;keyword&gt;Occupational Diseases: epidemiology: *etiology&lt;/keyword&gt;&lt;keyword&gt;Occupational Exposure: adverse effects: analysis&lt;/keyword&gt;&lt;keyword&gt;Semiconductors&lt;/keyword&gt;&lt;keyword&gt;Vermont: epidemiology&lt;/keyword&gt;&lt;keyword&gt;DOC ON UMHS DRIVE&lt;/keyword&gt;&lt;/keywords&gt;&lt;dates&gt;&lt;year&gt;2007&lt;/year&gt;&lt;pub-dates&gt;&lt;date&gt;2007&lt;/date&gt;&lt;/pub-dates&gt;&lt;/dates&gt;&lt;isbn&gt;1470-7926 (Electronic)&lt;/isbn&gt;&lt;accession-num&gt; 16847035&lt;/accession-num&gt;&lt;label&gt;43537&lt;/label&gt;&lt;urls&gt;&lt;/urls&gt;&lt;language&gt;eng&lt;/language&gt;&lt;/record&gt;&lt;/Cite&gt;&lt;/EndNote&gt;</w:instrText>
      </w:r>
      <w:r w:rsidRPr="000931C0">
        <w:rPr>
          <w:rFonts w:ascii="Times New Roman" w:hAnsi="Times New Roman"/>
        </w:rPr>
        <w:fldChar w:fldCharType="separate"/>
      </w:r>
      <w:r w:rsidRPr="000931C0">
        <w:rPr>
          <w:rFonts w:ascii="Times New Roman" w:hAnsi="Times New Roman"/>
          <w:noProof/>
        </w:rPr>
        <w:t>[</w:t>
      </w:r>
      <w:r w:rsidRPr="00A71654">
        <w:rPr>
          <w:rFonts w:ascii="Times New Roman" w:hAnsi="Times New Roman"/>
          <w:noProof/>
        </w:rPr>
        <w:t>Bender, et al. 2007</w:t>
      </w:r>
      <w:r w:rsidRPr="000931C0">
        <w:rPr>
          <w:rFonts w:ascii="Times New Roman" w:hAnsi="Times New Roman"/>
          <w:noProof/>
        </w:rPr>
        <w:t>]</w:t>
      </w:r>
      <w:r w:rsidRPr="000931C0">
        <w:rPr>
          <w:rFonts w:ascii="Times New Roman" w:hAnsi="Times New Roman"/>
        </w:rPr>
        <w:fldChar w:fldCharType="end"/>
      </w:r>
      <w:r w:rsidRPr="000931C0">
        <w:rPr>
          <w:rFonts w:ascii="Times New Roman" w:hAnsi="Times New Roman"/>
        </w:rPr>
        <w:t xml:space="preserve"> we performed additional life-table an</w:t>
      </w:r>
      <w:r w:rsidRPr="00A71654">
        <w:rPr>
          <w:rFonts w:ascii="Times New Roman" w:hAnsi="Times New Roman"/>
        </w:rPr>
        <w:t>alyses that considered all person-time while residing in the catchment.</w:t>
      </w:r>
    </w:p>
    <w:p w14:paraId="488026E5" w14:textId="77777777" w:rsidR="004A0E77" w:rsidRDefault="004A0E77" w:rsidP="004A0E77">
      <w:pPr>
        <w:spacing w:line="480" w:lineRule="auto"/>
        <w:rPr>
          <w:rFonts w:ascii="Times New Roman" w:hAnsi="Times New Roman"/>
        </w:rPr>
      </w:pPr>
    </w:p>
    <w:p w14:paraId="20034759" w14:textId="77777777" w:rsidR="00D11173" w:rsidRPr="00A71654" w:rsidRDefault="00D11173" w:rsidP="004A0E77">
      <w:pPr>
        <w:spacing w:line="480" w:lineRule="auto"/>
        <w:rPr>
          <w:rFonts w:ascii="Times New Roman" w:hAnsi="Times New Roman"/>
        </w:rPr>
      </w:pPr>
      <w:r w:rsidRPr="00A71654">
        <w:rPr>
          <w:rFonts w:ascii="Times New Roman" w:hAnsi="Times New Roman"/>
        </w:rPr>
        <w:t xml:space="preserve">In the absence of complete residential histories, Bender et al. </w:t>
      </w:r>
      <w:r w:rsidRPr="000931C0">
        <w:rPr>
          <w:rFonts w:ascii="Times New Roman" w:hAnsi="Times New Roman"/>
        </w:rPr>
        <w:fldChar w:fldCharType="begin">
          <w:fldData xml:space="preserve">PEVuZE5vdGU+PENpdGU+PEF1dGhvcj5CZW5kZXI8L0F1dGhvcj48WWVhcj4yMDA2PC9ZZWFyPjxS
ZWNOdW0+MzU3MDE8L1JlY051bT48RGlzcGxheVRleHQ+W0JlbmRlciwgZXQgYWwuIDIwMDZdPC9E
aXNwbGF5VGV4dD48cmVjb3JkPjxyZWMtbnVtYmVyPjM1NzAxPC9yZWMtbnVtYmVyPjxmb3JlaWdu
LWtleXM+PGtleSBhcHA9IkVOIiBkYi1pZD0iZXZ4emRycDliZmFwMGRlNXNwMnBzc3pkMnZhdDA1
djllYTJwIiB0aW1lc3RhbXA9IjAiPjM1NzAxPC9rZXk+PC9mb3JlaWduLWtleXM+PHJlZi10eXBl
IG5hbWU9IkpvdXJuYWwgQXJ0aWNsZSI+MTc8L3JlZi10eXBlPjxjb250cmlidXRvcnM+PGF1dGhv
cnM+PGF1dGhvcj5CZW5kZXIsIFQuIEouPC9hdXRob3I+PGF1dGhvcj5CZWFsbCwgQy48L2F1dGhv
cj48YXV0aG9yPkNoZW5nLCBILjwvYXV0aG9yPjxhdXRob3I+SGVycmljaywgUi4gRi48L2F1dGhv
cj48YXV0aG9yPkthaG4sIEEuIFIuPC9hdXRob3I+PGF1dGhvcj5NYXR0aGV3cywgUi48L2F1dGhv
cj48YXV0aG9yPlNhdGhpYWt1bWFyLCBOLjwvYXV0aG9yPjxhdXRob3I+U2NoeW11cmEsIE0uIEou
PC9hdXRob3I+PGF1dGhvcj5TdGV3YXJ0LCBKLiBILjwvYXV0aG9yPjxhdXRob3I+RGVsemVsbCwg
RS48L2F1dGhvcj48L2F1dGhvcnM+PC9jb250cmlidXRvcnM+PGF1dGgtYWRkcmVzcz5EZXBhcnRt
ZW50IG9mIEVwaWRlbWlvbG9neSwgU2Nob29sIG9mIFB1YmxpYyBIZWFsdGgsIFVuaXZlcnNpdHkg
b2YgQWxhYmFtYSBhdCBCaXJtaW5naGFtLCBCaXJtaW5naGFtLCBBTCAzNTI5NCwgVVNBLiBiZW5k
ZXJAdWFiLmVkdTwvYXV0aC1hZGRyZXNzPjx0aXRsZXM+PHRpdGxlPk1ldGhvZG9sb2dpYyBpc3N1
ZXMgaW4gZm9sbG93LXVwIHN0dWRpZXMgb2YgY2FuY2VyIGluY2lkZW5jZSBhbW9uZyBvY2N1cGF0
aW9uYWwgZ3JvdXBzIGluIHRoZSBVbml0ZWQgU3RhdGVzPC90aXRsZT48c2Vjb25kYXJ5LXRpdGxl
PkFubiBFcGlkZW1pb2w8L3NlY29uZGFyeS10aXRsZT48L3RpdGxlcz48cGVyaW9kaWNhbD48ZnVs
bC10aXRsZT5Bbm4gRXBpZGVtaW9sPC9mdWxsLXRpdGxlPjwvcGVyaW9kaWNhbD48cGFnZXM+MTcw
LTk8L3BhZ2VzPjx2b2x1bWU+MTY8L3ZvbHVtZT48bnVtYmVyPjM8L251bWJlcj48ZWRpdGlvbj4y
MDA1LzA5LzI3PC9lZGl0aW9uPjxrZXl3b3Jkcz48a2V5d29yZD5BZHVsdDwva2V5d29yZD48a2V5
d29yZD5FdmFsdWF0aW9uIFN0dWRpZXMgYXMgVG9waWM8L2tleXdvcmQ+PGtleXdvcmQ+RmVtYWxl
PC9rZXl3b3JkPjxrZXl3b3JkPkZvbGxvdy1VcCBTdHVkaWVzPC9rZXl3b3JkPjxrZXl3b3JkPkh1
bWFuczwva2V5d29yZD48a2V5d29yZD5JbmNpZGVuY2U8L2tleXdvcmQ+PGtleXdvcmQ+TWFsZTwv
a2V5d29yZD48a2V5d29yZD5NaWRkbGUgQWdlZDwva2V5d29yZD48a2V5d29yZD5OZW9wbGFzbXMv
IGVwaWRlbWlvbG9neS9tb3J0YWxpdHk8L2tleXdvcmQ+PGtleXdvcmQ+T2NjdXBhdGlvbnMvIHN0
YXRpc3RpY3MgJmFtcDsgbnVtZXJpY2FsIGRhdGE8L2tleXdvcmQ+PGtleXdvcmQ+UmVnaXN0cmll
cy9jbGFzc2lmaWNhdGlvbi9zdGF0aXN0aWNzICZhbXA7IG51bWVyaWNhbCBkYXRhPC9rZXl3b3Jk
PjxrZXl3b3JkPlJlc2lkZW50aWFsIE1vYmlsaXR5L3RyZW5kczwva2V5d29yZD48a2V5d29yZD5S
ZXRyb3NwZWN0aXZlIFN0dWRpZXM8L2tleXdvcmQ+PGtleXdvcmQ+VW5pdGVkIFN0YXRlcy9lcGlk
ZW1pb2xvZ3k8L2tleXdvcmQ+PGtleXdvcmQ+Q0FOUkVHPC9rZXl3b3JkPjxrZXl3b3JkPkNJTUVU
SDwva2V5d29yZD48a2V5d29yZD5ET0MgT04gVU1IUyBEUklWRTwva2V5d29yZD48L2tleXdvcmRz
PjxkYXRlcz48eWVhcj4yMDA2PC95ZWFyPjxwdWItZGF0ZXM+PGRhdGU+TWFyPC9kYXRlPjwvcHVi
LWRhdGVzPjwvZGF0ZXM+PGlzYm4+MTA0Ny0yNzk3IChQcmludCkmI3hEOzEwNDctMjc5NyAoTGlu
a2luZyk8L2lzYm4+PGFjY2Vzc2lvbi1udW0+MTYxODE3OTA8L2FjY2Vzc2lvbi1udW0+PHVybHM+
PC91cmxzPjxyZXNlYXJjaC1ub3Rlcz5kb2kgUzEwNDctMjc5NygwNSkwMDI1My1YIFtwaWldJiN4
RDsxMC4xMDE2L2ouYW5uZXBpZGVtLjIwMDUuMDYuMDU1IFtkb2ldJiN4RDs8L3Jlc2VhcmNoLW5v
dGVzPjxsYW5ndWFnZT5lbmc8L2xhbmd1YWdlPjwvcmVjb3JkPjwvQ2l0ZT48L0VuZE5vdGU+AG==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PEVuZE5vdGU+PENpdGU+PEF1dGhvcj5CZW5kZXI8L0F1dGhvcj48WWVhcj4yMDA2PC9ZZWFyPjxS
ZWNOdW0+MzU3MDE8L1JlY051bT48RGlzcGxheVRleHQ+W0JlbmRlciwgZXQgYWwuIDIwMDZdPC9E
aXNwbGF5VGV4dD48cmVjb3JkPjxyZWMtbnVtYmVyPjM1NzAxPC9yZWMtbnVtYmVyPjxmb3JlaWdu
LWtleXM+PGtleSBhcHA9IkVOIiBkYi1pZD0iZXZ4emRycDliZmFwMGRlNXNwMnBzc3pkMnZhdDA1
djllYTJwIiB0aW1lc3RhbXA9IjAiPjM1NzAxPC9rZXk+PC9mb3JlaWduLWtleXM+PHJlZi10eXBl
IG5hbWU9IkpvdXJuYWwgQXJ0aWNsZSI+MTc8L3JlZi10eXBlPjxjb250cmlidXRvcnM+PGF1dGhv
cnM+PGF1dGhvcj5CZW5kZXIsIFQuIEouPC9hdXRob3I+PGF1dGhvcj5CZWFsbCwgQy48L2F1dGhv
cj48YXV0aG9yPkNoZW5nLCBILjwvYXV0aG9yPjxhdXRob3I+SGVycmljaywgUi4gRi48L2F1dGhv
cj48YXV0aG9yPkthaG4sIEEuIFIuPC9hdXRob3I+PGF1dGhvcj5NYXR0aGV3cywgUi48L2F1dGhv
cj48YXV0aG9yPlNhdGhpYWt1bWFyLCBOLjwvYXV0aG9yPjxhdXRob3I+U2NoeW11cmEsIE0uIEou
PC9hdXRob3I+PGF1dGhvcj5TdGV3YXJ0LCBKLiBILjwvYXV0aG9yPjxhdXRob3I+RGVsemVsbCwg
RS48L2F1dGhvcj48L2F1dGhvcnM+PC9jb250cmlidXRvcnM+PGF1dGgtYWRkcmVzcz5EZXBhcnRt
ZW50IG9mIEVwaWRlbWlvbG9neSwgU2Nob29sIG9mIFB1YmxpYyBIZWFsdGgsIFVuaXZlcnNpdHkg
b2YgQWxhYmFtYSBhdCBCaXJtaW5naGFtLCBCaXJtaW5naGFtLCBBTCAzNTI5NCwgVVNBLiBiZW5k
ZXJAdWFiLmVkdTwvYXV0aC1hZGRyZXNzPjx0aXRsZXM+PHRpdGxlPk1ldGhvZG9sb2dpYyBpc3N1
ZXMgaW4gZm9sbG93LXVwIHN0dWRpZXMgb2YgY2FuY2VyIGluY2lkZW5jZSBhbW9uZyBvY2N1cGF0
aW9uYWwgZ3JvdXBzIGluIHRoZSBVbml0ZWQgU3RhdGVzPC90aXRsZT48c2Vjb25kYXJ5LXRpdGxl
PkFubiBFcGlkZW1pb2w8L3NlY29uZGFyeS10aXRsZT48L3RpdGxlcz48cGVyaW9kaWNhbD48ZnVs
bC10aXRsZT5Bbm4gRXBpZGVtaW9sPC9mdWxsLXRpdGxlPjwvcGVyaW9kaWNhbD48cGFnZXM+MTcw
LTk8L3BhZ2VzPjx2b2x1bWU+MTY8L3ZvbHVtZT48bnVtYmVyPjM8L251bWJlcj48ZWRpdGlvbj4y
MDA1LzA5LzI3PC9lZGl0aW9uPjxrZXl3b3Jkcz48a2V5d29yZD5BZHVsdDwva2V5d29yZD48a2V5
d29yZD5FdmFsdWF0aW9uIFN0dWRpZXMgYXMgVG9waWM8L2tleXdvcmQ+PGtleXdvcmQ+RmVtYWxl
PC9rZXl3b3JkPjxrZXl3b3JkPkZvbGxvdy1VcCBTdHVkaWVzPC9rZXl3b3JkPjxrZXl3b3JkPkh1
bWFuczwva2V5d29yZD48a2V5d29yZD5JbmNpZGVuY2U8L2tleXdvcmQ+PGtleXdvcmQ+TWFsZTwv
a2V5d29yZD48a2V5d29yZD5NaWRkbGUgQWdlZDwva2V5d29yZD48a2V5d29yZD5OZW9wbGFzbXMv
IGVwaWRlbWlvbG9neS9tb3J0YWxpdHk8L2tleXdvcmQ+PGtleXdvcmQ+T2NjdXBhdGlvbnMvIHN0
YXRpc3RpY3MgJmFtcDsgbnVtZXJpY2FsIGRhdGE8L2tleXdvcmQ+PGtleXdvcmQ+UmVnaXN0cmll
cy9jbGFzc2lmaWNhdGlvbi9zdGF0aXN0aWNzICZhbXA7IG51bWVyaWNhbCBkYXRhPC9rZXl3b3Jk
PjxrZXl3b3JkPlJlc2lkZW50aWFsIE1vYmlsaXR5L3RyZW5kczwva2V5d29yZD48a2V5d29yZD5S
ZXRyb3NwZWN0aXZlIFN0dWRpZXM8L2tleXdvcmQ+PGtleXdvcmQ+VW5pdGVkIFN0YXRlcy9lcGlk
ZW1pb2xvZ3k8L2tleXdvcmQ+PGtleXdvcmQ+Q0FOUkVHPC9rZXl3b3JkPjxrZXl3b3JkPkNJTUVU
SDwva2V5d29yZD48a2V5d29yZD5ET0MgT04gVU1IUyBEUklWRTwva2V5d29yZD48L2tleXdvcmRz
PjxkYXRlcz48eWVhcj4yMDA2PC95ZWFyPjxwdWItZGF0ZXM+PGRhdGU+TWFyPC9kYXRlPjwvcHVi
LWRhdGVzPjwvZGF0ZXM+PGlzYm4+MTA0Ny0yNzk3IChQcmludCkmI3hEOzEwNDctMjc5NyAoTGlu
a2luZyk8L2lzYm4+PGFjY2Vzc2lvbi1udW0+MTYxODE3OTA8L2FjY2Vzc2lvbi1udW0+PHVybHM+
PC91cmxzPjxyZXNlYXJjaC1ub3Rlcz5kb2kgUzEwNDctMjc5NygwNSkwMDI1My1YIFtwaWldJiN4
RDsxMC4xMDE2L2ouYW5uZXBpZGVtLjIwMDUuMDYuMDU1IFtkb2ldJiN4RDs8L3Jlc2VhcmNoLW5v
dGVzPjxsYW5ndWFnZT5lbmc8L2xhbmd1YWdlPjwvcmVjb3JkPjwvQ2l0ZT48L0VuZE5vdGU+AG==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sidRPr="000931C0">
        <w:rPr>
          <w:rFonts w:ascii="Times New Roman" w:hAnsi="Times New Roman"/>
        </w:rPr>
      </w:r>
      <w:r w:rsidRPr="000931C0">
        <w:rPr>
          <w:rFonts w:ascii="Times New Roman" w:hAnsi="Times New Roman"/>
        </w:rPr>
        <w:fldChar w:fldCharType="separate"/>
      </w:r>
      <w:r w:rsidRPr="000931C0">
        <w:rPr>
          <w:rFonts w:ascii="Times New Roman" w:hAnsi="Times New Roman"/>
          <w:noProof/>
        </w:rPr>
        <w:t>[</w:t>
      </w:r>
      <w:r w:rsidRPr="00A71654">
        <w:rPr>
          <w:rFonts w:ascii="Times New Roman" w:hAnsi="Times New Roman"/>
          <w:noProof/>
        </w:rPr>
        <w:t>Bender, et al. 2006</w:t>
      </w:r>
      <w:r w:rsidRPr="000931C0">
        <w:rPr>
          <w:rFonts w:ascii="Times New Roman" w:hAnsi="Times New Roman"/>
          <w:noProof/>
        </w:rPr>
        <w:t>]</w:t>
      </w:r>
      <w:r w:rsidRPr="000931C0">
        <w:rPr>
          <w:rFonts w:ascii="Times New Roman" w:hAnsi="Times New Roman"/>
        </w:rPr>
        <w:fldChar w:fldCharType="end"/>
      </w:r>
      <w:r w:rsidRPr="000931C0">
        <w:rPr>
          <w:rFonts w:ascii="Times New Roman" w:hAnsi="Times New Roman"/>
        </w:rPr>
        <w:t xml:space="preserve"> recommended conducting uncertainty analyses </w:t>
      </w:r>
      <w:r w:rsidRPr="00A71654">
        <w:rPr>
          <w:rFonts w:ascii="Times New Roman" w:hAnsi="Times New Roman"/>
        </w:rPr>
        <w:t xml:space="preserve">to understand the limitations of the available residential history information. Our primary analysis assigned states of residence to gaps in the residential history by splitting the gap at the midpoint. To evaluate this decision, we repeated the life-table analyses </w:t>
      </w:r>
      <w:r w:rsidRPr="00A71654">
        <w:rPr>
          <w:rFonts w:ascii="Times New Roman" w:hAnsi="Times New Roman"/>
        </w:rPr>
        <w:lastRenderedPageBreak/>
        <w:t>assigning the entire gap to the earlier state. Next we repeated the life-table analyses assigning the entire gap to the later state.</w:t>
      </w:r>
    </w:p>
    <w:p w14:paraId="7760EB2A" w14:textId="77777777" w:rsidR="004A0E77" w:rsidRDefault="004A0E77" w:rsidP="004A0E77">
      <w:pPr>
        <w:spacing w:line="480" w:lineRule="auto"/>
        <w:rPr>
          <w:rFonts w:ascii="Times New Roman" w:hAnsi="Times New Roman"/>
        </w:rPr>
      </w:pPr>
    </w:p>
    <w:p w14:paraId="38D4D21C" w14:textId="77777777" w:rsidR="003D03A3" w:rsidRDefault="00D11173" w:rsidP="004A0E77">
      <w:pPr>
        <w:spacing w:line="480" w:lineRule="auto"/>
        <w:rPr>
          <w:rFonts w:ascii="Times New Roman" w:eastAsia="Times New Roman" w:hAnsi="Times New Roman"/>
          <w:b/>
        </w:rPr>
      </w:pPr>
      <w:r w:rsidRPr="00A71654">
        <w:rPr>
          <w:rFonts w:ascii="Times New Roman" w:hAnsi="Times New Roman"/>
        </w:rPr>
        <w:t>Since the date last observed was updated based on cancer registry information for nine workers previously thought to be dead (n=1) or lost to follow-up (n=8) we repeated the life-table analyses excluding these workers because other workers lost to follow-up not known to have been diagnosed with cancer were not similarly brought forward.</w:t>
      </w:r>
    </w:p>
    <w:p w14:paraId="578D5F87" w14:textId="77777777" w:rsidR="00752DF8" w:rsidRDefault="00752DF8" w:rsidP="00A94120">
      <w:pPr>
        <w:spacing w:line="480" w:lineRule="auto"/>
        <w:rPr>
          <w:rFonts w:ascii="Times New Roman" w:eastAsia="Times New Roman" w:hAnsi="Times New Roman"/>
          <w:b/>
        </w:rPr>
      </w:pPr>
    </w:p>
    <w:p w14:paraId="65969256" w14:textId="6A23D318" w:rsidR="00752DF8" w:rsidRPr="008B2AB3" w:rsidRDefault="00153956" w:rsidP="00A94120">
      <w:pPr>
        <w:spacing w:line="480" w:lineRule="auto"/>
        <w:rPr>
          <w:rFonts w:ascii="Times New Roman" w:eastAsia="Times New Roman" w:hAnsi="Times New Roman"/>
          <w:b/>
        </w:rPr>
      </w:pPr>
      <w:r w:rsidRPr="008B2AB3">
        <w:rPr>
          <w:rFonts w:ascii="Times New Roman" w:eastAsia="Times New Roman" w:hAnsi="Times New Roman"/>
          <w:b/>
        </w:rPr>
        <w:t xml:space="preserve">External </w:t>
      </w:r>
      <w:r w:rsidR="00752DF8" w:rsidRPr="008B2AB3">
        <w:rPr>
          <w:rFonts w:ascii="Times New Roman" w:eastAsia="Times New Roman" w:hAnsi="Times New Roman"/>
          <w:b/>
        </w:rPr>
        <w:t>analyses for prostate cancer</w:t>
      </w:r>
    </w:p>
    <w:p w14:paraId="5C78D458" w14:textId="77777777" w:rsidR="00D11173" w:rsidRPr="00DB7A43" w:rsidRDefault="00D11173" w:rsidP="004A0E77">
      <w:pPr>
        <w:autoSpaceDE w:val="0"/>
        <w:autoSpaceDN w:val="0"/>
        <w:adjustRightInd w:val="0"/>
        <w:spacing w:line="480" w:lineRule="auto"/>
        <w:rPr>
          <w:rFonts w:ascii="Times New Roman" w:hAnsi="Times New Roman"/>
          <w:color w:val="000000" w:themeColor="text1"/>
        </w:rPr>
      </w:pPr>
      <w:r w:rsidRPr="00DB7A43">
        <w:rPr>
          <w:rFonts w:ascii="Times New Roman" w:hAnsi="Times New Roman"/>
          <w:color w:val="000000" w:themeColor="text1"/>
        </w:rPr>
        <w:t>Plant-specific prostate cancer SIRs were compared using Poisson regression models (SAS 9.2 GENMOD procedure, SAS Institute Inc., Cary, NC)</w:t>
      </w:r>
      <w:r>
        <w:rPr>
          <w:rFonts w:ascii="Times New Roman" w:hAnsi="Times New Roman"/>
          <w:color w:val="000000" w:themeColor="text1"/>
        </w:rPr>
        <w:t xml:space="preserve">: the </w:t>
      </w:r>
      <w:r w:rsidRPr="00DB7A43">
        <w:rPr>
          <w:rFonts w:ascii="Times New Roman" w:hAnsi="Times New Roman"/>
          <w:color w:val="000000" w:themeColor="text1"/>
        </w:rPr>
        <w:t>dependent variable was the number of cases (assumed to follow a Poisson distribution)</w:t>
      </w:r>
      <w:r>
        <w:rPr>
          <w:rFonts w:ascii="Times New Roman" w:hAnsi="Times New Roman"/>
          <w:color w:val="000000" w:themeColor="text1"/>
        </w:rPr>
        <w:t xml:space="preserve">; </w:t>
      </w:r>
      <w:r w:rsidRPr="00DB7A43">
        <w:rPr>
          <w:rFonts w:ascii="Times New Roman" w:hAnsi="Times New Roman"/>
          <w:color w:val="000000" w:themeColor="text1"/>
        </w:rPr>
        <w:t xml:space="preserve">the independent variables included </w:t>
      </w:r>
      <w:r>
        <w:rPr>
          <w:rFonts w:ascii="Times New Roman" w:hAnsi="Times New Roman"/>
          <w:color w:val="000000" w:themeColor="text1"/>
        </w:rPr>
        <w:t xml:space="preserve">plant </w:t>
      </w:r>
      <w:r w:rsidRPr="00DB7A43">
        <w:rPr>
          <w:rFonts w:ascii="Times New Roman" w:hAnsi="Times New Roman"/>
          <w:color w:val="000000" w:themeColor="text1"/>
        </w:rPr>
        <w:t>indicator variables</w:t>
      </w:r>
      <w:r>
        <w:rPr>
          <w:rFonts w:ascii="Times New Roman" w:hAnsi="Times New Roman"/>
          <w:color w:val="000000" w:themeColor="text1"/>
        </w:rPr>
        <w:t xml:space="preserve">, and </w:t>
      </w:r>
      <w:r w:rsidRPr="00DB7A43">
        <w:rPr>
          <w:rFonts w:ascii="Times New Roman" w:hAnsi="Times New Roman"/>
          <w:color w:val="000000" w:themeColor="text1"/>
        </w:rPr>
        <w:t>an offset term (with parameter fixed at 1.0) reflect</w:t>
      </w:r>
      <w:r>
        <w:rPr>
          <w:rFonts w:ascii="Times New Roman" w:hAnsi="Times New Roman"/>
          <w:color w:val="000000" w:themeColor="text1"/>
        </w:rPr>
        <w:t xml:space="preserve">ed </w:t>
      </w:r>
      <w:r w:rsidRPr="00DB7A43">
        <w:rPr>
          <w:rFonts w:ascii="Times New Roman" w:hAnsi="Times New Roman"/>
          <w:color w:val="000000" w:themeColor="text1"/>
        </w:rPr>
        <w:t xml:space="preserve">the expected number of prostate cancer cases in each age and calendar-year stratum. Model parameters reflected the ratios of SIRs and can be interpreted as standardized rate ratios in the absence of a plant-age interaction </w:t>
      </w:r>
      <w:r w:rsidRPr="00DB7A43">
        <w:rPr>
          <w:rFonts w:ascii="Times New Roman" w:hAnsi="Times New Roman"/>
          <w:color w:val="000000" w:themeColor="text1"/>
        </w:rPr>
        <w:fldChar w:fldCharType="begin"/>
      </w:r>
      <w:r>
        <w:rPr>
          <w:rFonts w:ascii="Times New Roman" w:hAnsi="Times New Roman"/>
          <w:color w:val="000000" w:themeColor="text1"/>
        </w:rPr>
        <w:instrText xml:space="preserve"> ADDIN EN.CITE &lt;EndNote&gt;&lt;Cite&gt;&lt;Author&gt;Armstrong&lt;/Author&gt;&lt;Year&gt;1995&lt;/Year&gt;&lt;RecNum&gt;40703&lt;/RecNum&gt;&lt;DisplayText&gt;[Armstrong 1995]&lt;/DisplayText&gt;&lt;record&gt;&lt;rec-number&gt;40703&lt;/rec-number&gt;&lt;foreign-keys&gt;&lt;key app="EN" db-id="evxzdrp9bfap0de5sp2psszd2vat05v9ea2p" timestamp="1354113660"&gt;40703&lt;/key&gt;&lt;/foreign-keys&gt;&lt;ref-type name="Journal Article"&gt;17&lt;/ref-type&gt;&lt;contributors&gt;&lt;authors&gt;&lt;author&gt;Armstrong, B. G.&lt;/author&gt;&lt;/authors&gt;&lt;/contributors&gt;&lt;auth-address&gt;School of Occupational Health, McGill University, Montreal, Quebec, Canada.&lt;/auth-address&gt;&lt;titles&gt;&lt;title&gt;Comparing standardized mortality ratios&lt;/title&gt;&lt;secondary-title&gt;Ann Epidemiol&lt;/secondary-title&gt;&lt;alt-title&gt;Annals of epidemiology&lt;/alt-title&gt;&lt;/titles&gt;&lt;periodical&gt;&lt;full-title&gt;Ann Epidemiol&lt;/full-title&gt;&lt;/periodical&gt;&lt;pages&gt;60-4&lt;/pages&gt;&lt;volume&gt;5&lt;/volume&gt;&lt;number&gt;1&lt;/number&gt;&lt;edition&gt;1995/01/01&lt;/edition&gt;&lt;keywords&gt;&lt;keyword&gt;Bias (Epidemiology)&lt;/keyword&gt;&lt;keyword&gt;Humans&lt;/keyword&gt;&lt;keyword&gt;Mortality&lt;/keyword&gt;&lt;keyword&gt;Statistics as Topic/ methods&lt;/keyword&gt;&lt;keyword&gt;DOC ON UMHS DRIVE&lt;/keyword&gt;&lt;/keywords&gt;&lt;dates&gt;&lt;year&gt;1995&lt;/year&gt;&lt;pub-dates&gt;&lt;date&gt;Jan&lt;/date&gt;&lt;/pub-dates&gt;&lt;/dates&gt;&lt;isbn&gt;1047-2797 (Print)&amp;#xD;1047-2797 (Linking)&lt;/isbn&gt;&lt;accession-num&gt;7728286&lt;/accession-num&gt;&lt;urls&gt;&lt;/urls&gt;&lt;remote-database-provider&gt;NLM&lt;/remote-database-provider&gt;&lt;language&gt;eng&lt;/language&gt;&lt;/record&gt;&lt;/Cite&gt;&lt;/EndNote&gt;</w:instrText>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[Armstrong 1995]</w:t>
      </w:r>
      <w:r w:rsidRPr="00DB7A43">
        <w:rPr>
          <w:rFonts w:ascii="Times New Roman" w:hAnsi="Times New Roman"/>
          <w:color w:val="000000" w:themeColor="text1"/>
        </w:rPr>
        <w:fldChar w:fldCharType="end"/>
      </w:r>
      <w:r w:rsidRPr="00DB7A43">
        <w:rPr>
          <w:rFonts w:ascii="Times New Roman" w:hAnsi="Times New Roman"/>
          <w:color w:val="000000" w:themeColor="text1"/>
        </w:rPr>
        <w:t>. Similar methods were used to compare prostate cancer SIRs between short-term (&lt;90 days of employment) and long-term workers.</w:t>
      </w:r>
    </w:p>
    <w:p w14:paraId="22770B6A" w14:textId="77777777" w:rsidR="00752DF8" w:rsidRDefault="00752DF8" w:rsidP="00752DF8">
      <w:pPr>
        <w:spacing w:line="480" w:lineRule="auto"/>
        <w:rPr>
          <w:rFonts w:ascii="Times New Roman" w:eastAsia="Times New Roman" w:hAnsi="Times New Roman"/>
          <w:b/>
          <w:i/>
        </w:rPr>
      </w:pPr>
    </w:p>
    <w:p w14:paraId="4BFD9402" w14:textId="1A14306A" w:rsidR="00752DF8" w:rsidRPr="008B2AB3" w:rsidRDefault="00153956" w:rsidP="00752DF8">
      <w:pPr>
        <w:spacing w:line="480" w:lineRule="auto"/>
        <w:rPr>
          <w:rFonts w:ascii="Times New Roman" w:eastAsia="Times New Roman" w:hAnsi="Times New Roman"/>
          <w:b/>
        </w:rPr>
      </w:pPr>
      <w:r w:rsidRPr="008B2AB3">
        <w:rPr>
          <w:rFonts w:ascii="Times New Roman" w:eastAsia="Times New Roman" w:hAnsi="Times New Roman"/>
          <w:b/>
        </w:rPr>
        <w:t>In</w:t>
      </w:r>
      <w:r w:rsidR="00752DF8" w:rsidRPr="008B2AB3">
        <w:rPr>
          <w:rFonts w:ascii="Times New Roman" w:eastAsia="Times New Roman" w:hAnsi="Times New Roman"/>
          <w:b/>
        </w:rPr>
        <w:t>ternal analyses for prostate cancer</w:t>
      </w:r>
    </w:p>
    <w:p w14:paraId="5A23FAE6" w14:textId="77777777" w:rsidR="00D11173" w:rsidRPr="00DB7A43" w:rsidRDefault="00D11173" w:rsidP="004A0E77">
      <w:pPr>
        <w:autoSpaceDE w:val="0"/>
        <w:autoSpaceDN w:val="0"/>
        <w:adjustRightInd w:val="0"/>
        <w:spacing w:line="480" w:lineRule="auto"/>
        <w:rPr>
          <w:rFonts w:ascii="Times New Roman" w:hAnsi="Times New Roman"/>
          <w:color w:val="000000" w:themeColor="text1"/>
        </w:rPr>
      </w:pPr>
      <w:r w:rsidRPr="00DB7A43">
        <w:rPr>
          <w:rFonts w:ascii="Times New Roman" w:hAnsi="Times New Roman"/>
          <w:color w:val="000000" w:themeColor="text1"/>
        </w:rPr>
        <w:t xml:space="preserve">Directly standardized prostate cancer incidence </w:t>
      </w:r>
      <w:r>
        <w:rPr>
          <w:rFonts w:ascii="Times New Roman" w:hAnsi="Times New Roman"/>
          <w:color w:val="000000" w:themeColor="text1"/>
        </w:rPr>
        <w:t xml:space="preserve">rates </w:t>
      </w:r>
      <w:r w:rsidRPr="00DB7A43">
        <w:rPr>
          <w:rFonts w:ascii="Times New Roman" w:hAnsi="Times New Roman"/>
          <w:color w:val="000000" w:themeColor="text1"/>
        </w:rPr>
        <w:t xml:space="preserve">among workers with higher cumulative exposure were compared to rates among workers in the lowest cumulative exposure category. </w:t>
      </w:r>
      <w:r>
        <w:rPr>
          <w:rFonts w:ascii="Times New Roman" w:hAnsi="Times New Roman"/>
          <w:color w:val="000000" w:themeColor="text1"/>
        </w:rPr>
        <w:t xml:space="preserve">SRR </w:t>
      </w:r>
      <w:r w:rsidRPr="00DB7A43">
        <w:rPr>
          <w:rFonts w:ascii="Times New Roman" w:hAnsi="Times New Roman"/>
          <w:color w:val="000000" w:themeColor="text1"/>
        </w:rPr>
        <w:t xml:space="preserve">95% CIs </w:t>
      </w:r>
      <w:r>
        <w:rPr>
          <w:rFonts w:ascii="Times New Roman" w:hAnsi="Times New Roman"/>
          <w:color w:val="000000" w:themeColor="text1"/>
        </w:rPr>
        <w:t xml:space="preserve">were estimated </w:t>
      </w:r>
      <w:r w:rsidRPr="00DB7A43">
        <w:rPr>
          <w:rFonts w:ascii="Times New Roman" w:hAnsi="Times New Roman"/>
          <w:color w:val="000000" w:themeColor="text1"/>
        </w:rPr>
        <w:t xml:space="preserve">using approximate methods </w:t>
      </w:r>
      <w:r w:rsidRPr="00DB7A43">
        <w:rPr>
          <w:rFonts w:ascii="Times New Roman" w:hAnsi="Times New Roman"/>
          <w:color w:val="000000" w:themeColor="text1"/>
        </w:rPr>
        <w:fldChar w:fldCharType="begin"/>
      </w:r>
      <w:r>
        <w:rPr>
          <w:rFonts w:ascii="Times New Roman" w:hAnsi="Times New Roman"/>
          <w:color w:val="000000" w:themeColor="text1"/>
        </w:rPr>
        <w:instrText xml:space="preserve"> ADDIN EN.CITE &lt;EndNote&gt;&lt;Cite&gt;&lt;Author&gt;Rothman&lt;/Author&gt;&lt;Year&gt;1998&lt;/Year&gt;&lt;RecNum&gt;39385&lt;/RecNum&gt;&lt;DisplayText&gt;[Rothman and Greenland 1998]&lt;/DisplayText&gt;&lt;record&gt;&lt;rec-number&gt;39385&lt;/rec-number&gt;&lt;foreign-keys&gt;&lt;key app="EN" db-id="evxzdrp9bfap0de5sp2psszd2vat05v9ea2p" timestamp="1329259193"&gt;39385&lt;/key&gt;&lt;/foreign-keys&gt;&lt;ref-type name="Book"&gt;6&lt;/ref-type&gt;&lt;contributors&gt;&lt;authors&gt;&lt;author&gt;Rothman, K. J.&lt;/author&gt;&lt;author&gt;Greenland, S.&lt;/author&gt;&lt;/authors&gt;&lt;/contributors&gt;&lt;titles&gt;&lt;title&gt;Modern Epidemiology&lt;/title&gt;&lt;/titles&gt;&lt;pages&gt;1-738&lt;/pages&gt;&lt;edition&gt;2&lt;/edition&gt;&lt;keywords&gt;&lt;keyword&gt;epidemiologic methods&lt;/keyword&gt;&lt;keyword&gt;UMHSe1&lt;/keyword&gt;&lt;keyword&gt;UMHSe2&lt;/keyword&gt;&lt;keyword&gt;TJC5&lt;/keyword&gt;&lt;keyword&gt;table of contents in UMHS files&lt;/keyword&gt;&lt;keyword&gt;PCBmort2008&lt;/keyword&gt;&lt;keyword&gt;UMHS chlorsolv&lt;/keyword&gt;&lt;/keywords&gt;&lt;dates&gt;&lt;year&gt;1998&lt;/year&gt;&lt;pub-dates&gt;&lt;date&gt;1998&lt;/date&gt;&lt;/pub-dates&gt;&lt;/dates&gt;&lt;pub-location&gt;Philadelphia, PA&lt;/pub-location&gt;&lt;publisher&gt;Lippincott&lt;/publisher&gt;&lt;label&gt;16629&lt;/label&gt;&lt;urls&gt;&lt;/urls&gt;&lt;/record&gt;&lt;/Cite&gt;&lt;/EndNote&gt;</w:instrText>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[Rothman and Greenland 1998]</w:t>
      </w:r>
      <w:r w:rsidRPr="00DB7A43">
        <w:rPr>
          <w:rFonts w:ascii="Times New Roman" w:hAnsi="Times New Roman"/>
          <w:color w:val="000000" w:themeColor="text1"/>
        </w:rPr>
        <w:fldChar w:fldCharType="end"/>
      </w:r>
      <w:r w:rsidRPr="00DB7A43">
        <w:rPr>
          <w:rFonts w:ascii="Times New Roman" w:hAnsi="Times New Roman"/>
          <w:color w:val="000000" w:themeColor="text1"/>
        </w:rPr>
        <w:t xml:space="preserve"> and tests of linear trend for cumulative exposure using methods described by Rothman </w:t>
      </w:r>
      <w:r w:rsidRPr="00DB7A43">
        <w:rPr>
          <w:rFonts w:ascii="Times New Roman" w:hAnsi="Times New Roman"/>
          <w:color w:val="000000" w:themeColor="text1"/>
        </w:rPr>
        <w:fldChar w:fldCharType="begin"/>
      </w:r>
      <w:r>
        <w:rPr>
          <w:rFonts w:ascii="Times New Roman" w:hAnsi="Times New Roman"/>
          <w:color w:val="000000" w:themeColor="text1"/>
        </w:rPr>
        <w:instrText xml:space="preserve"> ADDIN EN.CITE &lt;EndNote&gt;&lt;Cite&gt;&lt;Author&gt;Rothman&lt;/Author&gt;&lt;Year&gt;1986&lt;/Year&gt;&lt;RecNum&gt;5242&lt;/RecNum&gt;&lt;DisplayText&gt;[Rothman 1986]&lt;/DisplayText&gt;&lt;record&gt;&lt;rec-number&gt;5242&lt;/rec-number&gt;&lt;foreign-keys&gt;&lt;key app="EN" db-id="evxzdrp9bfap0de5sp2psszd2vat05v9ea2p" timestamp="0"&gt;5242&lt;/key&gt;&lt;/foreign-keys&gt;&lt;ref-type name="Book"&gt;6&lt;/ref-type&gt;&lt;contributors&gt;&lt;authors&gt;&lt;author&gt;Rothman, K. J.&lt;/author&gt;&lt;/authors&gt;&lt;/contributors&gt;&lt;titles&gt;&lt;title&gt;Modern Epidemiology&lt;/title&gt;&lt;/titles&gt;&lt;pages&gt;1-358&lt;/pages&gt;&lt;edition&gt;1&lt;/edition&gt;&lt;keywords&gt;&lt;keyword&gt;UMHS PROTOCOL&lt;/keyword&gt;&lt;keyword&gt;BM1&lt;/keyword&gt;&lt;keyword&gt;on UMHS bookshelf&lt;/keyword&gt;&lt;/keywords&gt;&lt;dates&gt;&lt;year&gt;1986&lt;/year&gt;&lt;pub-dates&gt;&lt;date&gt;1986&lt;/date&gt;&lt;/pub-dates&gt;&lt;/dates&gt;&lt;pub-location&gt;Boston, MA&lt;/pub-location&gt;&lt;publisher&gt;Little, Brown and Company&lt;/publisher&gt;&lt;label&gt;16626&lt;/label&gt;&lt;urls&gt;&lt;/urls&gt;&lt;/record&gt;&lt;/Cite&gt;&lt;/EndNote&gt;</w:instrText>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 xml:space="preserve">[Rothman </w:t>
      </w:r>
      <w:r w:rsidRPr="00DB7A43">
        <w:rPr>
          <w:rFonts w:ascii="Times New Roman" w:hAnsi="Times New Roman"/>
          <w:noProof/>
          <w:color w:val="000000" w:themeColor="text1"/>
        </w:rPr>
        <w:lastRenderedPageBreak/>
        <w:t>1986]</w:t>
      </w:r>
      <w:r w:rsidRPr="00DB7A43">
        <w:rPr>
          <w:rFonts w:ascii="Times New Roman" w:hAnsi="Times New Roman"/>
          <w:color w:val="000000" w:themeColor="text1"/>
        </w:rPr>
        <w:fldChar w:fldCharType="end"/>
      </w:r>
      <w:r w:rsidRPr="00DB7A43">
        <w:rPr>
          <w:rFonts w:ascii="Times New Roman" w:hAnsi="Times New Roman"/>
          <w:color w:val="000000" w:themeColor="text1"/>
        </w:rPr>
        <w:t xml:space="preserve">. To account for potential latency, we considered exposure lag periods of 0, 10, 20, and 30 years. </w:t>
      </w:r>
    </w:p>
    <w:p w14:paraId="5C2AB181" w14:textId="77777777" w:rsidR="004A0E77" w:rsidRDefault="004A0E77" w:rsidP="004A0E77">
      <w:pPr>
        <w:autoSpaceDE w:val="0"/>
        <w:autoSpaceDN w:val="0"/>
        <w:adjustRightInd w:val="0"/>
        <w:spacing w:line="480" w:lineRule="auto"/>
        <w:rPr>
          <w:rFonts w:ascii="Times New Roman" w:hAnsi="Times New Roman"/>
          <w:color w:val="000000" w:themeColor="text1"/>
        </w:rPr>
      </w:pPr>
    </w:p>
    <w:p w14:paraId="315D3228" w14:textId="77777777" w:rsidR="00D11173" w:rsidRPr="00DB7A43" w:rsidRDefault="00D11173" w:rsidP="004A0E77">
      <w:pPr>
        <w:autoSpaceDE w:val="0"/>
        <w:autoSpaceDN w:val="0"/>
        <w:adjustRightInd w:val="0"/>
        <w:spacing w:line="480" w:lineRule="auto"/>
        <w:rPr>
          <w:rFonts w:ascii="Times New Roman" w:hAnsi="Times New Roman"/>
          <w:color w:val="000000" w:themeColor="text1"/>
        </w:rPr>
      </w:pPr>
      <w:r w:rsidRPr="00DB7A43">
        <w:rPr>
          <w:rFonts w:ascii="Times New Roman" w:hAnsi="Times New Roman"/>
          <w:color w:val="000000" w:themeColor="text1"/>
        </w:rPr>
        <w:t>Cox regression was used to estimate prostate cancer hazard ratios for workers with higher compared with lower cumulative exposure. In these analyses, age was specified as the time variable</w:t>
      </w:r>
      <w:r>
        <w:rPr>
          <w:rFonts w:ascii="Times New Roman" w:hAnsi="Times New Roman"/>
          <w:color w:val="000000" w:themeColor="text1"/>
        </w:rPr>
        <w:t xml:space="preserve">, </w:t>
      </w:r>
      <w:r w:rsidRPr="00DB7A43">
        <w:rPr>
          <w:rFonts w:ascii="Times New Roman" w:hAnsi="Times New Roman"/>
          <w:color w:val="000000" w:themeColor="text1"/>
        </w:rPr>
        <w:t>cumulative exposure was time-dependent</w:t>
      </w:r>
      <w:r>
        <w:rPr>
          <w:rFonts w:ascii="Times New Roman" w:hAnsi="Times New Roman"/>
          <w:color w:val="000000" w:themeColor="text1"/>
        </w:rPr>
        <w:t xml:space="preserve">, and </w:t>
      </w:r>
      <w:r w:rsidRPr="00DB7A43">
        <w:rPr>
          <w:rFonts w:ascii="Times New Roman" w:hAnsi="Times New Roman"/>
          <w:color w:val="000000" w:themeColor="text1"/>
        </w:rPr>
        <w:t xml:space="preserve">controls were matched to cases within risk sets on race </w:t>
      </w:r>
      <w:r>
        <w:rPr>
          <w:rFonts w:ascii="Times New Roman" w:hAnsi="Times New Roman"/>
          <w:color w:val="000000" w:themeColor="text1"/>
        </w:rPr>
        <w:t>and</w:t>
      </w:r>
      <w:r w:rsidRPr="00DB7A43">
        <w:rPr>
          <w:rFonts w:ascii="Times New Roman" w:hAnsi="Times New Roman"/>
          <w:color w:val="000000" w:themeColor="text1"/>
        </w:rPr>
        <w:t xml:space="preserve"> attained age. All eligible controls were included and the resulting matched risk sets were analyzed using conditional logistic regression (SAS 9.2 PHREG procedure, </w:t>
      </w:r>
      <w:r>
        <w:rPr>
          <w:rFonts w:ascii="Times New Roman" w:hAnsi="Times New Roman"/>
          <w:color w:val="000000" w:themeColor="text1"/>
        </w:rPr>
        <w:t>ibid.</w:t>
      </w:r>
      <w:r w:rsidRPr="00DB7A43">
        <w:rPr>
          <w:rFonts w:ascii="Times New Roman" w:hAnsi="Times New Roman"/>
          <w:color w:val="000000" w:themeColor="text1"/>
        </w:rPr>
        <w:t>)</w:t>
      </w:r>
      <w:r>
        <w:rPr>
          <w:rFonts w:ascii="Times New Roman" w:hAnsi="Times New Roman"/>
          <w:color w:val="000000" w:themeColor="text1"/>
        </w:rPr>
        <w:t xml:space="preserve">, </w:t>
      </w:r>
      <w:r w:rsidRPr="00DB7A43">
        <w:rPr>
          <w:rFonts w:ascii="Times New Roman" w:hAnsi="Times New Roman"/>
          <w:color w:val="000000" w:themeColor="text1"/>
        </w:rPr>
        <w:t xml:space="preserve">equivalent to a Cox proportional hazards model stratified on race. </w:t>
      </w:r>
      <w:r>
        <w:rPr>
          <w:rFonts w:ascii="Times New Roman" w:hAnsi="Times New Roman"/>
          <w:color w:val="000000" w:themeColor="text1"/>
        </w:rPr>
        <w:t>V</w:t>
      </w:r>
      <w:r w:rsidRPr="00DB7A43">
        <w:rPr>
          <w:rFonts w:ascii="Times New Roman" w:hAnsi="Times New Roman"/>
          <w:color w:val="000000" w:themeColor="text1"/>
        </w:rPr>
        <w:t xml:space="preserve">arious transformations of cumulative exposure </w:t>
      </w:r>
      <w:r>
        <w:rPr>
          <w:rFonts w:ascii="Times New Roman" w:hAnsi="Times New Roman"/>
          <w:color w:val="000000" w:themeColor="text1"/>
        </w:rPr>
        <w:t xml:space="preserve">(continuous variable) </w:t>
      </w:r>
      <w:r w:rsidRPr="00DB7A43">
        <w:rPr>
          <w:rFonts w:ascii="Times New Roman" w:hAnsi="Times New Roman"/>
          <w:color w:val="000000" w:themeColor="text1"/>
        </w:rPr>
        <w:t xml:space="preserve">were evaluated including square root, natural log, and restricted cubic splines. Categorical models used quintiles of the exposure distribution among cases. Confounding </w:t>
      </w:r>
      <w:r>
        <w:rPr>
          <w:rFonts w:ascii="Times New Roman" w:hAnsi="Times New Roman"/>
          <w:color w:val="000000" w:themeColor="text1"/>
        </w:rPr>
        <w:t xml:space="preserve">was evaluated for </w:t>
      </w:r>
      <w:r w:rsidRPr="00DB7A43">
        <w:rPr>
          <w:rFonts w:ascii="Times New Roman" w:hAnsi="Times New Roman"/>
          <w:color w:val="000000" w:themeColor="text1"/>
        </w:rPr>
        <w:t xml:space="preserve">birth </w:t>
      </w:r>
      <w:r>
        <w:rPr>
          <w:rFonts w:ascii="Times New Roman" w:hAnsi="Times New Roman"/>
          <w:color w:val="000000" w:themeColor="text1"/>
        </w:rPr>
        <w:t xml:space="preserve">and </w:t>
      </w:r>
      <w:r w:rsidRPr="00DB7A43">
        <w:rPr>
          <w:rFonts w:ascii="Times New Roman" w:hAnsi="Times New Roman"/>
          <w:color w:val="000000" w:themeColor="text1"/>
        </w:rPr>
        <w:t>calendar year. Exposure lag periods of 0 to 30 years were evaluated</w:t>
      </w:r>
      <w:r>
        <w:rPr>
          <w:rFonts w:ascii="Times New Roman" w:hAnsi="Times New Roman"/>
          <w:color w:val="000000" w:themeColor="text1"/>
        </w:rPr>
        <w:t xml:space="preserve">; </w:t>
      </w:r>
      <w:r w:rsidRPr="00DB7A43">
        <w:rPr>
          <w:rFonts w:ascii="Times New Roman" w:hAnsi="Times New Roman"/>
          <w:color w:val="000000" w:themeColor="text1"/>
        </w:rPr>
        <w:t xml:space="preserve">the best-fitting lag period was selected based on model fit (AIC, </w:t>
      </w:r>
      <w:proofErr w:type="spellStart"/>
      <w:r w:rsidRPr="00DB7A43">
        <w:rPr>
          <w:rFonts w:ascii="Times New Roman" w:hAnsi="Times New Roman"/>
          <w:color w:val="000000" w:themeColor="text1"/>
        </w:rPr>
        <w:t>Akaike’s</w:t>
      </w:r>
      <w:proofErr w:type="spellEnd"/>
      <w:r w:rsidRPr="00DB7A43">
        <w:rPr>
          <w:rFonts w:ascii="Times New Roman" w:hAnsi="Times New Roman"/>
          <w:color w:val="000000" w:themeColor="text1"/>
        </w:rPr>
        <w:t xml:space="preserve"> Information Criterion). Cutpoints </w:t>
      </w:r>
      <w:r>
        <w:rPr>
          <w:rFonts w:ascii="Times New Roman" w:hAnsi="Times New Roman"/>
          <w:color w:val="000000" w:themeColor="text1"/>
        </w:rPr>
        <w:t>partitioning</w:t>
      </w:r>
      <w:r w:rsidRPr="00DB7A43">
        <w:rPr>
          <w:rFonts w:ascii="Times New Roman" w:hAnsi="Times New Roman"/>
          <w:color w:val="000000" w:themeColor="text1"/>
        </w:rPr>
        <w:t xml:space="preserve"> exposure into three windows by levels of hormonal activity</w:t>
      </w:r>
      <w:r>
        <w:rPr>
          <w:rFonts w:ascii="Times New Roman" w:hAnsi="Times New Roman"/>
          <w:color w:val="000000" w:themeColor="text1"/>
        </w:rPr>
        <w:t>--</w:t>
      </w:r>
      <w:r w:rsidRPr="00DB7A43">
        <w:rPr>
          <w:rFonts w:ascii="Times New Roman" w:hAnsi="Times New Roman"/>
          <w:color w:val="000000" w:themeColor="text1"/>
        </w:rPr>
        <w:t xml:space="preserve">exposure accrued </w:t>
      </w:r>
      <w:r>
        <w:rPr>
          <w:rFonts w:ascii="Times New Roman" w:hAnsi="Times New Roman"/>
          <w:color w:val="000000" w:themeColor="text1"/>
        </w:rPr>
        <w:t>before</w:t>
      </w:r>
      <w:r w:rsidRPr="00DB7A43">
        <w:rPr>
          <w:rFonts w:ascii="Times New Roman" w:hAnsi="Times New Roman"/>
          <w:color w:val="000000" w:themeColor="text1"/>
        </w:rPr>
        <w:t xml:space="preserve"> </w:t>
      </w:r>
      <w:r>
        <w:rPr>
          <w:rFonts w:ascii="Times New Roman" w:hAnsi="Times New Roman"/>
          <w:color w:val="000000" w:themeColor="text1"/>
        </w:rPr>
        <w:t xml:space="preserve">age </w:t>
      </w:r>
      <w:r w:rsidRPr="00DB7A43">
        <w:rPr>
          <w:rFonts w:ascii="Times New Roman" w:hAnsi="Times New Roman"/>
          <w:color w:val="000000" w:themeColor="text1"/>
        </w:rPr>
        <w:t xml:space="preserve">23, from </w:t>
      </w:r>
      <w:r>
        <w:rPr>
          <w:rFonts w:ascii="Times New Roman" w:hAnsi="Times New Roman"/>
          <w:color w:val="000000" w:themeColor="text1"/>
        </w:rPr>
        <w:t xml:space="preserve">age </w:t>
      </w:r>
      <w:r w:rsidRPr="00DB7A43">
        <w:rPr>
          <w:rFonts w:ascii="Times New Roman" w:hAnsi="Times New Roman"/>
          <w:color w:val="000000" w:themeColor="text1"/>
        </w:rPr>
        <w:t>23</w:t>
      </w:r>
      <w:r>
        <w:rPr>
          <w:rFonts w:ascii="Times New Roman" w:hAnsi="Times New Roman"/>
          <w:color w:val="000000" w:themeColor="text1"/>
        </w:rPr>
        <w:t xml:space="preserve"> to age </w:t>
      </w:r>
      <w:r w:rsidRPr="00DB7A43">
        <w:rPr>
          <w:rFonts w:ascii="Times New Roman" w:hAnsi="Times New Roman"/>
          <w:color w:val="000000" w:themeColor="text1"/>
        </w:rPr>
        <w:t xml:space="preserve">49, and at 50 years or older – were also considered </w:t>
      </w:r>
      <w:r w:rsidRPr="00DB7A43">
        <w:rPr>
          <w:rFonts w:ascii="Times New Roman" w:hAnsi="Times New Roman"/>
          <w:color w:val="000000" w:themeColor="text1"/>
        </w:rPr>
        <w:fldChar w:fldCharType="begin"/>
      </w:r>
      <w:r>
        <w:rPr>
          <w:rFonts w:ascii="Times New Roman" w:hAnsi="Times New Roman"/>
          <w:color w:val="000000" w:themeColor="text1"/>
        </w:rPr>
        <w:instrText xml:space="preserve"> ADDIN EN.CITE &lt;EndNote&gt;&lt;Cite&gt;&lt;Author&gt;Agalliu&lt;/Author&gt;&lt;Year&gt;2005&lt;/Year&gt;&lt;RecNum&gt;27021&lt;/RecNum&gt;&lt;DisplayText&gt;[Agalliu, et al. 2005]&lt;/DisplayText&gt;&lt;record&gt;&lt;rec-number&gt;27021&lt;/rec-number&gt;&lt;foreign-keys&gt;&lt;key app="EN" db-id="evxzdrp9bfap0de5sp2psszd2vat05v9ea2p" timestamp="0"&gt;27021&lt;/key&gt;&lt;/foreign-keys&gt;&lt;ref-type name="Journal Article"&gt;17&lt;/ref-type&gt;&lt;contributors&gt;&lt;authors&gt;&lt;author&gt;Agalliu, I. &lt;/author&gt;&lt;author&gt;Kriebel, D. &lt;/author&gt;&lt;author&gt;Quinn, M. M. &lt;/author&gt;&lt;author&gt;Wegman, D. H. &lt;/author&gt;&lt;author&gt;Eisen, E. A.&lt;/author&gt;&lt;/authors&gt;&lt;/contributors&gt;&lt;auth-address&gt;Department of Work Environment, University of Massachusetts, Lowell, MA, USA.&lt;/auth-address&gt;&lt;titles&gt;&lt;title&gt;Prostate cancer incidence in relation to time windows of exposure to metalworking fluids in the auto industry&lt;/title&gt;&lt;secondary-title&gt;Epidemiology&lt;/secondary-title&gt;&lt;/titles&gt;&lt;periodical&gt;&lt;full-title&gt;Epidemiology&lt;/full-title&gt;&lt;/periodical&gt;&lt;pages&gt;664-71&lt;/pages&gt;&lt;volume&gt;16&lt;/volume&gt;&lt;number&gt;5&lt;/number&gt;&lt;keywords&gt;&lt;keyword&gt;Adult&lt;/keyword&gt;&lt;keyword&gt;*Automobiles&lt;/keyword&gt;&lt;keyword&gt;Case-Control Studies&lt;/keyword&gt;&lt;keyword&gt;Chi-Square Distribution&lt;/keyword&gt;&lt;keyword&gt;Confounding Factors (Epidemiology)&lt;/keyword&gt;&lt;keyword&gt;Humans&lt;/keyword&gt;&lt;keyword&gt;Incidence&lt;/keyword&gt;&lt;keyword&gt;Industrial Oils: *toxicity&lt;/keyword&gt;&lt;keyword&gt;Industry&lt;/keyword&gt;&lt;keyword&gt;Logistic Models&lt;/keyword&gt;&lt;keyword&gt;Male&lt;/keyword&gt;&lt;keyword&gt;*Metallurgy&lt;/keyword&gt;&lt;keyword&gt;Michigan: epidemiology&lt;/keyword&gt;&lt;keyword&gt;Occupational Diseases: *epidemiology&lt;/keyword&gt;&lt;keyword&gt;Occupational Exposure: *adverse effects&lt;/keyword&gt;&lt;keyword&gt;Proportional Hazards Models&lt;/keyword&gt;&lt;keyword&gt;Prostatic Neoplasms: *epidemiology&lt;/keyword&gt;&lt;keyword&gt;Registries&lt;/keyword&gt;&lt;keyword&gt;Risk Factors&lt;/keyword&gt;&lt;keyword&gt;Time Factors&lt;/keyword&gt;&lt;keyword&gt;DOC ON UMHS DRIVE&lt;/keyword&gt;&lt;/keywords&gt;&lt;dates&gt;&lt;year&gt;2005&lt;/year&gt;&lt;pub-dates&gt;&lt;date&gt;2005&lt;/date&gt;&lt;/pub-dates&gt;&lt;/dates&gt;&lt;isbn&gt;1044-3983 (Print)&lt;/isbn&gt;&lt;accession-num&gt; 16135943&lt;/accession-num&gt;&lt;label&gt;41916&lt;/label&gt;&lt;urls&gt;&lt;/urls&gt;&lt;language&gt;eng&lt;/language&gt;&lt;/record&gt;&lt;/Cite&gt;&lt;/EndNote&gt;</w:instrText>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[Agalliu, et al. 2005]</w:t>
      </w:r>
      <w:r w:rsidRPr="00DB7A43">
        <w:rPr>
          <w:rFonts w:ascii="Times New Roman" w:hAnsi="Times New Roman"/>
          <w:color w:val="000000" w:themeColor="text1"/>
        </w:rPr>
        <w:fldChar w:fldCharType="end"/>
      </w:r>
      <w:r w:rsidRPr="00DB7A43">
        <w:rPr>
          <w:rFonts w:ascii="Times New Roman" w:hAnsi="Times New Roman"/>
          <w:color w:val="000000" w:themeColor="text1"/>
        </w:rPr>
        <w:t xml:space="preserve">. Effect modification was evaluated for plant </w:t>
      </w:r>
      <w:r>
        <w:rPr>
          <w:rFonts w:ascii="Times New Roman" w:hAnsi="Times New Roman"/>
          <w:color w:val="000000" w:themeColor="text1"/>
        </w:rPr>
        <w:t xml:space="preserve">using </w:t>
      </w:r>
      <w:r w:rsidRPr="00DB7A43">
        <w:rPr>
          <w:rFonts w:ascii="Times New Roman" w:hAnsi="Times New Roman"/>
          <w:color w:val="000000" w:themeColor="text1"/>
        </w:rPr>
        <w:t>the likelihood ratio test for interaction. To evaluate the effect of changes in prostate cancer screening and guidelines in the late 1980s, we tested for interaction between cumulative exposure and calendar year. The proportional hazards assumption was evaluated by the likelihood ratio test for interaction between age and cumulative exposure.</w:t>
      </w:r>
    </w:p>
    <w:p w14:paraId="6CE87674" w14:textId="77777777" w:rsidR="004A0E77" w:rsidRDefault="004A0E77" w:rsidP="004A0E77">
      <w:pPr>
        <w:spacing w:line="480" w:lineRule="auto"/>
        <w:rPr>
          <w:rFonts w:ascii="Times New Roman" w:hAnsi="Times New Roman"/>
          <w:color w:val="000000" w:themeColor="text1"/>
        </w:rPr>
      </w:pPr>
    </w:p>
    <w:p w14:paraId="5F59F1E2" w14:textId="77777777" w:rsidR="00D11173" w:rsidRDefault="00D11173" w:rsidP="004A0E77">
      <w:pPr>
        <w:spacing w:line="480" w:lineRule="auto"/>
        <w:rPr>
          <w:rFonts w:ascii="Times New Roman" w:hAnsi="Times New Roman"/>
          <w:color w:val="000000" w:themeColor="text1"/>
        </w:rPr>
      </w:pPr>
      <w:r>
        <w:rPr>
          <w:rFonts w:ascii="Times New Roman" w:hAnsi="Times New Roman"/>
          <w:color w:val="000000" w:themeColor="text1"/>
        </w:rPr>
        <w:t>We</w:t>
      </w:r>
      <w:r w:rsidRPr="00DB7A43">
        <w:rPr>
          <w:rFonts w:ascii="Times New Roman" w:hAnsi="Times New Roman"/>
          <w:color w:val="000000" w:themeColor="text1"/>
        </w:rPr>
        <w:t xml:space="preserve"> repeated internal analyses (SRRs and Cox regression) after excluding short-term workers because a large percentage of the cohort had worked fewer than 90 days </w:t>
      </w:r>
      <w:r w:rsidRPr="00DB7A43">
        <w:rPr>
          <w:rFonts w:ascii="Times New Roman" w:hAnsi="Times New Roman"/>
          <w:color w:val="000000" w:themeColor="text1"/>
        </w:rPr>
        <w:fldChar w:fldCharType="begin"/>
      </w:r>
      <w:r>
        <w:rPr>
          <w:rFonts w:ascii="Times New Roman" w:hAnsi="Times New Roman"/>
          <w:color w:val="000000" w:themeColor="text1"/>
        </w:rPr>
        <w:instrText xml:space="preserve"> ADDIN EN.CITE &lt;EndNote&gt;&lt;Cite&gt;&lt;Author&gt;Ruder&lt;/Author&gt;&lt;Year&gt;2014&lt;/Year&gt;&lt;RecNum&gt;39261&lt;/RecNum&gt;&lt;DisplayText&gt;[Ruder, et al. 2014]&lt;/DisplayText&gt;&lt;record&gt;&lt;rec-number&gt;39261&lt;/rec-number&gt;&lt;foreign-keys&gt;&lt;key app="EN" db-id="evxzdrp9bfap0de5sp2psszd2vat05v9ea2p" timestamp="1325197531"&gt;39261&lt;/key&gt;&lt;/foreign-keys&gt;&lt;ref-type name="Journal Article"&gt;17&lt;/ref-type&gt;&lt;contributors&gt;&lt;authors&gt;&lt;author&gt;Ruder, A. M. &lt;/author&gt;&lt;author&gt;Hein, M. J. &lt;/author&gt;&lt;author&gt;Hopf, N. B.&lt;/author&gt;&lt;author&gt;Waters, M. A. &lt;/author&gt;&lt;/authors&gt;&lt;/contributors&gt;&lt;auth-address&gt;National Institute for Occupational Safety and Health, Cincinnati, Ohio 45226, USA. amr2@cdc.gov&lt;/auth-address&gt;&lt;titles&gt;&lt;title&gt;Mortality among 24,865 workers exposed to polychlorinated biphenyls (PCBs) in three electrical capacitor manufacturing plants:  A ten-year update&lt;/title&gt;&lt;secondary-title&gt;Int J Hyg Environ Health &lt;/secondary-title&gt;&lt;/titles&gt;&lt;periodical&gt;&lt;full-title&gt;Int J Hyg Environ Health&lt;/full-title&gt;&lt;/periodical&gt;&lt;pages&gt;176-187&lt;/pages&gt;&lt;volume&gt;217&lt;/volume&gt;&lt;number&gt;2-3&lt;/number&gt;&lt;keywords&gt;&lt;keyword&gt;polychlorinated biphenyls&lt;/keyword&gt;&lt;keyword&gt;PCB spreadsheet&lt;/keyword&gt;&lt;keyword&gt;IWSB&lt;/keyword&gt;&lt;keyword&gt;NIOSH&lt;/keyword&gt;&lt;keyword&gt;Cohort study&lt;/keyword&gt;&lt;keyword&gt;Occupational exposure&lt;/keyword&gt;&lt;keyword&gt;Cancer&lt;/keyword&gt;&lt;keyword&gt;Exposure assessment&lt;/keyword&gt;&lt;keyword&gt;Indiana&lt;/keyword&gt;&lt;keyword&gt;Massachusetts&lt;/keyword&gt;&lt;keyword&gt;New York&lt;/keyword&gt;&lt;keyword&gt;doc on umhs drive&lt;/keyword&gt;&lt;keyword&gt;PCB&lt;/keyword&gt;&lt;/keywords&gt;&lt;dates&gt;&lt;year&gt;2014&lt;/year&gt;&lt;/dates&gt;&lt;urls&gt;&lt;/urls&gt;&lt;research-notes&gt;NIOSHTIC 20042707 &lt;/research-notes&gt;&lt;language&gt;eng&lt;/language&gt;&lt;/record&gt;&lt;/Cite&gt;&lt;/EndNote&gt;</w:instrText>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[Ruder, et al. 2014]</w:t>
      </w:r>
      <w:r w:rsidRPr="00DB7A43">
        <w:rPr>
          <w:rFonts w:ascii="Times New Roman" w:hAnsi="Times New Roman"/>
          <w:color w:val="000000" w:themeColor="text1"/>
        </w:rPr>
        <w:fldChar w:fldCharType="end"/>
      </w:r>
      <w:r w:rsidRPr="00DB7A43">
        <w:rPr>
          <w:rFonts w:ascii="Times New Roman" w:hAnsi="Times New Roman"/>
          <w:color w:val="000000" w:themeColor="text1"/>
        </w:rPr>
        <w:t>.</w:t>
      </w:r>
    </w:p>
    <w:p w14:paraId="18A164A3" w14:textId="77777777" w:rsidR="00D11173" w:rsidRDefault="00D11173" w:rsidP="00752DF8">
      <w:pPr>
        <w:spacing w:line="480" w:lineRule="auto"/>
        <w:rPr>
          <w:rFonts w:ascii="Times New Roman" w:hAnsi="Times New Roman"/>
          <w:color w:val="000000" w:themeColor="text1"/>
        </w:rPr>
      </w:pPr>
    </w:p>
    <w:p w14:paraId="17346526" w14:textId="77777777" w:rsidR="008F1530" w:rsidRPr="008B2AB3" w:rsidRDefault="008F1530" w:rsidP="00752DF8">
      <w:pPr>
        <w:spacing w:line="480" w:lineRule="auto"/>
        <w:rPr>
          <w:rFonts w:ascii="Times New Roman" w:hAnsi="Times New Roman"/>
          <w:b/>
          <w:color w:val="000000" w:themeColor="text1"/>
        </w:rPr>
      </w:pPr>
      <w:r w:rsidRPr="008B2AB3">
        <w:rPr>
          <w:rFonts w:ascii="Times New Roman" w:hAnsi="Times New Roman"/>
          <w:b/>
          <w:color w:val="000000" w:themeColor="text1"/>
        </w:rPr>
        <w:t>SUPPLEMENTAL RESULTS</w:t>
      </w:r>
    </w:p>
    <w:p w14:paraId="178192DA" w14:textId="637DEBE8" w:rsidR="003933DA" w:rsidRPr="008B2AB3" w:rsidRDefault="00153956" w:rsidP="003933DA">
      <w:pPr>
        <w:spacing w:line="480" w:lineRule="auto"/>
        <w:rPr>
          <w:rFonts w:ascii="Times New Roman" w:hAnsi="Times New Roman"/>
          <w:b/>
        </w:rPr>
      </w:pPr>
      <w:r w:rsidRPr="008B2AB3">
        <w:rPr>
          <w:rFonts w:ascii="Times New Roman" w:hAnsi="Times New Roman"/>
          <w:b/>
        </w:rPr>
        <w:t>C</w:t>
      </w:r>
      <w:r w:rsidR="003933DA" w:rsidRPr="008B2AB3">
        <w:rPr>
          <w:rFonts w:ascii="Times New Roman" w:hAnsi="Times New Roman"/>
          <w:b/>
        </w:rPr>
        <w:t>ancer diagnoses and ascertainment</w:t>
      </w:r>
    </w:p>
    <w:p w14:paraId="60EB6214" w14:textId="2D15431E" w:rsidR="003933DA" w:rsidRDefault="003933DA" w:rsidP="003933DA">
      <w:pPr>
        <w:spacing w:line="480" w:lineRule="auto"/>
        <w:rPr>
          <w:rFonts w:ascii="Times New Roman" w:hAnsi="Times New Roman"/>
        </w:rPr>
      </w:pPr>
      <w:r w:rsidRPr="00F358BC">
        <w:rPr>
          <w:rFonts w:ascii="Times New Roman" w:eastAsia="Times New Roman" w:hAnsi="Times New Roman"/>
        </w:rPr>
        <w:t>Diagnosis dates of included cancers</w:t>
      </w:r>
      <w:r>
        <w:rPr>
          <w:rFonts w:ascii="Times New Roman" w:eastAsia="Times New Roman" w:hAnsi="Times New Roman"/>
        </w:rPr>
        <w:t xml:space="preserve"> </w:t>
      </w:r>
      <w:r w:rsidRPr="00C525BC">
        <w:rPr>
          <w:rFonts w:ascii="Times New Roman" w:hAnsi="Times New Roman"/>
        </w:rPr>
        <w:t xml:space="preserve">were based on year only for </w:t>
      </w:r>
      <w:r>
        <w:rPr>
          <w:rFonts w:ascii="Times New Roman" w:hAnsi="Times New Roman"/>
        </w:rPr>
        <w:t>28</w:t>
      </w:r>
      <w:r w:rsidRPr="00C525BC">
        <w:rPr>
          <w:rFonts w:ascii="Times New Roman" w:hAnsi="Times New Roman"/>
        </w:rPr>
        <w:t xml:space="preserve"> matches, month and year only for </w:t>
      </w:r>
      <w:r>
        <w:rPr>
          <w:rFonts w:ascii="Times New Roman" w:hAnsi="Times New Roman"/>
        </w:rPr>
        <w:t>2106</w:t>
      </w:r>
      <w:r w:rsidRPr="00C525BC">
        <w:rPr>
          <w:rFonts w:ascii="Times New Roman" w:hAnsi="Times New Roman"/>
        </w:rPr>
        <w:t xml:space="preserve"> matches, and complete for </w:t>
      </w:r>
      <w:r>
        <w:rPr>
          <w:rFonts w:ascii="Times New Roman" w:hAnsi="Times New Roman"/>
        </w:rPr>
        <w:t>1946</w:t>
      </w:r>
      <w:r w:rsidRPr="00C525BC">
        <w:rPr>
          <w:rFonts w:ascii="Times New Roman" w:hAnsi="Times New Roman"/>
        </w:rPr>
        <w:t xml:space="preserve"> matches. The cancer registries were unable to provide a diagnosis year for </w:t>
      </w:r>
      <w:r>
        <w:rPr>
          <w:rFonts w:ascii="Times New Roman" w:hAnsi="Times New Roman"/>
        </w:rPr>
        <w:t>four</w:t>
      </w:r>
      <w:r w:rsidRPr="00C525BC">
        <w:rPr>
          <w:rFonts w:ascii="Times New Roman" w:hAnsi="Times New Roman"/>
        </w:rPr>
        <w:t xml:space="preserve"> matches; for these, a diagnosis date was imputed</w:t>
      </w:r>
      <w:r>
        <w:rPr>
          <w:rFonts w:ascii="Times New Roman" w:hAnsi="Times New Roman"/>
        </w:rPr>
        <w:t xml:space="preserve"> as the date of death minus the approximate duration with the disease, when available (n=2), or </w:t>
      </w:r>
      <w:r w:rsidRPr="00C525BC">
        <w:rPr>
          <w:rFonts w:ascii="Times New Roman" w:hAnsi="Times New Roman"/>
        </w:rPr>
        <w:t>as the midpoint of the years for which the registry was in operation</w:t>
      </w:r>
      <w:r>
        <w:rPr>
          <w:rFonts w:ascii="Times New Roman" w:hAnsi="Times New Roman"/>
        </w:rPr>
        <w:t xml:space="preserve"> (n=2)</w:t>
      </w:r>
      <w:r w:rsidRPr="00C525BC">
        <w:rPr>
          <w:rFonts w:ascii="Times New Roman" w:hAnsi="Times New Roman"/>
        </w:rPr>
        <w:t xml:space="preserve">. </w:t>
      </w:r>
    </w:p>
    <w:p w14:paraId="23BC9CDC" w14:textId="77777777" w:rsidR="004A0E77" w:rsidRDefault="004A0E77" w:rsidP="004A0E77">
      <w:pPr>
        <w:spacing w:line="480" w:lineRule="auto"/>
        <w:rPr>
          <w:rFonts w:ascii="Times New Roman" w:hAnsi="Times New Roman"/>
          <w:color w:val="000000" w:themeColor="text1"/>
        </w:rPr>
      </w:pPr>
    </w:p>
    <w:p w14:paraId="411E828A" w14:textId="77777777" w:rsidR="003933DA" w:rsidRPr="00DB7A43" w:rsidRDefault="003933DA" w:rsidP="004A0E77">
      <w:pPr>
        <w:spacing w:line="480" w:lineRule="auto"/>
        <w:rPr>
          <w:rFonts w:ascii="Times New Roman" w:hAnsi="Times New Roman"/>
          <w:color w:val="000000" w:themeColor="text1"/>
        </w:rPr>
      </w:pPr>
      <w:r w:rsidRPr="00DB7A43">
        <w:rPr>
          <w:rFonts w:ascii="Times New Roman" w:hAnsi="Times New Roman"/>
          <w:color w:val="000000" w:themeColor="text1"/>
        </w:rPr>
        <w:t>Matching the cohort to the cancer registries led to our extending date last observed for 23 workers previously thought to be lost to follow-up and two workers previously thought to be deceased. After excluding ineligible workers who had died (n=1306) or were otherwise lost to follow-up (n=656) before their respective cancer registry was in operation, 22,903 workers were eligible for the primary cancer incidence analysis (</w:t>
      </w:r>
      <w:r>
        <w:rPr>
          <w:rFonts w:ascii="Times New Roman" w:hAnsi="Times New Roman"/>
          <w:color w:val="000000" w:themeColor="text1"/>
        </w:rPr>
        <w:t xml:space="preserve">10,993 </w:t>
      </w:r>
      <w:r w:rsidRPr="00DB7A43">
        <w:rPr>
          <w:rFonts w:ascii="Times New Roman" w:hAnsi="Times New Roman"/>
          <w:color w:val="000000" w:themeColor="text1"/>
        </w:rPr>
        <w:t xml:space="preserve">male workers </w:t>
      </w:r>
      <w:r>
        <w:rPr>
          <w:rFonts w:ascii="Times New Roman" w:hAnsi="Times New Roman"/>
          <w:color w:val="000000" w:themeColor="text1"/>
        </w:rPr>
        <w:t>were eligible f</w:t>
      </w:r>
      <w:r w:rsidRPr="00DB7A43">
        <w:rPr>
          <w:rFonts w:ascii="Times New Roman" w:hAnsi="Times New Roman"/>
          <w:color w:val="000000" w:themeColor="text1"/>
        </w:rPr>
        <w:t>or the prostate cancer analysis). Through 2007, 7006 (31%) of the eligible workers died and 6055 (86%) of these deaths occurred in one of the nine registry states (Indiana, 559; Massachusetts, 2735; New York, 1867; California, 166; Connecticut, 77; Florida, 463; North Carolina, 57; Rhode Island, 77; and Texas, 54); the remaining deaths occurred in other states, U.S territories, or the District of Columbia (n=872), or at unknown locations (n=79)</w:t>
      </w:r>
      <w:r>
        <w:rPr>
          <w:rFonts w:ascii="Times New Roman" w:hAnsi="Times New Roman"/>
          <w:color w:val="000000" w:themeColor="text1"/>
        </w:rPr>
        <w:t xml:space="preserve"> (Supplemental Table S1)</w:t>
      </w:r>
      <w:r w:rsidRPr="00DB7A43">
        <w:rPr>
          <w:rFonts w:ascii="Times New Roman" w:hAnsi="Times New Roman"/>
          <w:color w:val="000000" w:themeColor="text1"/>
        </w:rPr>
        <w:t>.</w:t>
      </w:r>
    </w:p>
    <w:p w14:paraId="1686118D" w14:textId="77777777" w:rsidR="003933DA" w:rsidRPr="00C174BF" w:rsidRDefault="003933DA" w:rsidP="003933DA">
      <w:pPr>
        <w:spacing w:line="480" w:lineRule="auto"/>
        <w:rPr>
          <w:rFonts w:ascii="Times New Roman" w:hAnsi="Times New Roman"/>
          <w:b/>
          <w:color w:val="000000" w:themeColor="text1"/>
        </w:rPr>
      </w:pPr>
    </w:p>
    <w:p w14:paraId="329C1ACC" w14:textId="77777777" w:rsidR="003933DA" w:rsidRPr="008B2AB3" w:rsidRDefault="003933DA" w:rsidP="003933DA">
      <w:pPr>
        <w:spacing w:line="480" w:lineRule="auto"/>
        <w:rPr>
          <w:rFonts w:ascii="Times New Roman" w:hAnsi="Times New Roman"/>
          <w:b/>
          <w:color w:val="000000" w:themeColor="text1"/>
        </w:rPr>
      </w:pPr>
      <w:r w:rsidRPr="008B2AB3">
        <w:rPr>
          <w:rFonts w:ascii="Times New Roman" w:hAnsi="Times New Roman"/>
          <w:b/>
          <w:color w:val="000000" w:themeColor="text1"/>
        </w:rPr>
        <w:t>Results of internal analyses for prostate cancer</w:t>
      </w:r>
    </w:p>
    <w:p w14:paraId="29BCC12D" w14:textId="77777777" w:rsidR="00D11173" w:rsidRDefault="00D11173" w:rsidP="004A0E77">
      <w:pPr>
        <w:spacing w:line="480" w:lineRule="auto"/>
        <w:rPr>
          <w:rFonts w:ascii="Times New Roman" w:hAnsi="Times New Roman"/>
          <w:color w:val="000000" w:themeColor="text1"/>
        </w:rPr>
      </w:pPr>
      <w:r w:rsidRPr="00DB7A43">
        <w:rPr>
          <w:rFonts w:ascii="Times New Roman" w:hAnsi="Times New Roman"/>
          <w:color w:val="000000" w:themeColor="text1"/>
        </w:rPr>
        <w:t xml:space="preserve">In </w:t>
      </w:r>
      <w:r>
        <w:rPr>
          <w:rFonts w:ascii="Times New Roman" w:hAnsi="Times New Roman"/>
          <w:color w:val="000000" w:themeColor="text1"/>
        </w:rPr>
        <w:t xml:space="preserve">separate </w:t>
      </w:r>
      <w:r w:rsidRPr="00DB7A43">
        <w:rPr>
          <w:rFonts w:ascii="Times New Roman" w:hAnsi="Times New Roman"/>
          <w:color w:val="000000" w:themeColor="text1"/>
        </w:rPr>
        <w:t xml:space="preserve">Cox regression models, both birth year and calendar year were confounders. Results </w:t>
      </w:r>
      <w:r>
        <w:rPr>
          <w:rFonts w:ascii="Times New Roman" w:hAnsi="Times New Roman"/>
          <w:color w:val="000000" w:themeColor="text1"/>
        </w:rPr>
        <w:t>were</w:t>
      </w:r>
      <w:r w:rsidRPr="00DB7A43">
        <w:rPr>
          <w:rFonts w:ascii="Times New Roman" w:hAnsi="Times New Roman"/>
          <w:color w:val="000000" w:themeColor="text1"/>
        </w:rPr>
        <w:t xml:space="preserve"> adjusted for calendar year since prostate cancer </w:t>
      </w:r>
      <w:r>
        <w:rPr>
          <w:rFonts w:ascii="Times New Roman" w:hAnsi="Times New Roman"/>
          <w:color w:val="000000" w:themeColor="text1"/>
        </w:rPr>
        <w:t>incidence</w:t>
      </w:r>
      <w:r w:rsidRPr="00DB7A43">
        <w:rPr>
          <w:rFonts w:ascii="Times New Roman" w:hAnsi="Times New Roman"/>
          <w:color w:val="000000" w:themeColor="text1"/>
        </w:rPr>
        <w:t xml:space="preserve"> increased dramatically starting in </w:t>
      </w:r>
      <w:r w:rsidRPr="00DB7A43">
        <w:rPr>
          <w:rFonts w:ascii="Times New Roman" w:hAnsi="Times New Roman"/>
          <w:color w:val="000000" w:themeColor="text1"/>
        </w:rPr>
        <w:lastRenderedPageBreak/>
        <w:t xml:space="preserve">the late 1980s when prostate-specific antigen screening began </w:t>
      </w:r>
      <w:r w:rsidRPr="00DB7A43">
        <w:rPr>
          <w:rFonts w:ascii="Times New Roman" w:hAnsi="Times New Roman"/>
          <w:color w:val="000000" w:themeColor="text1"/>
        </w:rPr>
        <w:fldChar w:fldCharType="begin">
          <w:fldData xml:space="preserve">PEVuZE5vdGU+PENpdGU+PEF1dGhvcj5FdHppb25pPC9BdXRob3I+PFllYXI+MTk5OTwvWWVhcj48
UmVjTnVtPjMwNDQwPC9SZWNOdW0+PERpc3BsYXlUZXh0PltFdHppb25pLCBldCBhbC4gMTk5OV08
L0Rpc3BsYXlUZXh0PjxyZWNvcmQ+PHJlYy1udW1iZXI+MzA0NDA8L3JlYy1udW1iZXI+PGZvcmVp
Z24ta2V5cz48a2V5IGFwcD0iRU4iIGRiLWlkPSJldnh6ZHJwOWJmYXAwZGU1c3AycHNzemQydmF0
MDV2OWVhMnAiIHRpbWVzdGFtcD0iMCI+MzA0NDA8L2tleT48L2ZvcmVpZ24ta2V5cz48cmVmLXR5
cGUgbmFtZT0iSm91cm5hbCBBcnRpY2xlIj4xNzwvcmVmLXR5cGU+PGNvbnRyaWJ1dG9ycz48YXV0
aG9ycz48YXV0aG9yPkV0emlvbmksIFIuPC9hdXRob3I+PGF1dGhvcj5MZWdsZXIsIEouIE0uPC9h
dXRob3I+PGF1dGhvcj5GZXVlciwgRS4gSi48L2F1dGhvcj48YXV0aG9yPk1lcnJpbGwsIFIuIE0u
PC9hdXRob3I+PGF1dGhvcj5Dcm9uaW4sIEsuIEEuPC9hdXRob3I+PGF1dGhvcj5IYW5rZXksIEIu
IEYuPC9hdXRob3I+PC9hdXRob3JzPjwvY29udHJpYnV0b3JzPjxhdXRoLWFkZHJlc3M+RnJlZCBI
dXRjaGluc29uIENhbmNlciBSZXNlYXJjaCBDZW50ZXIsIFNlYXR0bGUsIFdBIDk4MTA5LTEwMjQs
IFVTQS4gcmV0emlvbmlAZmhjcmMub3JnPC9hdXRoLWFkZHJlc3M+PHRpdGxlcz48dGl0bGU+Q2Fu
Y2VyIHN1cnZlaWxsYW5jZSBzZXJpZXM6IGludGVycHJldGluZyB0cmVuZHMgaW4gcHJvc3RhdGUg
Y2FuY2VyLS1wYXJ0IElJSTogUXVhbnRpZnlpbmcgdGhlIGxpbmsgYmV0d2VlbiBwb3B1bGF0aW9u
IHByb3N0YXRlLXNwZWNpZmljIGFudGlnZW4gdGVzdGluZyBhbmQgcmVjZW50IGRlY2xpbmVzIGlu
IHByb3N0YXRlIGNhbmNlciBtb3J0YWxpdHk8L3RpdGxlPjxzZWNvbmRhcnktdGl0bGU+SiBOYXRs
IENhbmNlciBJbnN0PC9zZWNvbmRhcnktdGl0bGU+PC90aXRsZXM+PHBlcmlvZGljYWw+PGZ1bGwt
dGl0bGU+SiBOYXRsIENhbmNlciBJbnN0PC9mdWxsLXRpdGxlPjwvcGVyaW9kaWNhbD48cGFnZXM+
MTAzMy05PC9wYWdlcz48dm9sdW1lPjkxPC92b2x1bWU+PG51bWJlcj4xMjwvbnVtYmVyPjxlZGl0
aW9uPjE5OTkvMDYvMjQ8L2VkaXRpb24+PGtleXdvcmRzPjxrZXl3b3JkPkFmcmljYW4gQW1lcmlj
YW5zL3N0YXRpc3RpY3MgJmFtcDsgbnVtZXJpY2FsIGRhdGE8L2tleXdvcmQ+PGtleXdvcmQ+QWdl
ZDwva2V5d29yZD48a2V5d29yZD5BZ2VkLCA4MCBhbmQgb3Zlcjwva2V5d29yZD48a2V5d29yZD5D
b21wdXRlciBTaW11bGF0aW9uPC9rZXl3b3JkPjxrZXl3b3JkPkV1cm9wZWFuIENvbnRpbmVudGFs
IEFuY2VzdHJ5IEdyb3VwL3N0YXRpc3RpY3MgJmFtcDsgbnVtZXJpY2FsIGRhdGE8L2tleXdvcmQ+
PGtleXdvcmQ+SHVtYW5zPC9rZXl3b3JkPjxrZXl3b3JkPk1hbGU8L2tleXdvcmQ+PGtleXdvcmQ+
TWFzcyBTY3JlZW5pbmcvbWV0aG9kczwva2V5d29yZD48a2V5d29yZD5Nb2RlbHMsIFN0YXRpc3Rp
Y2FsPC9rZXl3b3JkPjxrZXl3b3JkPk1vcnRhbGl0eS90cmVuZHM8L2tleXdvcmQ+PGtleXdvcmQ+
UG9wdWxhdGlvbiBTdXJ2ZWlsbGFuY2U8L2tleXdvcmQ+PGtleXdvcmQ+UHJvc3RhdGUtU3BlY2lm
aWMgQW50aWdlbi8gYmxvb2Q8L2tleXdvcmQ+PGtleXdvcmQ+UHJvc3RhdGljIE5lb3BsYXNtcy8g
ZGlhZ25vc2lzL2V0aG5vbG9neS9pbW11bm9sb2d5LyBtb3J0YWxpdHk8L2tleXdvcmQ+PGtleXdv
cmQ+U3Vydml2YWwgUmF0ZTwva2V5d29yZD48a2V5d29yZD5Vbml0ZWQgU3RhdGVzL2VwaWRlbWlv
bG9neTwva2V5d29yZD48a2V5d29yZD5JbiBVTUhTIGZpbGVzPC9rZXl3b3JkPjxrZXl3b3JkPkRP
QyBPTiBVTUhTIERSSVZFPC9rZXl3b3JkPjwva2V5d29yZHM+PGRhdGVzPjx5ZWFyPjE5OTk8L3ll
YXI+PHB1Yi1kYXRlcz48ZGF0ZT5KdW4gMTY8L2RhdGU+PC9wdWItZGF0ZXM+PC9kYXRlcz48aXNi
bj4wMDI3LTg4NzQgKFByaW50KTwvaXNibj48YWNjZXNzaW9uLW51bT4xMDM3OTk2NjwvYWNjZXNz
aW9uLW51bT48dXJscz48L3VybHM+PGxhbmd1YWdlPmVuZzwvbGFuZ3VhZ2U+PC9yZWNvcmQ+PC9D
aXRlPjwvRW5kTm90ZT5=
</w:fldData>
        </w:fldChar>
      </w:r>
      <w:r>
        <w:rPr>
          <w:rFonts w:ascii="Times New Roman" w:hAnsi="Times New Roman"/>
          <w:color w:val="000000" w:themeColor="text1"/>
        </w:rPr>
        <w:instrText xml:space="preserve"> ADDIN EN.CITE </w:instrText>
      </w:r>
      <w:r>
        <w:rPr>
          <w:rFonts w:ascii="Times New Roman" w:hAnsi="Times New Roman"/>
          <w:color w:val="000000" w:themeColor="text1"/>
        </w:rPr>
        <w:fldChar w:fldCharType="begin">
          <w:fldData xml:space="preserve">PEVuZE5vdGU+PENpdGU+PEF1dGhvcj5FdHppb25pPC9BdXRob3I+PFllYXI+MTk5OTwvWWVhcj48
UmVjTnVtPjMwNDQwPC9SZWNOdW0+PERpc3BsYXlUZXh0PltFdHppb25pLCBldCBhbC4gMTk5OV08
L0Rpc3BsYXlUZXh0PjxyZWNvcmQ+PHJlYy1udW1iZXI+MzA0NDA8L3JlYy1udW1iZXI+PGZvcmVp
Z24ta2V5cz48a2V5IGFwcD0iRU4iIGRiLWlkPSJldnh6ZHJwOWJmYXAwZGU1c3AycHNzemQydmF0
MDV2OWVhMnAiIHRpbWVzdGFtcD0iMCI+MzA0NDA8L2tleT48L2ZvcmVpZ24ta2V5cz48cmVmLXR5
cGUgbmFtZT0iSm91cm5hbCBBcnRpY2xlIj4xNzwvcmVmLXR5cGU+PGNvbnRyaWJ1dG9ycz48YXV0
aG9ycz48YXV0aG9yPkV0emlvbmksIFIuPC9hdXRob3I+PGF1dGhvcj5MZWdsZXIsIEouIE0uPC9h
dXRob3I+PGF1dGhvcj5GZXVlciwgRS4gSi48L2F1dGhvcj48YXV0aG9yPk1lcnJpbGwsIFIuIE0u
PC9hdXRob3I+PGF1dGhvcj5Dcm9uaW4sIEsuIEEuPC9hdXRob3I+PGF1dGhvcj5IYW5rZXksIEIu
IEYuPC9hdXRob3I+PC9hdXRob3JzPjwvY29udHJpYnV0b3JzPjxhdXRoLWFkZHJlc3M+RnJlZCBI
dXRjaGluc29uIENhbmNlciBSZXNlYXJjaCBDZW50ZXIsIFNlYXR0bGUsIFdBIDk4MTA5LTEwMjQs
IFVTQS4gcmV0emlvbmlAZmhjcmMub3JnPC9hdXRoLWFkZHJlc3M+PHRpdGxlcz48dGl0bGU+Q2Fu
Y2VyIHN1cnZlaWxsYW5jZSBzZXJpZXM6IGludGVycHJldGluZyB0cmVuZHMgaW4gcHJvc3RhdGUg
Y2FuY2VyLS1wYXJ0IElJSTogUXVhbnRpZnlpbmcgdGhlIGxpbmsgYmV0d2VlbiBwb3B1bGF0aW9u
IHByb3N0YXRlLXNwZWNpZmljIGFudGlnZW4gdGVzdGluZyBhbmQgcmVjZW50IGRlY2xpbmVzIGlu
IHByb3N0YXRlIGNhbmNlciBtb3J0YWxpdHk8L3RpdGxlPjxzZWNvbmRhcnktdGl0bGU+SiBOYXRs
IENhbmNlciBJbnN0PC9zZWNvbmRhcnktdGl0bGU+PC90aXRsZXM+PHBlcmlvZGljYWw+PGZ1bGwt
dGl0bGU+SiBOYXRsIENhbmNlciBJbnN0PC9mdWxsLXRpdGxlPjwvcGVyaW9kaWNhbD48cGFnZXM+
MTAzMy05PC9wYWdlcz48dm9sdW1lPjkxPC92b2x1bWU+PG51bWJlcj4xMjwvbnVtYmVyPjxlZGl0
aW9uPjE5OTkvMDYvMjQ8L2VkaXRpb24+PGtleXdvcmRzPjxrZXl3b3JkPkFmcmljYW4gQW1lcmlj
YW5zL3N0YXRpc3RpY3MgJmFtcDsgbnVtZXJpY2FsIGRhdGE8L2tleXdvcmQ+PGtleXdvcmQ+QWdl
ZDwva2V5d29yZD48a2V5d29yZD5BZ2VkLCA4MCBhbmQgb3Zlcjwva2V5d29yZD48a2V5d29yZD5D
b21wdXRlciBTaW11bGF0aW9uPC9rZXl3b3JkPjxrZXl3b3JkPkV1cm9wZWFuIENvbnRpbmVudGFs
IEFuY2VzdHJ5IEdyb3VwL3N0YXRpc3RpY3MgJmFtcDsgbnVtZXJpY2FsIGRhdGE8L2tleXdvcmQ+
PGtleXdvcmQ+SHVtYW5zPC9rZXl3b3JkPjxrZXl3b3JkPk1hbGU8L2tleXdvcmQ+PGtleXdvcmQ+
TWFzcyBTY3JlZW5pbmcvbWV0aG9kczwva2V5d29yZD48a2V5d29yZD5Nb2RlbHMsIFN0YXRpc3Rp
Y2FsPC9rZXl3b3JkPjxrZXl3b3JkPk1vcnRhbGl0eS90cmVuZHM8L2tleXdvcmQ+PGtleXdvcmQ+
UG9wdWxhdGlvbiBTdXJ2ZWlsbGFuY2U8L2tleXdvcmQ+PGtleXdvcmQ+UHJvc3RhdGUtU3BlY2lm
aWMgQW50aWdlbi8gYmxvb2Q8L2tleXdvcmQ+PGtleXdvcmQ+UHJvc3RhdGljIE5lb3BsYXNtcy8g
ZGlhZ25vc2lzL2V0aG5vbG9neS9pbW11bm9sb2d5LyBtb3J0YWxpdHk8L2tleXdvcmQ+PGtleXdv
cmQ+U3Vydml2YWwgUmF0ZTwva2V5d29yZD48a2V5d29yZD5Vbml0ZWQgU3RhdGVzL2VwaWRlbWlv
bG9neTwva2V5d29yZD48a2V5d29yZD5JbiBVTUhTIGZpbGVzPC9rZXl3b3JkPjxrZXl3b3JkPkRP
QyBPTiBVTUhTIERSSVZFPC9rZXl3b3JkPjwva2V5d29yZHM+PGRhdGVzPjx5ZWFyPjE5OTk8L3ll
YXI+PHB1Yi1kYXRlcz48ZGF0ZT5KdW4gMTY8L2RhdGU+PC9wdWItZGF0ZXM+PC9kYXRlcz48aXNi
bj4wMDI3LTg4NzQgKFByaW50KTwvaXNibj48YWNjZXNzaW9uLW51bT4xMDM3OTk2NjwvYWNjZXNz
aW9uLW51bT48dXJscz48L3VybHM+PGxhbmd1YWdlPmVuZzwvbGFuZ3VhZ2U+PC9yZWNvcmQ+PC9D
aXRlPjwvRW5kTm90ZT5=
</w:fldData>
        </w:fldChar>
      </w:r>
      <w:r>
        <w:rPr>
          <w:rFonts w:ascii="Times New Roman" w:hAnsi="Times New Roman"/>
          <w:color w:val="000000" w:themeColor="text1"/>
        </w:rPr>
        <w:instrText xml:space="preserve"> ADDIN EN.CITE.DATA </w:instrText>
      </w:r>
      <w:r>
        <w:rPr>
          <w:rFonts w:ascii="Times New Roman" w:hAnsi="Times New Roman"/>
          <w:color w:val="000000" w:themeColor="text1"/>
        </w:rPr>
      </w:r>
      <w:r>
        <w:rPr>
          <w:rFonts w:ascii="Times New Roman" w:hAnsi="Times New Roman"/>
          <w:color w:val="000000" w:themeColor="text1"/>
        </w:rPr>
        <w:fldChar w:fldCharType="end"/>
      </w:r>
      <w:r w:rsidRPr="00DB7A43">
        <w:rPr>
          <w:rFonts w:ascii="Times New Roman" w:hAnsi="Times New Roman"/>
          <w:color w:val="000000" w:themeColor="text1"/>
        </w:rPr>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[Etzioni, et al. 1999]</w:t>
      </w:r>
      <w:r w:rsidRPr="00DB7A43">
        <w:rPr>
          <w:rFonts w:ascii="Times New Roman" w:hAnsi="Times New Roman"/>
          <w:color w:val="000000" w:themeColor="text1"/>
        </w:rPr>
        <w:fldChar w:fldCharType="end"/>
      </w:r>
      <w:r w:rsidRPr="00DB7A43">
        <w:rPr>
          <w:rFonts w:ascii="Times New Roman" w:hAnsi="Times New Roman"/>
          <w:color w:val="000000" w:themeColor="text1"/>
        </w:rPr>
        <w:t>, and continuing in 1992 when screening</w:t>
      </w:r>
      <w:r>
        <w:rPr>
          <w:rFonts w:ascii="Times New Roman" w:hAnsi="Times New Roman"/>
          <w:color w:val="000000" w:themeColor="text1"/>
        </w:rPr>
        <w:t xml:space="preserve"> was recommended</w:t>
      </w:r>
      <w:r w:rsidRPr="00DB7A43">
        <w:rPr>
          <w:rFonts w:ascii="Times New Roman" w:hAnsi="Times New Roman"/>
          <w:color w:val="000000" w:themeColor="text1"/>
        </w:rPr>
        <w:t xml:space="preserve"> for asymptomatic men over 50 </w:t>
      </w:r>
      <w:r w:rsidRPr="00DB7A43">
        <w:rPr>
          <w:rFonts w:ascii="Times New Roman" w:hAnsi="Times New Roman"/>
          <w:color w:val="000000" w:themeColor="text1"/>
        </w:rPr>
        <w:fldChar w:fldCharType="begin"/>
      </w:r>
      <w:r>
        <w:rPr>
          <w:rFonts w:ascii="Times New Roman" w:hAnsi="Times New Roman"/>
          <w:color w:val="000000" w:themeColor="text1"/>
        </w:rPr>
        <w:instrText xml:space="preserve"> ADDIN EN.CITE &lt;EndNote&gt;&lt;Cite&gt;&lt;Author&gt;American Cancer Society&lt;/Author&gt;&lt;Year&gt;2012&lt;/Year&gt;&lt;RecNum&gt;40665&lt;/RecNum&gt;&lt;DisplayText&gt;[American Cancer Society 2012]&lt;/DisplayText&gt;&lt;record&gt;&lt;rec-number&gt;40665&lt;/rec-number&gt;&lt;foreign-keys&gt;&lt;key app="EN" db-id="evxzdrp9bfap0de5sp2psszd2vat05v9ea2p" timestamp="1353519503"&gt;40665&lt;/key&gt;&lt;/foreign-keys&gt;&lt;ref-type name="Web Page"&gt;12&lt;/ref-type&gt;&lt;contributors&gt;&lt;authors&gt;&lt;author&gt;American Cancer Society,,&lt;/author&gt;&lt;/authors&gt;&lt;/contributors&gt;&lt;titles&gt;&lt;title&gt;Chronological history of ACS recommendations for the early detection of cancer in asymptomatic people&lt;/title&gt;&lt;/titles&gt;&lt;keywords&gt;&lt;keyword&gt;breast cancer&lt;/keyword&gt;&lt;keyword&gt;cervical cancer&lt;/keyword&gt;&lt;keyword&gt;endometrial cancer&lt;/keyword&gt;&lt;keyword&gt;prostate cancer&lt;/keyword&gt;&lt;keyword&gt;colon cancer&lt;/keyword&gt;&lt;keyword&gt;rectal cancer&lt;/keyword&gt;&lt;keyword&gt;lung cancer&lt;/keyword&gt;&lt;keyword&gt;DOC ON UMHS DRIVE&lt;/keyword&gt;&lt;/keywords&gt;&lt;dates&gt;&lt;year&gt;2012&lt;/year&gt;&lt;/dates&gt;&lt;urls&gt;&lt;related-urls&gt;&lt;url&gt;http://www.cancer.org/healthy/findcancerearly/cancerscreeningguidelines/chronological-history-of-acs-recommendations&lt;/url&gt;&lt;/related-urls&gt;&lt;/urls&gt;&lt;/record&gt;&lt;/Cite&gt;&lt;/EndNote&gt;</w:instrText>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[American Cancer Society 2012]</w:t>
      </w:r>
      <w:r w:rsidRPr="00DB7A43">
        <w:rPr>
          <w:rFonts w:ascii="Times New Roman" w:hAnsi="Times New Roman"/>
          <w:color w:val="000000" w:themeColor="text1"/>
        </w:rPr>
        <w:fldChar w:fldCharType="end"/>
      </w:r>
      <w:r w:rsidRPr="00DB7A43">
        <w:rPr>
          <w:rFonts w:ascii="Times New Roman" w:hAnsi="Times New Roman"/>
          <w:color w:val="000000" w:themeColor="text1"/>
        </w:rPr>
        <w:t xml:space="preserve">. Results (not shown) were similar when exposure lag periods of 10, 20, and 30 years were applied; results are presented based on a 20-year lag period which was best-fitting in an earlier analysis of prostate cancer mortality </w:t>
      </w:r>
      <w:r w:rsidRPr="00DB7A43">
        <w:rPr>
          <w:rFonts w:ascii="Times New Roman" w:hAnsi="Times New Roman"/>
          <w:color w:val="000000" w:themeColor="text1"/>
        </w:rPr>
        <w:fldChar w:fldCharType="begin"/>
      </w:r>
      <w:r>
        <w:rPr>
          <w:rFonts w:ascii="Times New Roman" w:hAnsi="Times New Roman"/>
          <w:color w:val="000000" w:themeColor="text1"/>
        </w:rPr>
        <w:instrText xml:space="preserve"> ADDIN EN.CITE &lt;EndNote&gt;&lt;Cite&gt;&lt;Author&gt;Ruder&lt;/Author&gt;&lt;Year&gt;2014&lt;/Year&gt;&lt;RecNum&gt;39261&lt;/RecNum&gt;&lt;DisplayText&gt;[Ruder, et al. 2014]&lt;/DisplayText&gt;&lt;record&gt;&lt;rec-number&gt;39261&lt;/rec-number&gt;&lt;foreign-keys&gt;&lt;key app="EN" db-id="evxzdrp9bfap0de5sp2psszd2vat05v9ea2p" timestamp="1325197531"&gt;39261&lt;/key&gt;&lt;/foreign-keys&gt;&lt;ref-type name="Journal Article"&gt;17&lt;/ref-type&gt;&lt;contributors&gt;&lt;authors&gt;&lt;author&gt;Ruder, A. M. &lt;/author&gt;&lt;author&gt;Hein, M. J. &lt;/author&gt;&lt;author&gt;Hopf, N. B.&lt;/author&gt;&lt;author&gt;Waters, M. A. &lt;/author&gt;&lt;/authors&gt;&lt;/contributors&gt;&lt;auth-address&gt;National Institute for Occupational Safety and Health, Cincinnati, Ohio 45226, USA. amr2@cdc.gov&lt;/auth-address&gt;&lt;titles&gt;&lt;title&gt;Mortality among 24,865 workers exposed to polychlorinated biphenyls (PCBs) in three electrical capacitor manufacturing plants:  A ten-year update&lt;/title&gt;&lt;secondary-title&gt;Int J Hyg Environ Health &lt;/secondary-title&gt;&lt;/titles&gt;&lt;periodical&gt;&lt;full-title&gt;Int J Hyg Environ Health&lt;/full-title&gt;&lt;/periodical&gt;&lt;pages&gt;176-187&lt;/pages&gt;&lt;volume&gt;217&lt;/volume&gt;&lt;number&gt;2-3&lt;/number&gt;&lt;keywords&gt;&lt;keyword&gt;polychlorinated biphenyls&lt;/keyword&gt;&lt;keyword&gt;PCB spreadsheet&lt;/keyword&gt;&lt;keyword&gt;IWSB&lt;/keyword&gt;&lt;keyword&gt;NIOSH&lt;/keyword&gt;&lt;keyword&gt;Cohort study&lt;/keyword&gt;&lt;keyword&gt;Occupational exposure&lt;/keyword&gt;&lt;keyword&gt;Cancer&lt;/keyword&gt;&lt;keyword&gt;Exposure assessment&lt;/keyword&gt;&lt;keyword&gt;Indiana&lt;/keyword&gt;&lt;keyword&gt;Massachusetts&lt;/keyword&gt;&lt;keyword&gt;New York&lt;/keyword&gt;&lt;keyword&gt;doc on umhs drive&lt;/keyword&gt;&lt;keyword&gt;PCB&lt;/keyword&gt;&lt;/keywords&gt;&lt;dates&gt;&lt;year&gt;2014&lt;/year&gt;&lt;/dates&gt;&lt;urls&gt;&lt;/urls&gt;&lt;research-notes&gt;NIOSHTIC 20042707 &lt;/research-notes&gt;&lt;language&gt;eng&lt;/language&gt;&lt;/record&gt;&lt;/Cite&gt;&lt;/EndNote&gt;</w:instrText>
      </w:r>
      <w:r w:rsidRPr="00DB7A43">
        <w:rPr>
          <w:rFonts w:ascii="Times New Roman" w:hAnsi="Times New Roman"/>
          <w:color w:val="000000" w:themeColor="text1"/>
        </w:rPr>
        <w:fldChar w:fldCharType="separate"/>
      </w:r>
      <w:r w:rsidRPr="00DB7A43">
        <w:rPr>
          <w:rFonts w:ascii="Times New Roman" w:hAnsi="Times New Roman"/>
          <w:noProof/>
          <w:color w:val="000000" w:themeColor="text1"/>
        </w:rPr>
        <w:t>[Ruder, et al. 2014]</w:t>
      </w:r>
      <w:r w:rsidRPr="00DB7A43">
        <w:rPr>
          <w:rFonts w:ascii="Times New Roman" w:hAnsi="Times New Roman"/>
          <w:color w:val="000000" w:themeColor="text1"/>
        </w:rPr>
        <w:fldChar w:fldCharType="end"/>
      </w:r>
      <w:r w:rsidRPr="00DB7A43">
        <w:rPr>
          <w:rFonts w:ascii="Times New Roman" w:hAnsi="Times New Roman"/>
          <w:color w:val="000000" w:themeColor="text1"/>
        </w:rPr>
        <w:t>. In simple models, prostate cancer incidence was not significantly associated with cumulative exposure (</w:t>
      </w:r>
      <w:r>
        <w:rPr>
          <w:rFonts w:ascii="Times New Roman" w:hAnsi="Times New Roman"/>
          <w:color w:val="000000" w:themeColor="text1"/>
        </w:rPr>
        <w:t xml:space="preserve">Supplemental </w:t>
      </w:r>
      <w:r w:rsidRPr="00DB7A43">
        <w:rPr>
          <w:rFonts w:ascii="Times New Roman" w:hAnsi="Times New Roman"/>
          <w:color w:val="000000" w:themeColor="text1"/>
        </w:rPr>
        <w:t xml:space="preserve">Table </w:t>
      </w:r>
      <w:r w:rsidR="003933DA">
        <w:rPr>
          <w:rFonts w:ascii="Times New Roman" w:hAnsi="Times New Roman"/>
          <w:color w:val="000000" w:themeColor="text1"/>
        </w:rPr>
        <w:t>S6</w:t>
      </w:r>
      <w:r w:rsidRPr="00DB7A43">
        <w:rPr>
          <w:rFonts w:ascii="Times New Roman" w:hAnsi="Times New Roman"/>
          <w:color w:val="000000" w:themeColor="text1"/>
        </w:rPr>
        <w:t>, Models 1 and 3). Adjusting for calendar year improved model fit, but associations remained null (</w:t>
      </w:r>
      <w:r>
        <w:rPr>
          <w:rFonts w:ascii="Times New Roman" w:hAnsi="Times New Roman"/>
          <w:color w:val="000000" w:themeColor="text1"/>
        </w:rPr>
        <w:t xml:space="preserve">Supplemental </w:t>
      </w:r>
      <w:r w:rsidRPr="00DB7A43">
        <w:rPr>
          <w:rFonts w:ascii="Times New Roman" w:hAnsi="Times New Roman"/>
          <w:color w:val="000000" w:themeColor="text1"/>
        </w:rPr>
        <w:t xml:space="preserve">Table </w:t>
      </w:r>
      <w:r w:rsidR="003933DA">
        <w:rPr>
          <w:rFonts w:ascii="Times New Roman" w:hAnsi="Times New Roman"/>
          <w:color w:val="000000" w:themeColor="text1"/>
        </w:rPr>
        <w:t>S6</w:t>
      </w:r>
      <w:r w:rsidRPr="00DB7A43">
        <w:rPr>
          <w:rFonts w:ascii="Times New Roman" w:hAnsi="Times New Roman"/>
          <w:color w:val="000000" w:themeColor="text1"/>
        </w:rPr>
        <w:t xml:space="preserve">, Models 2 and 4). </w:t>
      </w:r>
      <w:r>
        <w:rPr>
          <w:rFonts w:ascii="Times New Roman" w:hAnsi="Times New Roman"/>
          <w:color w:val="000000" w:themeColor="text1"/>
        </w:rPr>
        <w:t xml:space="preserve">Associations </w:t>
      </w:r>
      <w:r w:rsidRPr="00DB7A43">
        <w:rPr>
          <w:rFonts w:ascii="Times New Roman" w:hAnsi="Times New Roman"/>
          <w:color w:val="000000" w:themeColor="text1"/>
        </w:rPr>
        <w:t>remained null (data not shown)</w:t>
      </w:r>
      <w:r>
        <w:rPr>
          <w:rFonts w:ascii="Times New Roman" w:hAnsi="Times New Roman"/>
          <w:color w:val="000000" w:themeColor="text1"/>
        </w:rPr>
        <w:t xml:space="preserve"> </w:t>
      </w:r>
      <w:r w:rsidRPr="00DB7A43">
        <w:rPr>
          <w:rFonts w:ascii="Times New Roman" w:hAnsi="Times New Roman"/>
          <w:color w:val="000000" w:themeColor="text1"/>
        </w:rPr>
        <w:t xml:space="preserve">for models that excluded short-term workers, that evaluated </w:t>
      </w:r>
      <w:r>
        <w:rPr>
          <w:rFonts w:ascii="Times New Roman" w:hAnsi="Times New Roman"/>
          <w:color w:val="000000" w:themeColor="text1"/>
        </w:rPr>
        <w:t xml:space="preserve">transformations of </w:t>
      </w:r>
      <w:r w:rsidRPr="00DB7A43">
        <w:rPr>
          <w:rFonts w:ascii="Times New Roman" w:hAnsi="Times New Roman"/>
          <w:color w:val="000000" w:themeColor="text1"/>
        </w:rPr>
        <w:t xml:space="preserve">cumulative exposure (log, square root, and restricted cubic spline), and that evaluated exposure age windows. Plant and calendar year were evaluated and determined not to be effect modifiers.  Including terms for time since last exposure did not improve model fit and the adjusted association remained </w:t>
      </w:r>
      <w:r>
        <w:rPr>
          <w:rFonts w:ascii="Times New Roman" w:hAnsi="Times New Roman"/>
          <w:color w:val="000000" w:themeColor="text1"/>
        </w:rPr>
        <w:t>null</w:t>
      </w:r>
      <w:r w:rsidRPr="00DB7A43">
        <w:rPr>
          <w:rFonts w:ascii="Times New Roman" w:hAnsi="Times New Roman"/>
          <w:color w:val="000000" w:themeColor="text1"/>
        </w:rPr>
        <w:t>. The assumption of proportional hazards was not violated (data not shown).</w:t>
      </w:r>
    </w:p>
    <w:p w14:paraId="494BB69C" w14:textId="77777777" w:rsidR="00D11173" w:rsidRDefault="00D11173">
      <w:pPr>
        <w:spacing w:after="200" w:line="276" w:lineRule="auto"/>
        <w:rPr>
          <w:rFonts w:ascii="Times New Roman" w:eastAsia="Times New Roman" w:hAnsi="Times New Roman"/>
          <w:b/>
        </w:rPr>
      </w:pPr>
      <w:r>
        <w:rPr>
          <w:rFonts w:ascii="Times New Roman" w:eastAsia="Times New Roman" w:hAnsi="Times New Roman"/>
          <w:b/>
        </w:rPr>
        <w:br w:type="page"/>
      </w:r>
    </w:p>
    <w:p w14:paraId="78A961A6" w14:textId="77777777" w:rsidR="00D11173" w:rsidRPr="008B2AB3" w:rsidRDefault="00D11173" w:rsidP="00D11173">
      <w:pPr>
        <w:rPr>
          <w:rFonts w:ascii="Times New Roman" w:hAnsi="Times New Roman"/>
          <w:b/>
        </w:rPr>
      </w:pPr>
      <w:r w:rsidRPr="008B2AB3">
        <w:rPr>
          <w:rFonts w:ascii="Times New Roman" w:hAnsi="Times New Roman"/>
          <w:b/>
        </w:rPr>
        <w:lastRenderedPageBreak/>
        <w:t>Supplemental Table S1:  Cancer registries, ascertain</w:t>
      </w:r>
      <w:r w:rsidR="00675B9B" w:rsidRPr="008B2AB3">
        <w:rPr>
          <w:rFonts w:ascii="Times New Roman" w:hAnsi="Times New Roman"/>
          <w:b/>
        </w:rPr>
        <w:t>ment, and cohort deaths among 22,903 PCB cohort members eligible for the cancer incidence study</w:t>
      </w:r>
    </w:p>
    <w:p w14:paraId="15141B7D" w14:textId="77777777" w:rsidR="00D11173" w:rsidRDefault="00D11173" w:rsidP="00D11173">
      <w:pPr>
        <w:rPr>
          <w:rFonts w:ascii="Times New Roman" w:hAnsi="Times New Roman"/>
        </w:rPr>
      </w:pP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5317"/>
        <w:gridCol w:w="1123"/>
        <w:gridCol w:w="1484"/>
        <w:gridCol w:w="635"/>
        <w:gridCol w:w="801"/>
      </w:tblGrid>
      <w:tr w:rsidR="00D11173" w14:paraId="4CC149B9" w14:textId="77777777" w:rsidTr="004C2025">
        <w:tc>
          <w:tcPr>
            <w:tcW w:w="2839" w:type="pct"/>
            <w:tcBorders>
              <w:top w:val="single" w:sz="4" w:space="0" w:color="auto"/>
              <w:left w:val="nil"/>
              <w:bottom w:val="single" w:sz="4" w:space="0" w:color="auto"/>
              <w:right w:val="nil"/>
            </w:tcBorders>
            <w:vAlign w:val="bottom"/>
          </w:tcPr>
          <w:p w14:paraId="3F6F3964" w14:textId="77777777" w:rsidR="00D11173" w:rsidRPr="00675B9B" w:rsidRDefault="00D11173" w:rsidP="000C09E0">
            <w:pPr>
              <w:rPr>
                <w:rFonts w:ascii="Times New Roman" w:hAnsi="Times New Roman"/>
              </w:rPr>
            </w:pPr>
            <w:r w:rsidRPr="00675B9B">
              <w:rPr>
                <w:rFonts w:ascii="Times New Roman" w:hAnsi="Times New Roman"/>
              </w:rPr>
              <w:t>State</w:t>
            </w:r>
          </w:p>
        </w:tc>
        <w:tc>
          <w:tcPr>
            <w:tcW w:w="600" w:type="pct"/>
            <w:tcBorders>
              <w:top w:val="single" w:sz="4" w:space="0" w:color="auto"/>
              <w:left w:val="nil"/>
              <w:bottom w:val="single" w:sz="4" w:space="0" w:color="auto"/>
              <w:right w:val="nil"/>
            </w:tcBorders>
            <w:vAlign w:val="bottom"/>
          </w:tcPr>
          <w:p w14:paraId="28F986E6" w14:textId="77777777" w:rsidR="00F766BC" w:rsidRPr="00675B9B" w:rsidRDefault="00D11173" w:rsidP="00752DF8">
            <w:pPr>
              <w:jc w:val="center"/>
              <w:rPr>
                <w:rFonts w:ascii="Times New Roman" w:hAnsi="Times New Roman"/>
              </w:rPr>
            </w:pPr>
            <w:r w:rsidRPr="00675B9B">
              <w:rPr>
                <w:rFonts w:ascii="Times New Roman" w:hAnsi="Times New Roman"/>
              </w:rPr>
              <w:t>PCB plant</w:t>
            </w:r>
          </w:p>
          <w:p w14:paraId="07B8E9AB" w14:textId="77777777" w:rsidR="00A94120" w:rsidRPr="00675B9B" w:rsidRDefault="00D11173" w:rsidP="00752DF8">
            <w:pPr>
              <w:jc w:val="center"/>
              <w:rPr>
                <w:rFonts w:ascii="Times New Roman" w:hAnsi="Times New Roman"/>
              </w:rPr>
            </w:pPr>
            <w:r w:rsidRPr="00675B9B">
              <w:rPr>
                <w:rFonts w:ascii="Times New Roman" w:hAnsi="Times New Roman"/>
              </w:rPr>
              <w:t xml:space="preserve">located </w:t>
            </w:r>
          </w:p>
          <w:p w14:paraId="5BE8FCDE" w14:textId="77777777" w:rsidR="00D11173" w:rsidRPr="00675B9B" w:rsidRDefault="00D11173" w:rsidP="00752DF8">
            <w:pPr>
              <w:jc w:val="center"/>
              <w:rPr>
                <w:rFonts w:ascii="Times New Roman" w:hAnsi="Times New Roman"/>
              </w:rPr>
            </w:pPr>
            <w:r w:rsidRPr="00675B9B">
              <w:rPr>
                <w:rFonts w:ascii="Times New Roman" w:hAnsi="Times New Roman"/>
              </w:rPr>
              <w:t>here</w:t>
            </w:r>
          </w:p>
        </w:tc>
        <w:tc>
          <w:tcPr>
            <w:tcW w:w="793" w:type="pct"/>
            <w:tcBorders>
              <w:top w:val="single" w:sz="4" w:space="0" w:color="auto"/>
              <w:left w:val="nil"/>
              <w:bottom w:val="single" w:sz="4" w:space="0" w:color="auto"/>
              <w:right w:val="nil"/>
            </w:tcBorders>
            <w:vAlign w:val="bottom"/>
          </w:tcPr>
          <w:p w14:paraId="1439AFE3" w14:textId="77777777" w:rsidR="00F766BC" w:rsidRPr="00675B9B" w:rsidRDefault="00D11173" w:rsidP="00752DF8">
            <w:pPr>
              <w:jc w:val="center"/>
              <w:rPr>
                <w:rFonts w:ascii="Times New Roman" w:hAnsi="Times New Roman"/>
              </w:rPr>
            </w:pPr>
            <w:r w:rsidRPr="00675B9B">
              <w:rPr>
                <w:rFonts w:ascii="Times New Roman" w:hAnsi="Times New Roman"/>
              </w:rPr>
              <w:t xml:space="preserve">Complete </w:t>
            </w:r>
          </w:p>
          <w:p w14:paraId="041D45C6" w14:textId="77777777" w:rsidR="00F766BC" w:rsidRPr="00675B9B" w:rsidRDefault="00D11173" w:rsidP="00752DF8">
            <w:pPr>
              <w:jc w:val="center"/>
              <w:rPr>
                <w:rFonts w:ascii="Times New Roman" w:hAnsi="Times New Roman"/>
              </w:rPr>
            </w:pPr>
            <w:r w:rsidRPr="00675B9B">
              <w:rPr>
                <w:rFonts w:ascii="Times New Roman" w:hAnsi="Times New Roman"/>
              </w:rPr>
              <w:t>ascertainment</w:t>
            </w:r>
          </w:p>
          <w:p w14:paraId="720A7A25" w14:textId="77777777" w:rsidR="00D11173" w:rsidRPr="00675B9B" w:rsidRDefault="00D11173" w:rsidP="00752DF8">
            <w:pPr>
              <w:jc w:val="center"/>
              <w:rPr>
                <w:rFonts w:ascii="Times New Roman" w:hAnsi="Times New Roman"/>
              </w:rPr>
            </w:pPr>
            <w:r w:rsidRPr="00675B9B">
              <w:rPr>
                <w:rFonts w:ascii="Times New Roman" w:hAnsi="Times New Roman"/>
              </w:rPr>
              <w:t xml:space="preserve"> from</w:t>
            </w:r>
          </w:p>
        </w:tc>
        <w:tc>
          <w:tcPr>
            <w:tcW w:w="767" w:type="pct"/>
            <w:gridSpan w:val="2"/>
            <w:tcBorders>
              <w:top w:val="single" w:sz="4" w:space="0" w:color="auto"/>
              <w:left w:val="nil"/>
              <w:bottom w:val="single" w:sz="4" w:space="0" w:color="auto"/>
              <w:right w:val="nil"/>
            </w:tcBorders>
            <w:vAlign w:val="bottom"/>
          </w:tcPr>
          <w:p w14:paraId="16FCC6A5" w14:textId="77777777" w:rsidR="00A94120" w:rsidRPr="00675B9B" w:rsidRDefault="00A94120" w:rsidP="00752DF8">
            <w:pPr>
              <w:jc w:val="center"/>
              <w:rPr>
                <w:rFonts w:ascii="Times New Roman" w:hAnsi="Times New Roman"/>
              </w:rPr>
            </w:pPr>
            <w:r w:rsidRPr="00675B9B">
              <w:rPr>
                <w:rFonts w:ascii="Times New Roman" w:hAnsi="Times New Roman"/>
              </w:rPr>
              <w:t>C</w:t>
            </w:r>
            <w:r w:rsidR="00D11173" w:rsidRPr="00675B9B">
              <w:rPr>
                <w:rFonts w:ascii="Times New Roman" w:hAnsi="Times New Roman"/>
              </w:rPr>
              <w:t xml:space="preserve">ohort </w:t>
            </w:r>
          </w:p>
          <w:p w14:paraId="7A5D5C50" w14:textId="77777777" w:rsidR="00F766BC" w:rsidRPr="00675B9B" w:rsidRDefault="00D11173" w:rsidP="00752DF8">
            <w:pPr>
              <w:jc w:val="center"/>
              <w:rPr>
                <w:rFonts w:ascii="Times New Roman" w:hAnsi="Times New Roman"/>
              </w:rPr>
            </w:pPr>
            <w:r w:rsidRPr="00675B9B">
              <w:rPr>
                <w:rFonts w:ascii="Times New Roman" w:hAnsi="Times New Roman"/>
              </w:rPr>
              <w:t xml:space="preserve">deaths </w:t>
            </w:r>
          </w:p>
          <w:p w14:paraId="6AAB67FD" w14:textId="77777777" w:rsidR="00D11173" w:rsidRPr="00675B9B" w:rsidRDefault="00D11173" w:rsidP="00752DF8">
            <w:pPr>
              <w:jc w:val="center"/>
              <w:rPr>
                <w:rFonts w:ascii="Times New Roman" w:hAnsi="Times New Roman"/>
              </w:rPr>
            </w:pPr>
            <w:r w:rsidRPr="00675B9B">
              <w:rPr>
                <w:rFonts w:ascii="Times New Roman" w:hAnsi="Times New Roman"/>
              </w:rPr>
              <w:t>through 2007</w:t>
            </w:r>
          </w:p>
        </w:tc>
      </w:tr>
      <w:tr w:rsidR="00F766BC" w14:paraId="7F9DB078" w14:textId="77777777" w:rsidTr="004C2025">
        <w:tc>
          <w:tcPr>
            <w:tcW w:w="2839" w:type="pct"/>
            <w:tcBorders>
              <w:top w:val="single" w:sz="4" w:space="0" w:color="auto"/>
              <w:left w:val="nil"/>
              <w:bottom w:val="nil"/>
              <w:right w:val="nil"/>
            </w:tcBorders>
            <w:vAlign w:val="bottom"/>
          </w:tcPr>
          <w:p w14:paraId="2E361EDE" w14:textId="77777777" w:rsidR="00D11173" w:rsidRPr="00675B9B" w:rsidRDefault="00D11173" w:rsidP="00897330">
            <w:pPr>
              <w:ind w:left="360"/>
              <w:rPr>
                <w:rFonts w:ascii="Times New Roman" w:hAnsi="Times New Roman"/>
              </w:rPr>
            </w:pPr>
            <w:r w:rsidRPr="00675B9B">
              <w:rPr>
                <w:rFonts w:ascii="Times New Roman" w:hAnsi="Times New Roman"/>
              </w:rPr>
              <w:t>California</w:t>
            </w:r>
          </w:p>
        </w:tc>
        <w:tc>
          <w:tcPr>
            <w:tcW w:w="600" w:type="pct"/>
            <w:tcBorders>
              <w:top w:val="single" w:sz="4" w:space="0" w:color="auto"/>
              <w:left w:val="nil"/>
              <w:bottom w:val="nil"/>
              <w:right w:val="nil"/>
            </w:tcBorders>
            <w:vAlign w:val="bottom"/>
          </w:tcPr>
          <w:p w14:paraId="6D4AEA43"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single" w:sz="4" w:space="0" w:color="auto"/>
              <w:left w:val="nil"/>
              <w:bottom w:val="nil"/>
              <w:right w:val="nil"/>
            </w:tcBorders>
            <w:vAlign w:val="bottom"/>
          </w:tcPr>
          <w:p w14:paraId="6E09EE58" w14:textId="77777777" w:rsidR="00D11173" w:rsidRPr="00675B9B" w:rsidRDefault="00F766BC" w:rsidP="00752DF8">
            <w:pPr>
              <w:jc w:val="center"/>
              <w:rPr>
                <w:rFonts w:ascii="Times New Roman" w:hAnsi="Times New Roman"/>
              </w:rPr>
            </w:pPr>
            <w:r w:rsidRPr="00675B9B">
              <w:rPr>
                <w:rFonts w:ascii="Times New Roman" w:hAnsi="Times New Roman"/>
              </w:rPr>
              <w:t>1988</w:t>
            </w:r>
          </w:p>
        </w:tc>
        <w:tc>
          <w:tcPr>
            <w:tcW w:w="339" w:type="pct"/>
            <w:tcBorders>
              <w:top w:val="single" w:sz="4" w:space="0" w:color="auto"/>
              <w:left w:val="nil"/>
              <w:bottom w:val="nil"/>
              <w:right w:val="nil"/>
            </w:tcBorders>
            <w:vAlign w:val="bottom"/>
          </w:tcPr>
          <w:p w14:paraId="0E09964A" w14:textId="77777777" w:rsidR="00D11173" w:rsidRPr="00675B9B" w:rsidRDefault="00F766BC" w:rsidP="00752DF8">
            <w:pPr>
              <w:jc w:val="center"/>
              <w:rPr>
                <w:rFonts w:ascii="Times New Roman" w:hAnsi="Times New Roman"/>
              </w:rPr>
            </w:pPr>
            <w:r w:rsidRPr="00675B9B">
              <w:rPr>
                <w:rFonts w:ascii="Times New Roman" w:hAnsi="Times New Roman"/>
              </w:rPr>
              <w:t>166</w:t>
            </w:r>
          </w:p>
        </w:tc>
        <w:tc>
          <w:tcPr>
            <w:tcW w:w="428" w:type="pct"/>
            <w:tcBorders>
              <w:top w:val="single" w:sz="4" w:space="0" w:color="auto"/>
              <w:left w:val="nil"/>
              <w:bottom w:val="nil"/>
              <w:right w:val="nil"/>
            </w:tcBorders>
            <w:vAlign w:val="bottom"/>
          </w:tcPr>
          <w:p w14:paraId="20D75327" w14:textId="77777777" w:rsidR="00D11173" w:rsidRPr="00675B9B" w:rsidRDefault="00F766BC" w:rsidP="00752DF8">
            <w:pPr>
              <w:jc w:val="center"/>
              <w:rPr>
                <w:rFonts w:ascii="Times New Roman" w:hAnsi="Times New Roman"/>
              </w:rPr>
            </w:pPr>
            <w:r w:rsidRPr="00675B9B">
              <w:rPr>
                <w:rFonts w:ascii="Times New Roman" w:hAnsi="Times New Roman"/>
              </w:rPr>
              <w:t>2.4%</w:t>
            </w:r>
          </w:p>
        </w:tc>
      </w:tr>
      <w:tr w:rsidR="00F766BC" w14:paraId="245F9D40" w14:textId="77777777" w:rsidTr="004C2025">
        <w:tc>
          <w:tcPr>
            <w:tcW w:w="2839" w:type="pct"/>
            <w:tcBorders>
              <w:top w:val="nil"/>
              <w:left w:val="nil"/>
              <w:bottom w:val="nil"/>
              <w:right w:val="nil"/>
            </w:tcBorders>
            <w:vAlign w:val="bottom"/>
          </w:tcPr>
          <w:p w14:paraId="5F87D95D" w14:textId="77777777" w:rsidR="00D11173" w:rsidRPr="00675B9B" w:rsidRDefault="00D11173" w:rsidP="00897330">
            <w:pPr>
              <w:ind w:left="360"/>
              <w:rPr>
                <w:rFonts w:ascii="Times New Roman" w:hAnsi="Times New Roman"/>
              </w:rPr>
            </w:pPr>
            <w:r w:rsidRPr="00675B9B">
              <w:rPr>
                <w:rFonts w:ascii="Times New Roman" w:hAnsi="Times New Roman"/>
              </w:rPr>
              <w:t>Connecticut</w:t>
            </w:r>
          </w:p>
        </w:tc>
        <w:tc>
          <w:tcPr>
            <w:tcW w:w="600" w:type="pct"/>
            <w:tcBorders>
              <w:top w:val="nil"/>
              <w:left w:val="nil"/>
              <w:bottom w:val="nil"/>
              <w:right w:val="nil"/>
            </w:tcBorders>
            <w:vAlign w:val="bottom"/>
          </w:tcPr>
          <w:p w14:paraId="79AAA2AB"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nil"/>
              <w:left w:val="nil"/>
              <w:bottom w:val="nil"/>
              <w:right w:val="nil"/>
            </w:tcBorders>
            <w:vAlign w:val="bottom"/>
          </w:tcPr>
          <w:p w14:paraId="222F6AD1" w14:textId="77777777" w:rsidR="00D11173" w:rsidRPr="00675B9B" w:rsidRDefault="00F766BC" w:rsidP="00752DF8">
            <w:pPr>
              <w:jc w:val="center"/>
              <w:rPr>
                <w:rFonts w:ascii="Times New Roman" w:hAnsi="Times New Roman"/>
              </w:rPr>
            </w:pPr>
            <w:r w:rsidRPr="00675B9B">
              <w:rPr>
                <w:rFonts w:ascii="Times New Roman" w:hAnsi="Times New Roman"/>
              </w:rPr>
              <w:t>1973</w:t>
            </w:r>
          </w:p>
        </w:tc>
        <w:tc>
          <w:tcPr>
            <w:tcW w:w="339" w:type="pct"/>
            <w:tcBorders>
              <w:top w:val="nil"/>
              <w:left w:val="nil"/>
              <w:bottom w:val="nil"/>
              <w:right w:val="nil"/>
            </w:tcBorders>
            <w:vAlign w:val="bottom"/>
          </w:tcPr>
          <w:p w14:paraId="10218E99" w14:textId="77777777" w:rsidR="00D11173" w:rsidRPr="00675B9B" w:rsidRDefault="00F766BC" w:rsidP="00752DF8">
            <w:pPr>
              <w:jc w:val="center"/>
              <w:rPr>
                <w:rFonts w:ascii="Times New Roman" w:hAnsi="Times New Roman"/>
              </w:rPr>
            </w:pPr>
            <w:r w:rsidRPr="00675B9B">
              <w:rPr>
                <w:rFonts w:ascii="Times New Roman" w:hAnsi="Times New Roman"/>
              </w:rPr>
              <w:t>77</w:t>
            </w:r>
          </w:p>
        </w:tc>
        <w:tc>
          <w:tcPr>
            <w:tcW w:w="428" w:type="pct"/>
            <w:tcBorders>
              <w:top w:val="nil"/>
              <w:left w:val="nil"/>
              <w:bottom w:val="nil"/>
              <w:right w:val="nil"/>
            </w:tcBorders>
            <w:vAlign w:val="bottom"/>
          </w:tcPr>
          <w:p w14:paraId="72683FAC" w14:textId="77777777" w:rsidR="00D11173" w:rsidRPr="00675B9B" w:rsidRDefault="00F766BC" w:rsidP="00752DF8">
            <w:pPr>
              <w:jc w:val="center"/>
              <w:rPr>
                <w:rFonts w:ascii="Times New Roman" w:hAnsi="Times New Roman"/>
              </w:rPr>
            </w:pPr>
            <w:r w:rsidRPr="00675B9B">
              <w:rPr>
                <w:rFonts w:ascii="Times New Roman" w:hAnsi="Times New Roman"/>
              </w:rPr>
              <w:t>1.1%</w:t>
            </w:r>
          </w:p>
        </w:tc>
      </w:tr>
      <w:tr w:rsidR="00F766BC" w14:paraId="12DC4023" w14:textId="77777777" w:rsidTr="004C2025">
        <w:tc>
          <w:tcPr>
            <w:tcW w:w="2839" w:type="pct"/>
            <w:tcBorders>
              <w:top w:val="nil"/>
              <w:left w:val="nil"/>
              <w:bottom w:val="nil"/>
              <w:right w:val="nil"/>
            </w:tcBorders>
            <w:vAlign w:val="bottom"/>
          </w:tcPr>
          <w:p w14:paraId="03206C28" w14:textId="77777777" w:rsidR="00D11173" w:rsidRPr="00675B9B" w:rsidRDefault="00D11173" w:rsidP="00897330">
            <w:pPr>
              <w:ind w:left="360"/>
              <w:rPr>
                <w:rFonts w:ascii="Times New Roman" w:hAnsi="Times New Roman"/>
              </w:rPr>
            </w:pPr>
            <w:r w:rsidRPr="00675B9B">
              <w:rPr>
                <w:rFonts w:ascii="Times New Roman" w:hAnsi="Times New Roman"/>
              </w:rPr>
              <w:t>Indiana</w:t>
            </w:r>
          </w:p>
        </w:tc>
        <w:tc>
          <w:tcPr>
            <w:tcW w:w="600" w:type="pct"/>
            <w:tcBorders>
              <w:top w:val="nil"/>
              <w:left w:val="nil"/>
              <w:bottom w:val="nil"/>
              <w:right w:val="nil"/>
            </w:tcBorders>
            <w:vAlign w:val="bottom"/>
          </w:tcPr>
          <w:p w14:paraId="0DE1EE16" w14:textId="77777777" w:rsidR="00D11173" w:rsidRPr="00675B9B" w:rsidRDefault="00F766BC" w:rsidP="00752DF8">
            <w:pPr>
              <w:jc w:val="center"/>
              <w:rPr>
                <w:rFonts w:ascii="Times New Roman" w:hAnsi="Times New Roman"/>
              </w:rPr>
            </w:pPr>
            <w:r w:rsidRPr="00675B9B">
              <w:rPr>
                <w:rFonts w:ascii="Times New Roman" w:hAnsi="Times New Roman"/>
              </w:rPr>
              <w:t>Yes</w:t>
            </w:r>
          </w:p>
        </w:tc>
        <w:tc>
          <w:tcPr>
            <w:tcW w:w="793" w:type="pct"/>
            <w:tcBorders>
              <w:top w:val="nil"/>
              <w:left w:val="nil"/>
              <w:bottom w:val="nil"/>
              <w:right w:val="nil"/>
            </w:tcBorders>
            <w:vAlign w:val="bottom"/>
          </w:tcPr>
          <w:p w14:paraId="2F777446" w14:textId="77777777" w:rsidR="00D11173" w:rsidRPr="00675B9B" w:rsidRDefault="00F766BC" w:rsidP="00752DF8">
            <w:pPr>
              <w:jc w:val="center"/>
              <w:rPr>
                <w:rFonts w:ascii="Times New Roman" w:hAnsi="Times New Roman"/>
              </w:rPr>
            </w:pPr>
            <w:r w:rsidRPr="00675B9B">
              <w:rPr>
                <w:rFonts w:ascii="Times New Roman" w:hAnsi="Times New Roman"/>
              </w:rPr>
              <w:t>1987</w:t>
            </w:r>
          </w:p>
        </w:tc>
        <w:tc>
          <w:tcPr>
            <w:tcW w:w="339" w:type="pct"/>
            <w:tcBorders>
              <w:top w:val="nil"/>
              <w:left w:val="nil"/>
              <w:bottom w:val="nil"/>
              <w:right w:val="nil"/>
            </w:tcBorders>
            <w:vAlign w:val="bottom"/>
          </w:tcPr>
          <w:p w14:paraId="14B46757" w14:textId="77777777" w:rsidR="00D11173" w:rsidRPr="00675B9B" w:rsidRDefault="00F766BC" w:rsidP="00752DF8">
            <w:pPr>
              <w:jc w:val="center"/>
              <w:rPr>
                <w:rFonts w:ascii="Times New Roman" w:hAnsi="Times New Roman"/>
              </w:rPr>
            </w:pPr>
            <w:r w:rsidRPr="00675B9B">
              <w:rPr>
                <w:rFonts w:ascii="Times New Roman" w:hAnsi="Times New Roman"/>
              </w:rPr>
              <w:t>559</w:t>
            </w:r>
          </w:p>
        </w:tc>
        <w:tc>
          <w:tcPr>
            <w:tcW w:w="428" w:type="pct"/>
            <w:tcBorders>
              <w:top w:val="nil"/>
              <w:left w:val="nil"/>
              <w:bottom w:val="nil"/>
              <w:right w:val="nil"/>
            </w:tcBorders>
            <w:vAlign w:val="bottom"/>
          </w:tcPr>
          <w:p w14:paraId="67ED3A23" w14:textId="77777777" w:rsidR="00D11173" w:rsidRPr="00675B9B" w:rsidRDefault="00F766BC" w:rsidP="00752DF8">
            <w:pPr>
              <w:jc w:val="center"/>
              <w:rPr>
                <w:rFonts w:ascii="Times New Roman" w:hAnsi="Times New Roman"/>
              </w:rPr>
            </w:pPr>
            <w:r w:rsidRPr="00675B9B">
              <w:rPr>
                <w:rFonts w:ascii="Times New Roman" w:hAnsi="Times New Roman"/>
              </w:rPr>
              <w:t>8.0%</w:t>
            </w:r>
          </w:p>
        </w:tc>
      </w:tr>
      <w:tr w:rsidR="00F766BC" w14:paraId="2104BCC0" w14:textId="77777777" w:rsidTr="004C2025">
        <w:tc>
          <w:tcPr>
            <w:tcW w:w="2839" w:type="pct"/>
            <w:tcBorders>
              <w:top w:val="nil"/>
              <w:left w:val="nil"/>
              <w:bottom w:val="nil"/>
              <w:right w:val="nil"/>
            </w:tcBorders>
            <w:vAlign w:val="bottom"/>
          </w:tcPr>
          <w:p w14:paraId="26953604" w14:textId="77777777" w:rsidR="00D11173" w:rsidRPr="00675B9B" w:rsidRDefault="00D11173" w:rsidP="00897330">
            <w:pPr>
              <w:ind w:left="360"/>
              <w:rPr>
                <w:rFonts w:ascii="Times New Roman" w:hAnsi="Times New Roman"/>
              </w:rPr>
            </w:pPr>
            <w:r w:rsidRPr="00675B9B">
              <w:rPr>
                <w:rFonts w:ascii="Times New Roman" w:hAnsi="Times New Roman"/>
              </w:rPr>
              <w:t>Florida</w:t>
            </w:r>
          </w:p>
        </w:tc>
        <w:tc>
          <w:tcPr>
            <w:tcW w:w="600" w:type="pct"/>
            <w:tcBorders>
              <w:top w:val="nil"/>
              <w:left w:val="nil"/>
              <w:bottom w:val="nil"/>
              <w:right w:val="nil"/>
            </w:tcBorders>
            <w:vAlign w:val="bottom"/>
          </w:tcPr>
          <w:p w14:paraId="4545ECE1"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nil"/>
              <w:left w:val="nil"/>
              <w:bottom w:val="nil"/>
              <w:right w:val="nil"/>
            </w:tcBorders>
            <w:vAlign w:val="bottom"/>
          </w:tcPr>
          <w:p w14:paraId="269D3AC6" w14:textId="77777777" w:rsidR="00D11173" w:rsidRPr="00675B9B" w:rsidRDefault="00F766BC" w:rsidP="00752DF8">
            <w:pPr>
              <w:jc w:val="center"/>
              <w:rPr>
                <w:rFonts w:ascii="Times New Roman" w:hAnsi="Times New Roman"/>
              </w:rPr>
            </w:pPr>
            <w:r w:rsidRPr="00675B9B">
              <w:rPr>
                <w:rFonts w:ascii="Times New Roman" w:hAnsi="Times New Roman"/>
              </w:rPr>
              <w:t>1997</w:t>
            </w:r>
          </w:p>
        </w:tc>
        <w:tc>
          <w:tcPr>
            <w:tcW w:w="339" w:type="pct"/>
            <w:tcBorders>
              <w:top w:val="nil"/>
              <w:left w:val="nil"/>
              <w:bottom w:val="nil"/>
              <w:right w:val="nil"/>
            </w:tcBorders>
            <w:vAlign w:val="bottom"/>
          </w:tcPr>
          <w:p w14:paraId="78E478E5" w14:textId="77777777" w:rsidR="00D11173" w:rsidRPr="00675B9B" w:rsidRDefault="00F766BC" w:rsidP="00752DF8">
            <w:pPr>
              <w:jc w:val="center"/>
              <w:rPr>
                <w:rFonts w:ascii="Times New Roman" w:hAnsi="Times New Roman"/>
              </w:rPr>
            </w:pPr>
            <w:r w:rsidRPr="00675B9B">
              <w:rPr>
                <w:rFonts w:ascii="Times New Roman" w:hAnsi="Times New Roman"/>
              </w:rPr>
              <w:t>463</w:t>
            </w:r>
          </w:p>
        </w:tc>
        <w:tc>
          <w:tcPr>
            <w:tcW w:w="428" w:type="pct"/>
            <w:tcBorders>
              <w:top w:val="nil"/>
              <w:left w:val="nil"/>
              <w:bottom w:val="nil"/>
              <w:right w:val="nil"/>
            </w:tcBorders>
            <w:vAlign w:val="bottom"/>
          </w:tcPr>
          <w:p w14:paraId="6FFEE785" w14:textId="77777777" w:rsidR="00D11173" w:rsidRPr="00675B9B" w:rsidRDefault="00F766BC" w:rsidP="00752DF8">
            <w:pPr>
              <w:jc w:val="center"/>
              <w:rPr>
                <w:rFonts w:ascii="Times New Roman" w:hAnsi="Times New Roman"/>
              </w:rPr>
            </w:pPr>
            <w:r w:rsidRPr="00675B9B">
              <w:rPr>
                <w:rFonts w:ascii="Times New Roman" w:hAnsi="Times New Roman"/>
              </w:rPr>
              <w:t>6.6%</w:t>
            </w:r>
          </w:p>
        </w:tc>
      </w:tr>
      <w:tr w:rsidR="00F766BC" w14:paraId="7D675DD3" w14:textId="77777777" w:rsidTr="004C2025">
        <w:tc>
          <w:tcPr>
            <w:tcW w:w="2839" w:type="pct"/>
            <w:tcBorders>
              <w:top w:val="nil"/>
              <w:left w:val="nil"/>
              <w:bottom w:val="nil"/>
              <w:right w:val="nil"/>
            </w:tcBorders>
            <w:vAlign w:val="bottom"/>
          </w:tcPr>
          <w:p w14:paraId="4DC9C6B9" w14:textId="77777777" w:rsidR="00D11173" w:rsidRPr="00675B9B" w:rsidRDefault="00D11173" w:rsidP="00897330">
            <w:pPr>
              <w:ind w:left="360"/>
              <w:rPr>
                <w:rFonts w:ascii="Times New Roman" w:hAnsi="Times New Roman"/>
              </w:rPr>
            </w:pPr>
            <w:r w:rsidRPr="00675B9B">
              <w:rPr>
                <w:rFonts w:ascii="Times New Roman" w:hAnsi="Times New Roman"/>
              </w:rPr>
              <w:t>Massachusetts</w:t>
            </w:r>
          </w:p>
        </w:tc>
        <w:tc>
          <w:tcPr>
            <w:tcW w:w="600" w:type="pct"/>
            <w:tcBorders>
              <w:top w:val="nil"/>
              <w:left w:val="nil"/>
              <w:bottom w:val="nil"/>
              <w:right w:val="nil"/>
            </w:tcBorders>
            <w:vAlign w:val="bottom"/>
          </w:tcPr>
          <w:p w14:paraId="50D99128" w14:textId="77777777" w:rsidR="00D11173" w:rsidRPr="00675B9B" w:rsidRDefault="00F766BC" w:rsidP="00752DF8">
            <w:pPr>
              <w:jc w:val="center"/>
              <w:rPr>
                <w:rFonts w:ascii="Times New Roman" w:hAnsi="Times New Roman"/>
              </w:rPr>
            </w:pPr>
            <w:r w:rsidRPr="00675B9B">
              <w:rPr>
                <w:rFonts w:ascii="Times New Roman" w:hAnsi="Times New Roman"/>
              </w:rPr>
              <w:t>Yes</w:t>
            </w:r>
          </w:p>
        </w:tc>
        <w:tc>
          <w:tcPr>
            <w:tcW w:w="793" w:type="pct"/>
            <w:tcBorders>
              <w:top w:val="nil"/>
              <w:left w:val="nil"/>
              <w:bottom w:val="nil"/>
              <w:right w:val="nil"/>
            </w:tcBorders>
            <w:vAlign w:val="bottom"/>
          </w:tcPr>
          <w:p w14:paraId="45A27F3A" w14:textId="77777777" w:rsidR="00D11173" w:rsidRPr="00675B9B" w:rsidRDefault="00F766BC" w:rsidP="00752DF8">
            <w:pPr>
              <w:jc w:val="center"/>
              <w:rPr>
                <w:rFonts w:ascii="Times New Roman" w:hAnsi="Times New Roman"/>
              </w:rPr>
            </w:pPr>
            <w:r w:rsidRPr="00675B9B">
              <w:rPr>
                <w:rFonts w:ascii="Times New Roman" w:hAnsi="Times New Roman"/>
              </w:rPr>
              <w:t>1982</w:t>
            </w:r>
          </w:p>
        </w:tc>
        <w:tc>
          <w:tcPr>
            <w:tcW w:w="339" w:type="pct"/>
            <w:tcBorders>
              <w:top w:val="nil"/>
              <w:left w:val="nil"/>
              <w:bottom w:val="nil"/>
              <w:right w:val="nil"/>
            </w:tcBorders>
            <w:vAlign w:val="bottom"/>
          </w:tcPr>
          <w:p w14:paraId="05F7A9CB" w14:textId="77777777" w:rsidR="00D11173" w:rsidRPr="00675B9B" w:rsidRDefault="00F766BC" w:rsidP="00752DF8">
            <w:pPr>
              <w:jc w:val="center"/>
              <w:rPr>
                <w:rFonts w:ascii="Times New Roman" w:hAnsi="Times New Roman"/>
              </w:rPr>
            </w:pPr>
            <w:r w:rsidRPr="00675B9B">
              <w:rPr>
                <w:rFonts w:ascii="Times New Roman" w:hAnsi="Times New Roman"/>
              </w:rPr>
              <w:t>2735</w:t>
            </w:r>
          </w:p>
        </w:tc>
        <w:tc>
          <w:tcPr>
            <w:tcW w:w="428" w:type="pct"/>
            <w:tcBorders>
              <w:top w:val="nil"/>
              <w:left w:val="nil"/>
              <w:bottom w:val="nil"/>
              <w:right w:val="nil"/>
            </w:tcBorders>
            <w:vAlign w:val="bottom"/>
          </w:tcPr>
          <w:p w14:paraId="09397C6F" w14:textId="77777777" w:rsidR="00D11173" w:rsidRPr="00675B9B" w:rsidRDefault="00F766BC" w:rsidP="00752DF8">
            <w:pPr>
              <w:jc w:val="center"/>
              <w:rPr>
                <w:rFonts w:ascii="Times New Roman" w:hAnsi="Times New Roman"/>
              </w:rPr>
            </w:pPr>
            <w:r w:rsidRPr="00675B9B">
              <w:rPr>
                <w:rFonts w:ascii="Times New Roman" w:hAnsi="Times New Roman"/>
              </w:rPr>
              <w:t>39.0%</w:t>
            </w:r>
          </w:p>
        </w:tc>
      </w:tr>
      <w:tr w:rsidR="00F766BC" w14:paraId="094D7DB9" w14:textId="77777777" w:rsidTr="004C2025">
        <w:tc>
          <w:tcPr>
            <w:tcW w:w="2839" w:type="pct"/>
            <w:tcBorders>
              <w:top w:val="nil"/>
              <w:left w:val="nil"/>
              <w:bottom w:val="nil"/>
              <w:right w:val="nil"/>
            </w:tcBorders>
            <w:vAlign w:val="bottom"/>
          </w:tcPr>
          <w:p w14:paraId="01876E01" w14:textId="77777777" w:rsidR="00D11173" w:rsidRPr="00675B9B" w:rsidRDefault="00D11173" w:rsidP="00897330">
            <w:pPr>
              <w:ind w:left="360"/>
              <w:rPr>
                <w:rFonts w:ascii="Times New Roman" w:hAnsi="Times New Roman"/>
              </w:rPr>
            </w:pPr>
            <w:r w:rsidRPr="00675B9B">
              <w:rPr>
                <w:rFonts w:ascii="Times New Roman" w:hAnsi="Times New Roman"/>
              </w:rPr>
              <w:t>New York</w:t>
            </w:r>
          </w:p>
        </w:tc>
        <w:tc>
          <w:tcPr>
            <w:tcW w:w="600" w:type="pct"/>
            <w:tcBorders>
              <w:top w:val="nil"/>
              <w:left w:val="nil"/>
              <w:bottom w:val="nil"/>
              <w:right w:val="nil"/>
            </w:tcBorders>
            <w:vAlign w:val="bottom"/>
          </w:tcPr>
          <w:p w14:paraId="4393C3B3" w14:textId="77777777" w:rsidR="00D11173" w:rsidRPr="00675B9B" w:rsidRDefault="00F766BC" w:rsidP="00752DF8">
            <w:pPr>
              <w:jc w:val="center"/>
              <w:rPr>
                <w:rFonts w:ascii="Times New Roman" w:hAnsi="Times New Roman"/>
              </w:rPr>
            </w:pPr>
            <w:r w:rsidRPr="00675B9B">
              <w:rPr>
                <w:rFonts w:ascii="Times New Roman" w:hAnsi="Times New Roman"/>
              </w:rPr>
              <w:t>Yes</w:t>
            </w:r>
          </w:p>
        </w:tc>
        <w:tc>
          <w:tcPr>
            <w:tcW w:w="793" w:type="pct"/>
            <w:tcBorders>
              <w:top w:val="nil"/>
              <w:left w:val="nil"/>
              <w:bottom w:val="nil"/>
              <w:right w:val="nil"/>
            </w:tcBorders>
            <w:vAlign w:val="bottom"/>
          </w:tcPr>
          <w:p w14:paraId="16C791BB" w14:textId="77777777" w:rsidR="00D11173" w:rsidRPr="00675B9B" w:rsidRDefault="00F766BC" w:rsidP="00752DF8">
            <w:pPr>
              <w:jc w:val="center"/>
              <w:rPr>
                <w:rFonts w:ascii="Times New Roman" w:hAnsi="Times New Roman"/>
              </w:rPr>
            </w:pPr>
            <w:r w:rsidRPr="00675B9B">
              <w:rPr>
                <w:rFonts w:ascii="Times New Roman" w:hAnsi="Times New Roman"/>
              </w:rPr>
              <w:t>1976</w:t>
            </w:r>
          </w:p>
        </w:tc>
        <w:tc>
          <w:tcPr>
            <w:tcW w:w="339" w:type="pct"/>
            <w:tcBorders>
              <w:top w:val="nil"/>
              <w:left w:val="nil"/>
              <w:bottom w:val="nil"/>
              <w:right w:val="nil"/>
            </w:tcBorders>
            <w:vAlign w:val="bottom"/>
          </w:tcPr>
          <w:p w14:paraId="012E80DD" w14:textId="77777777" w:rsidR="00D11173" w:rsidRPr="00675B9B" w:rsidRDefault="00F766BC" w:rsidP="00752DF8">
            <w:pPr>
              <w:jc w:val="center"/>
              <w:rPr>
                <w:rFonts w:ascii="Times New Roman" w:hAnsi="Times New Roman"/>
              </w:rPr>
            </w:pPr>
            <w:r w:rsidRPr="00675B9B">
              <w:rPr>
                <w:rFonts w:ascii="Times New Roman" w:hAnsi="Times New Roman"/>
              </w:rPr>
              <w:t>1867</w:t>
            </w:r>
          </w:p>
        </w:tc>
        <w:tc>
          <w:tcPr>
            <w:tcW w:w="428" w:type="pct"/>
            <w:tcBorders>
              <w:top w:val="nil"/>
              <w:left w:val="nil"/>
              <w:bottom w:val="nil"/>
              <w:right w:val="nil"/>
            </w:tcBorders>
            <w:vAlign w:val="bottom"/>
          </w:tcPr>
          <w:p w14:paraId="70124E29" w14:textId="77777777" w:rsidR="00D11173" w:rsidRPr="00675B9B" w:rsidRDefault="00F766BC" w:rsidP="00752DF8">
            <w:pPr>
              <w:jc w:val="center"/>
              <w:rPr>
                <w:rFonts w:ascii="Times New Roman" w:hAnsi="Times New Roman"/>
              </w:rPr>
            </w:pPr>
            <w:r w:rsidRPr="00675B9B">
              <w:rPr>
                <w:rFonts w:ascii="Times New Roman" w:hAnsi="Times New Roman"/>
              </w:rPr>
              <w:t>26.6%</w:t>
            </w:r>
          </w:p>
        </w:tc>
      </w:tr>
      <w:tr w:rsidR="00F766BC" w14:paraId="505E42D5" w14:textId="77777777" w:rsidTr="004C2025">
        <w:tc>
          <w:tcPr>
            <w:tcW w:w="2839" w:type="pct"/>
            <w:tcBorders>
              <w:top w:val="nil"/>
              <w:left w:val="nil"/>
              <w:bottom w:val="nil"/>
              <w:right w:val="nil"/>
            </w:tcBorders>
            <w:vAlign w:val="bottom"/>
          </w:tcPr>
          <w:p w14:paraId="7CDCE6C3" w14:textId="77777777" w:rsidR="00D11173" w:rsidRPr="00675B9B" w:rsidRDefault="00D11173" w:rsidP="00897330">
            <w:pPr>
              <w:ind w:left="360"/>
              <w:rPr>
                <w:rFonts w:ascii="Times New Roman" w:hAnsi="Times New Roman"/>
              </w:rPr>
            </w:pPr>
            <w:r w:rsidRPr="00675B9B">
              <w:rPr>
                <w:rFonts w:ascii="Times New Roman" w:hAnsi="Times New Roman"/>
              </w:rPr>
              <w:t>North Carolina</w:t>
            </w:r>
          </w:p>
        </w:tc>
        <w:tc>
          <w:tcPr>
            <w:tcW w:w="600" w:type="pct"/>
            <w:tcBorders>
              <w:top w:val="nil"/>
              <w:left w:val="nil"/>
              <w:bottom w:val="nil"/>
              <w:right w:val="nil"/>
            </w:tcBorders>
            <w:vAlign w:val="bottom"/>
          </w:tcPr>
          <w:p w14:paraId="418DCEC3"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nil"/>
              <w:left w:val="nil"/>
              <w:bottom w:val="nil"/>
              <w:right w:val="nil"/>
            </w:tcBorders>
            <w:vAlign w:val="bottom"/>
          </w:tcPr>
          <w:p w14:paraId="7841D57E" w14:textId="77777777" w:rsidR="00D11173" w:rsidRPr="00675B9B" w:rsidRDefault="00F766BC" w:rsidP="00752DF8">
            <w:pPr>
              <w:jc w:val="center"/>
              <w:rPr>
                <w:rFonts w:ascii="Times New Roman" w:hAnsi="Times New Roman"/>
              </w:rPr>
            </w:pPr>
            <w:r w:rsidRPr="00675B9B">
              <w:rPr>
                <w:rFonts w:ascii="Times New Roman" w:hAnsi="Times New Roman"/>
              </w:rPr>
              <w:t>1999</w:t>
            </w:r>
          </w:p>
        </w:tc>
        <w:tc>
          <w:tcPr>
            <w:tcW w:w="339" w:type="pct"/>
            <w:tcBorders>
              <w:top w:val="nil"/>
              <w:left w:val="nil"/>
              <w:bottom w:val="nil"/>
              <w:right w:val="nil"/>
            </w:tcBorders>
            <w:vAlign w:val="bottom"/>
          </w:tcPr>
          <w:p w14:paraId="10A84DFE" w14:textId="77777777" w:rsidR="00D11173" w:rsidRPr="00675B9B" w:rsidRDefault="00F766BC" w:rsidP="00752DF8">
            <w:pPr>
              <w:jc w:val="center"/>
              <w:rPr>
                <w:rFonts w:ascii="Times New Roman" w:hAnsi="Times New Roman"/>
              </w:rPr>
            </w:pPr>
            <w:r w:rsidRPr="00675B9B">
              <w:rPr>
                <w:rFonts w:ascii="Times New Roman" w:hAnsi="Times New Roman"/>
              </w:rPr>
              <w:t>57</w:t>
            </w:r>
          </w:p>
        </w:tc>
        <w:tc>
          <w:tcPr>
            <w:tcW w:w="428" w:type="pct"/>
            <w:tcBorders>
              <w:top w:val="nil"/>
              <w:left w:val="nil"/>
              <w:bottom w:val="nil"/>
              <w:right w:val="nil"/>
            </w:tcBorders>
            <w:vAlign w:val="bottom"/>
          </w:tcPr>
          <w:p w14:paraId="23C4CFA2" w14:textId="77777777" w:rsidR="00D11173" w:rsidRPr="00675B9B" w:rsidRDefault="00F766BC" w:rsidP="00752DF8">
            <w:pPr>
              <w:jc w:val="center"/>
              <w:rPr>
                <w:rFonts w:ascii="Times New Roman" w:hAnsi="Times New Roman"/>
              </w:rPr>
            </w:pPr>
            <w:r w:rsidRPr="00675B9B">
              <w:rPr>
                <w:rFonts w:ascii="Times New Roman" w:hAnsi="Times New Roman"/>
              </w:rPr>
              <w:t>0.8%</w:t>
            </w:r>
          </w:p>
        </w:tc>
      </w:tr>
      <w:tr w:rsidR="00F766BC" w14:paraId="02C6E186" w14:textId="77777777" w:rsidTr="004C2025">
        <w:tc>
          <w:tcPr>
            <w:tcW w:w="2839" w:type="pct"/>
            <w:tcBorders>
              <w:top w:val="nil"/>
              <w:left w:val="nil"/>
              <w:bottom w:val="nil"/>
              <w:right w:val="nil"/>
            </w:tcBorders>
            <w:vAlign w:val="bottom"/>
          </w:tcPr>
          <w:p w14:paraId="4B36BC12" w14:textId="77777777" w:rsidR="00D11173" w:rsidRPr="00675B9B" w:rsidRDefault="00D11173" w:rsidP="00897330">
            <w:pPr>
              <w:ind w:left="360"/>
              <w:rPr>
                <w:rFonts w:ascii="Times New Roman" w:hAnsi="Times New Roman"/>
              </w:rPr>
            </w:pPr>
            <w:r w:rsidRPr="00675B9B">
              <w:rPr>
                <w:rFonts w:ascii="Times New Roman" w:hAnsi="Times New Roman"/>
              </w:rPr>
              <w:t>Rhode Island</w:t>
            </w:r>
          </w:p>
        </w:tc>
        <w:tc>
          <w:tcPr>
            <w:tcW w:w="600" w:type="pct"/>
            <w:tcBorders>
              <w:top w:val="nil"/>
              <w:left w:val="nil"/>
              <w:bottom w:val="nil"/>
              <w:right w:val="nil"/>
            </w:tcBorders>
            <w:vAlign w:val="bottom"/>
          </w:tcPr>
          <w:p w14:paraId="0DD9DE73"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nil"/>
              <w:left w:val="nil"/>
              <w:bottom w:val="nil"/>
              <w:right w:val="nil"/>
            </w:tcBorders>
            <w:vAlign w:val="bottom"/>
          </w:tcPr>
          <w:p w14:paraId="7A37A86E" w14:textId="77777777" w:rsidR="00D11173" w:rsidRPr="00675B9B" w:rsidRDefault="00F766BC" w:rsidP="00752DF8">
            <w:pPr>
              <w:jc w:val="center"/>
              <w:rPr>
                <w:rFonts w:ascii="Times New Roman" w:hAnsi="Times New Roman"/>
              </w:rPr>
            </w:pPr>
            <w:r w:rsidRPr="00675B9B">
              <w:rPr>
                <w:rFonts w:ascii="Times New Roman" w:hAnsi="Times New Roman"/>
              </w:rPr>
              <w:t>1986</w:t>
            </w:r>
          </w:p>
        </w:tc>
        <w:tc>
          <w:tcPr>
            <w:tcW w:w="339" w:type="pct"/>
            <w:tcBorders>
              <w:top w:val="nil"/>
              <w:left w:val="nil"/>
              <w:bottom w:val="nil"/>
              <w:right w:val="nil"/>
            </w:tcBorders>
            <w:vAlign w:val="bottom"/>
          </w:tcPr>
          <w:p w14:paraId="44458F2E" w14:textId="77777777" w:rsidR="00D11173" w:rsidRPr="00675B9B" w:rsidRDefault="00F766BC" w:rsidP="00752DF8">
            <w:pPr>
              <w:jc w:val="center"/>
              <w:rPr>
                <w:rFonts w:ascii="Times New Roman" w:hAnsi="Times New Roman"/>
              </w:rPr>
            </w:pPr>
            <w:r w:rsidRPr="00675B9B">
              <w:rPr>
                <w:rFonts w:ascii="Times New Roman" w:hAnsi="Times New Roman"/>
              </w:rPr>
              <w:t>77</w:t>
            </w:r>
          </w:p>
        </w:tc>
        <w:tc>
          <w:tcPr>
            <w:tcW w:w="428" w:type="pct"/>
            <w:tcBorders>
              <w:top w:val="nil"/>
              <w:left w:val="nil"/>
              <w:bottom w:val="nil"/>
              <w:right w:val="nil"/>
            </w:tcBorders>
            <w:vAlign w:val="bottom"/>
          </w:tcPr>
          <w:p w14:paraId="3B929E12" w14:textId="77777777" w:rsidR="00D11173" w:rsidRPr="00675B9B" w:rsidRDefault="00F766BC" w:rsidP="00752DF8">
            <w:pPr>
              <w:jc w:val="center"/>
              <w:rPr>
                <w:rFonts w:ascii="Times New Roman" w:hAnsi="Times New Roman"/>
              </w:rPr>
            </w:pPr>
            <w:r w:rsidRPr="00675B9B">
              <w:rPr>
                <w:rFonts w:ascii="Times New Roman" w:hAnsi="Times New Roman"/>
              </w:rPr>
              <w:t>1.1%</w:t>
            </w:r>
          </w:p>
        </w:tc>
      </w:tr>
      <w:tr w:rsidR="00F766BC" w14:paraId="15DBCF38" w14:textId="77777777" w:rsidTr="004C2025">
        <w:tc>
          <w:tcPr>
            <w:tcW w:w="2839" w:type="pct"/>
            <w:tcBorders>
              <w:top w:val="nil"/>
              <w:left w:val="nil"/>
              <w:bottom w:val="nil"/>
              <w:right w:val="nil"/>
            </w:tcBorders>
            <w:vAlign w:val="bottom"/>
          </w:tcPr>
          <w:p w14:paraId="22C68203" w14:textId="77777777" w:rsidR="00D11173" w:rsidRPr="00675B9B" w:rsidRDefault="00D11173" w:rsidP="00897330">
            <w:pPr>
              <w:ind w:left="360"/>
              <w:rPr>
                <w:rFonts w:ascii="Times New Roman" w:hAnsi="Times New Roman"/>
              </w:rPr>
            </w:pPr>
            <w:r w:rsidRPr="00675B9B">
              <w:rPr>
                <w:rFonts w:ascii="Times New Roman" w:hAnsi="Times New Roman"/>
              </w:rPr>
              <w:t>Texas</w:t>
            </w:r>
          </w:p>
        </w:tc>
        <w:tc>
          <w:tcPr>
            <w:tcW w:w="600" w:type="pct"/>
            <w:tcBorders>
              <w:top w:val="nil"/>
              <w:left w:val="nil"/>
              <w:bottom w:val="nil"/>
              <w:right w:val="nil"/>
            </w:tcBorders>
            <w:vAlign w:val="bottom"/>
          </w:tcPr>
          <w:p w14:paraId="347666A3"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nil"/>
              <w:left w:val="nil"/>
              <w:bottom w:val="nil"/>
              <w:right w:val="nil"/>
            </w:tcBorders>
            <w:vAlign w:val="bottom"/>
          </w:tcPr>
          <w:p w14:paraId="3D4C58E0" w14:textId="77777777" w:rsidR="00D11173" w:rsidRPr="00675B9B" w:rsidRDefault="00F766BC" w:rsidP="00752DF8">
            <w:pPr>
              <w:jc w:val="center"/>
              <w:rPr>
                <w:rFonts w:ascii="Times New Roman" w:hAnsi="Times New Roman"/>
              </w:rPr>
            </w:pPr>
            <w:r w:rsidRPr="00675B9B">
              <w:rPr>
                <w:rFonts w:ascii="Times New Roman" w:hAnsi="Times New Roman"/>
              </w:rPr>
              <w:t>1995</w:t>
            </w:r>
          </w:p>
        </w:tc>
        <w:tc>
          <w:tcPr>
            <w:tcW w:w="339" w:type="pct"/>
            <w:tcBorders>
              <w:top w:val="nil"/>
              <w:left w:val="nil"/>
              <w:bottom w:val="nil"/>
              <w:right w:val="nil"/>
            </w:tcBorders>
            <w:vAlign w:val="bottom"/>
          </w:tcPr>
          <w:p w14:paraId="34FA652A" w14:textId="77777777" w:rsidR="00D11173" w:rsidRPr="00675B9B" w:rsidRDefault="00F766BC" w:rsidP="00752DF8">
            <w:pPr>
              <w:jc w:val="center"/>
              <w:rPr>
                <w:rFonts w:ascii="Times New Roman" w:hAnsi="Times New Roman"/>
              </w:rPr>
            </w:pPr>
            <w:r w:rsidRPr="00675B9B">
              <w:rPr>
                <w:rFonts w:ascii="Times New Roman" w:hAnsi="Times New Roman"/>
              </w:rPr>
              <w:t>54</w:t>
            </w:r>
          </w:p>
        </w:tc>
        <w:tc>
          <w:tcPr>
            <w:tcW w:w="428" w:type="pct"/>
            <w:tcBorders>
              <w:top w:val="nil"/>
              <w:left w:val="nil"/>
              <w:bottom w:val="nil"/>
              <w:right w:val="nil"/>
            </w:tcBorders>
            <w:vAlign w:val="bottom"/>
          </w:tcPr>
          <w:p w14:paraId="0507C34B" w14:textId="77777777" w:rsidR="00D11173" w:rsidRPr="00675B9B" w:rsidRDefault="00F766BC" w:rsidP="00752DF8">
            <w:pPr>
              <w:jc w:val="center"/>
              <w:rPr>
                <w:rFonts w:ascii="Times New Roman" w:hAnsi="Times New Roman"/>
              </w:rPr>
            </w:pPr>
            <w:r w:rsidRPr="00675B9B">
              <w:rPr>
                <w:rFonts w:ascii="Times New Roman" w:hAnsi="Times New Roman"/>
              </w:rPr>
              <w:t>0.8%</w:t>
            </w:r>
          </w:p>
        </w:tc>
      </w:tr>
      <w:tr w:rsidR="00F766BC" w:rsidRPr="00F766BC" w14:paraId="23C7E8C2" w14:textId="77777777" w:rsidTr="004C2025">
        <w:tc>
          <w:tcPr>
            <w:tcW w:w="2839" w:type="pct"/>
            <w:tcBorders>
              <w:top w:val="nil"/>
              <w:left w:val="nil"/>
              <w:bottom w:val="nil"/>
              <w:right w:val="nil"/>
            </w:tcBorders>
            <w:vAlign w:val="bottom"/>
          </w:tcPr>
          <w:p w14:paraId="2CA948F3" w14:textId="77777777" w:rsidR="00D11173" w:rsidRPr="00675B9B" w:rsidRDefault="00D11173" w:rsidP="000C09E0">
            <w:pPr>
              <w:rPr>
                <w:rFonts w:ascii="Times New Roman" w:hAnsi="Times New Roman"/>
              </w:rPr>
            </w:pPr>
            <w:r w:rsidRPr="00675B9B">
              <w:rPr>
                <w:rFonts w:ascii="Times New Roman" w:hAnsi="Times New Roman"/>
              </w:rPr>
              <w:t>Total in registry states</w:t>
            </w:r>
          </w:p>
        </w:tc>
        <w:tc>
          <w:tcPr>
            <w:tcW w:w="600" w:type="pct"/>
            <w:tcBorders>
              <w:top w:val="nil"/>
              <w:left w:val="nil"/>
              <w:bottom w:val="nil"/>
              <w:right w:val="nil"/>
            </w:tcBorders>
            <w:vAlign w:val="bottom"/>
          </w:tcPr>
          <w:p w14:paraId="75604F31" w14:textId="77777777" w:rsidR="00D11173" w:rsidRPr="00675B9B" w:rsidRDefault="00D11173" w:rsidP="00752DF8">
            <w:pPr>
              <w:jc w:val="center"/>
              <w:rPr>
                <w:rFonts w:ascii="Times New Roman" w:hAnsi="Times New Roman"/>
              </w:rPr>
            </w:pPr>
          </w:p>
        </w:tc>
        <w:tc>
          <w:tcPr>
            <w:tcW w:w="793" w:type="pct"/>
            <w:tcBorders>
              <w:top w:val="nil"/>
              <w:left w:val="nil"/>
              <w:bottom w:val="nil"/>
              <w:right w:val="nil"/>
            </w:tcBorders>
            <w:vAlign w:val="bottom"/>
          </w:tcPr>
          <w:p w14:paraId="0ACAFE7E" w14:textId="77777777" w:rsidR="00D11173" w:rsidRPr="00675B9B" w:rsidRDefault="00D11173" w:rsidP="00752DF8">
            <w:pPr>
              <w:jc w:val="center"/>
              <w:rPr>
                <w:rFonts w:ascii="Times New Roman" w:hAnsi="Times New Roman"/>
              </w:rPr>
            </w:pPr>
          </w:p>
        </w:tc>
        <w:tc>
          <w:tcPr>
            <w:tcW w:w="339" w:type="pct"/>
            <w:tcBorders>
              <w:top w:val="nil"/>
              <w:left w:val="nil"/>
              <w:bottom w:val="nil"/>
              <w:right w:val="nil"/>
            </w:tcBorders>
            <w:vAlign w:val="bottom"/>
          </w:tcPr>
          <w:p w14:paraId="2891ECA2" w14:textId="77777777" w:rsidR="00D11173" w:rsidRPr="00675B9B" w:rsidRDefault="00F766BC" w:rsidP="00752DF8">
            <w:pPr>
              <w:jc w:val="center"/>
              <w:rPr>
                <w:rFonts w:ascii="Times New Roman" w:hAnsi="Times New Roman"/>
              </w:rPr>
            </w:pPr>
            <w:r w:rsidRPr="00675B9B">
              <w:rPr>
                <w:rFonts w:ascii="Times New Roman" w:hAnsi="Times New Roman"/>
              </w:rPr>
              <w:t>6055</w:t>
            </w:r>
          </w:p>
        </w:tc>
        <w:tc>
          <w:tcPr>
            <w:tcW w:w="428" w:type="pct"/>
            <w:tcBorders>
              <w:top w:val="nil"/>
              <w:left w:val="nil"/>
              <w:bottom w:val="nil"/>
              <w:right w:val="nil"/>
            </w:tcBorders>
            <w:vAlign w:val="bottom"/>
          </w:tcPr>
          <w:p w14:paraId="012FD9EC" w14:textId="77777777" w:rsidR="00D11173" w:rsidRPr="00675B9B" w:rsidRDefault="00F766BC" w:rsidP="00752DF8">
            <w:pPr>
              <w:jc w:val="center"/>
              <w:rPr>
                <w:rFonts w:ascii="Times New Roman" w:hAnsi="Times New Roman"/>
              </w:rPr>
            </w:pPr>
            <w:r w:rsidRPr="00675B9B">
              <w:rPr>
                <w:rFonts w:ascii="Times New Roman" w:hAnsi="Times New Roman"/>
              </w:rPr>
              <w:t>86.4%</w:t>
            </w:r>
          </w:p>
        </w:tc>
      </w:tr>
      <w:tr w:rsidR="00F766BC" w14:paraId="27DAE7AB" w14:textId="77777777" w:rsidTr="004C2025">
        <w:tc>
          <w:tcPr>
            <w:tcW w:w="2839" w:type="pct"/>
            <w:tcBorders>
              <w:top w:val="nil"/>
              <w:left w:val="nil"/>
              <w:bottom w:val="nil"/>
              <w:right w:val="nil"/>
            </w:tcBorders>
            <w:vAlign w:val="bottom"/>
          </w:tcPr>
          <w:p w14:paraId="473932E5" w14:textId="77777777" w:rsidR="00D11173" w:rsidRPr="00675B9B" w:rsidRDefault="00D11173" w:rsidP="004C2025">
            <w:pPr>
              <w:ind w:left="360"/>
              <w:rPr>
                <w:rFonts w:ascii="Times New Roman" w:hAnsi="Times New Roman"/>
              </w:rPr>
            </w:pPr>
            <w:r w:rsidRPr="00675B9B">
              <w:rPr>
                <w:rFonts w:ascii="Times New Roman" w:hAnsi="Times New Roman"/>
              </w:rPr>
              <w:t>Other states, territories, or District of Columbia</w:t>
            </w:r>
          </w:p>
        </w:tc>
        <w:tc>
          <w:tcPr>
            <w:tcW w:w="600" w:type="pct"/>
            <w:tcBorders>
              <w:top w:val="nil"/>
              <w:left w:val="nil"/>
              <w:bottom w:val="nil"/>
              <w:right w:val="nil"/>
            </w:tcBorders>
            <w:vAlign w:val="bottom"/>
          </w:tcPr>
          <w:p w14:paraId="7862470E"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nil"/>
              <w:left w:val="nil"/>
              <w:bottom w:val="nil"/>
              <w:right w:val="nil"/>
            </w:tcBorders>
            <w:vAlign w:val="bottom"/>
          </w:tcPr>
          <w:p w14:paraId="6D4CCDBB" w14:textId="77777777" w:rsidR="00D11173" w:rsidRPr="00675B9B" w:rsidRDefault="00D11173" w:rsidP="00752DF8">
            <w:pPr>
              <w:jc w:val="center"/>
              <w:rPr>
                <w:rFonts w:ascii="Times New Roman" w:hAnsi="Times New Roman"/>
              </w:rPr>
            </w:pPr>
          </w:p>
        </w:tc>
        <w:tc>
          <w:tcPr>
            <w:tcW w:w="339" w:type="pct"/>
            <w:tcBorders>
              <w:top w:val="nil"/>
              <w:left w:val="nil"/>
              <w:bottom w:val="nil"/>
              <w:right w:val="nil"/>
            </w:tcBorders>
            <w:vAlign w:val="bottom"/>
          </w:tcPr>
          <w:p w14:paraId="367D83A2" w14:textId="77777777" w:rsidR="00D11173" w:rsidRPr="00675B9B" w:rsidRDefault="00F766BC" w:rsidP="00752DF8">
            <w:pPr>
              <w:jc w:val="center"/>
              <w:rPr>
                <w:rFonts w:ascii="Times New Roman" w:hAnsi="Times New Roman"/>
              </w:rPr>
            </w:pPr>
            <w:r w:rsidRPr="00675B9B">
              <w:rPr>
                <w:rFonts w:ascii="Times New Roman" w:hAnsi="Times New Roman"/>
              </w:rPr>
              <w:t>872</w:t>
            </w:r>
          </w:p>
        </w:tc>
        <w:tc>
          <w:tcPr>
            <w:tcW w:w="428" w:type="pct"/>
            <w:tcBorders>
              <w:top w:val="nil"/>
              <w:left w:val="nil"/>
              <w:bottom w:val="nil"/>
              <w:right w:val="nil"/>
            </w:tcBorders>
            <w:vAlign w:val="bottom"/>
          </w:tcPr>
          <w:p w14:paraId="082FABB5" w14:textId="77777777" w:rsidR="00D11173" w:rsidRPr="00675B9B" w:rsidRDefault="00F766BC" w:rsidP="00752DF8">
            <w:pPr>
              <w:jc w:val="center"/>
              <w:rPr>
                <w:rFonts w:ascii="Times New Roman" w:hAnsi="Times New Roman"/>
              </w:rPr>
            </w:pPr>
            <w:r w:rsidRPr="00675B9B">
              <w:rPr>
                <w:rFonts w:ascii="Times New Roman" w:hAnsi="Times New Roman"/>
              </w:rPr>
              <w:t>12.4%</w:t>
            </w:r>
          </w:p>
        </w:tc>
      </w:tr>
      <w:tr w:rsidR="00F766BC" w14:paraId="073DCA3C" w14:textId="77777777" w:rsidTr="004C2025">
        <w:tc>
          <w:tcPr>
            <w:tcW w:w="2839" w:type="pct"/>
            <w:tcBorders>
              <w:top w:val="nil"/>
              <w:left w:val="nil"/>
              <w:bottom w:val="nil"/>
              <w:right w:val="nil"/>
            </w:tcBorders>
            <w:vAlign w:val="bottom"/>
          </w:tcPr>
          <w:p w14:paraId="13F64558" w14:textId="77777777" w:rsidR="00D11173" w:rsidRPr="00675B9B" w:rsidRDefault="00D11173" w:rsidP="004C2025">
            <w:pPr>
              <w:ind w:left="360"/>
              <w:rPr>
                <w:rFonts w:ascii="Times New Roman" w:hAnsi="Times New Roman"/>
              </w:rPr>
            </w:pPr>
            <w:r w:rsidRPr="00675B9B">
              <w:rPr>
                <w:rFonts w:ascii="Times New Roman" w:hAnsi="Times New Roman"/>
              </w:rPr>
              <w:t>Unknown</w:t>
            </w:r>
          </w:p>
        </w:tc>
        <w:tc>
          <w:tcPr>
            <w:tcW w:w="600" w:type="pct"/>
            <w:tcBorders>
              <w:top w:val="nil"/>
              <w:left w:val="nil"/>
              <w:bottom w:val="nil"/>
              <w:right w:val="nil"/>
            </w:tcBorders>
            <w:vAlign w:val="bottom"/>
          </w:tcPr>
          <w:p w14:paraId="69CEF99D" w14:textId="77777777" w:rsidR="00D11173" w:rsidRPr="00675B9B" w:rsidRDefault="00F766BC" w:rsidP="00752DF8">
            <w:pPr>
              <w:jc w:val="center"/>
              <w:rPr>
                <w:rFonts w:ascii="Times New Roman" w:hAnsi="Times New Roman"/>
              </w:rPr>
            </w:pPr>
            <w:r w:rsidRPr="00675B9B">
              <w:rPr>
                <w:rFonts w:ascii="Times New Roman" w:hAnsi="Times New Roman"/>
              </w:rPr>
              <w:t>No</w:t>
            </w:r>
          </w:p>
        </w:tc>
        <w:tc>
          <w:tcPr>
            <w:tcW w:w="793" w:type="pct"/>
            <w:tcBorders>
              <w:top w:val="nil"/>
              <w:left w:val="nil"/>
              <w:bottom w:val="nil"/>
              <w:right w:val="nil"/>
            </w:tcBorders>
            <w:vAlign w:val="bottom"/>
          </w:tcPr>
          <w:p w14:paraId="444AE22A" w14:textId="77777777" w:rsidR="00D11173" w:rsidRPr="00675B9B" w:rsidRDefault="00D11173" w:rsidP="00752DF8">
            <w:pPr>
              <w:jc w:val="center"/>
              <w:rPr>
                <w:rFonts w:ascii="Times New Roman" w:hAnsi="Times New Roman"/>
              </w:rPr>
            </w:pPr>
          </w:p>
        </w:tc>
        <w:tc>
          <w:tcPr>
            <w:tcW w:w="339" w:type="pct"/>
            <w:tcBorders>
              <w:top w:val="nil"/>
              <w:left w:val="nil"/>
              <w:bottom w:val="nil"/>
              <w:right w:val="nil"/>
            </w:tcBorders>
            <w:vAlign w:val="bottom"/>
          </w:tcPr>
          <w:p w14:paraId="07D32ED7" w14:textId="77777777" w:rsidR="00D11173" w:rsidRPr="00675B9B" w:rsidRDefault="00F766BC" w:rsidP="00752DF8">
            <w:pPr>
              <w:jc w:val="center"/>
              <w:rPr>
                <w:rFonts w:ascii="Times New Roman" w:hAnsi="Times New Roman"/>
              </w:rPr>
            </w:pPr>
            <w:r w:rsidRPr="00675B9B">
              <w:rPr>
                <w:rFonts w:ascii="Times New Roman" w:hAnsi="Times New Roman"/>
              </w:rPr>
              <w:t>79</w:t>
            </w:r>
          </w:p>
        </w:tc>
        <w:tc>
          <w:tcPr>
            <w:tcW w:w="428" w:type="pct"/>
            <w:tcBorders>
              <w:top w:val="nil"/>
              <w:left w:val="nil"/>
              <w:bottom w:val="nil"/>
              <w:right w:val="nil"/>
            </w:tcBorders>
            <w:vAlign w:val="bottom"/>
          </w:tcPr>
          <w:p w14:paraId="4BB8AFD1" w14:textId="77777777" w:rsidR="00D11173" w:rsidRPr="00675B9B" w:rsidRDefault="00F766BC" w:rsidP="00752DF8">
            <w:pPr>
              <w:jc w:val="center"/>
              <w:rPr>
                <w:rFonts w:ascii="Times New Roman" w:hAnsi="Times New Roman"/>
              </w:rPr>
            </w:pPr>
            <w:r w:rsidRPr="00675B9B">
              <w:rPr>
                <w:rFonts w:ascii="Times New Roman" w:hAnsi="Times New Roman"/>
              </w:rPr>
              <w:t>1.1%</w:t>
            </w:r>
          </w:p>
        </w:tc>
      </w:tr>
      <w:tr w:rsidR="00F766BC" w:rsidRPr="00F766BC" w14:paraId="6714C117" w14:textId="77777777" w:rsidTr="004C2025">
        <w:tc>
          <w:tcPr>
            <w:tcW w:w="2839" w:type="pct"/>
            <w:tcBorders>
              <w:top w:val="nil"/>
              <w:left w:val="nil"/>
              <w:bottom w:val="single" w:sz="4" w:space="0" w:color="auto"/>
              <w:right w:val="nil"/>
            </w:tcBorders>
            <w:vAlign w:val="bottom"/>
          </w:tcPr>
          <w:p w14:paraId="68840316" w14:textId="77777777" w:rsidR="00D11173" w:rsidRPr="00675B9B" w:rsidRDefault="00D11173" w:rsidP="000C09E0">
            <w:pPr>
              <w:rPr>
                <w:rFonts w:ascii="Times New Roman" w:hAnsi="Times New Roman"/>
              </w:rPr>
            </w:pPr>
            <w:r w:rsidRPr="00675B9B">
              <w:rPr>
                <w:rFonts w:ascii="Times New Roman" w:hAnsi="Times New Roman"/>
              </w:rPr>
              <w:t>Total</w:t>
            </w:r>
          </w:p>
        </w:tc>
        <w:tc>
          <w:tcPr>
            <w:tcW w:w="600" w:type="pct"/>
            <w:tcBorders>
              <w:top w:val="nil"/>
              <w:left w:val="nil"/>
              <w:bottom w:val="single" w:sz="4" w:space="0" w:color="auto"/>
              <w:right w:val="nil"/>
            </w:tcBorders>
            <w:vAlign w:val="bottom"/>
          </w:tcPr>
          <w:p w14:paraId="2B77520A" w14:textId="77777777" w:rsidR="00D11173" w:rsidRPr="00675B9B" w:rsidRDefault="00D11173" w:rsidP="00752DF8">
            <w:pPr>
              <w:jc w:val="center"/>
              <w:rPr>
                <w:rFonts w:ascii="Times New Roman" w:hAnsi="Times New Roman"/>
              </w:rPr>
            </w:pPr>
          </w:p>
        </w:tc>
        <w:tc>
          <w:tcPr>
            <w:tcW w:w="793" w:type="pct"/>
            <w:tcBorders>
              <w:top w:val="nil"/>
              <w:left w:val="nil"/>
              <w:bottom w:val="single" w:sz="4" w:space="0" w:color="auto"/>
              <w:right w:val="nil"/>
            </w:tcBorders>
            <w:vAlign w:val="bottom"/>
          </w:tcPr>
          <w:p w14:paraId="1B930474" w14:textId="77777777" w:rsidR="00D11173" w:rsidRPr="00675B9B" w:rsidRDefault="00D11173" w:rsidP="00752DF8">
            <w:pPr>
              <w:jc w:val="center"/>
              <w:rPr>
                <w:rFonts w:ascii="Times New Roman" w:hAnsi="Times New Roman"/>
              </w:rPr>
            </w:pPr>
          </w:p>
        </w:tc>
        <w:tc>
          <w:tcPr>
            <w:tcW w:w="339" w:type="pct"/>
            <w:tcBorders>
              <w:top w:val="nil"/>
              <w:left w:val="nil"/>
              <w:bottom w:val="single" w:sz="4" w:space="0" w:color="auto"/>
              <w:right w:val="nil"/>
            </w:tcBorders>
            <w:vAlign w:val="bottom"/>
          </w:tcPr>
          <w:p w14:paraId="721EA02B" w14:textId="77777777" w:rsidR="00D11173" w:rsidRPr="00675B9B" w:rsidRDefault="00F766BC" w:rsidP="00752DF8">
            <w:pPr>
              <w:jc w:val="center"/>
              <w:rPr>
                <w:rFonts w:ascii="Times New Roman" w:hAnsi="Times New Roman"/>
              </w:rPr>
            </w:pPr>
            <w:r w:rsidRPr="00675B9B">
              <w:rPr>
                <w:rFonts w:ascii="Times New Roman" w:hAnsi="Times New Roman"/>
              </w:rPr>
              <w:t>7006</w:t>
            </w:r>
          </w:p>
        </w:tc>
        <w:tc>
          <w:tcPr>
            <w:tcW w:w="428" w:type="pct"/>
            <w:tcBorders>
              <w:top w:val="nil"/>
              <w:left w:val="nil"/>
              <w:bottom w:val="single" w:sz="4" w:space="0" w:color="auto"/>
              <w:right w:val="nil"/>
            </w:tcBorders>
            <w:vAlign w:val="bottom"/>
          </w:tcPr>
          <w:p w14:paraId="1BF37D25" w14:textId="77777777" w:rsidR="00D11173" w:rsidRPr="00675B9B" w:rsidRDefault="00F766BC" w:rsidP="00752DF8">
            <w:pPr>
              <w:jc w:val="center"/>
              <w:rPr>
                <w:rFonts w:ascii="Times New Roman" w:hAnsi="Times New Roman"/>
              </w:rPr>
            </w:pPr>
            <w:r w:rsidRPr="00675B9B">
              <w:rPr>
                <w:rFonts w:ascii="Times New Roman" w:hAnsi="Times New Roman"/>
              </w:rPr>
              <w:t>100%</w:t>
            </w:r>
          </w:p>
        </w:tc>
      </w:tr>
    </w:tbl>
    <w:p w14:paraId="22408897" w14:textId="77777777" w:rsidR="00D11173" w:rsidRPr="00752DF8" w:rsidRDefault="00D11173" w:rsidP="00D11173">
      <w:pPr>
        <w:rPr>
          <w:rFonts w:ascii="Times New Roman" w:hAnsi="Times New Roman"/>
        </w:rPr>
      </w:pPr>
    </w:p>
    <w:p w14:paraId="20C4DEA7" w14:textId="77777777" w:rsidR="00D11173" w:rsidRDefault="00D11173" w:rsidP="00752DF8">
      <w:pPr>
        <w:spacing w:line="480" w:lineRule="auto"/>
        <w:rPr>
          <w:rFonts w:ascii="Times New Roman" w:eastAsia="Times New Roman" w:hAnsi="Times New Roman"/>
          <w:b/>
        </w:rPr>
        <w:sectPr w:rsidR="00D11173" w:rsidSect="00FB4618">
          <w:headerReference w:type="default" r:id="rId8"/>
          <w:footerReference w:type="default" r:id="rId9"/>
          <w:pgSz w:w="12240" w:h="15840" w:code="1"/>
          <w:pgMar w:top="1440" w:right="1440" w:bottom="1440" w:left="1440" w:header="720" w:footer="720" w:gutter="0"/>
          <w:cols w:space="720"/>
          <w:docGrid w:linePitch="360"/>
        </w:sectPr>
      </w:pPr>
    </w:p>
    <w:p w14:paraId="3B9E5F52" w14:textId="05881A33" w:rsidR="00CC7066" w:rsidRPr="008B2AB3" w:rsidRDefault="003D03A3" w:rsidP="00CC7066">
      <w:pPr>
        <w:rPr>
          <w:rFonts w:ascii="Times New Roman" w:eastAsia="Times New Roman" w:hAnsi="Times New Roman"/>
          <w:b/>
          <w:vertAlign w:val="superscript"/>
        </w:rPr>
      </w:pPr>
      <w:r w:rsidRPr="008B2AB3">
        <w:rPr>
          <w:rFonts w:ascii="Times New Roman" w:eastAsia="Times New Roman" w:hAnsi="Times New Roman"/>
          <w:b/>
        </w:rPr>
        <w:lastRenderedPageBreak/>
        <w:t xml:space="preserve">Supplemental </w:t>
      </w:r>
      <w:r w:rsidR="00CC7066" w:rsidRPr="008B2AB3">
        <w:rPr>
          <w:rFonts w:ascii="Times New Roman" w:eastAsia="Times New Roman" w:hAnsi="Times New Roman"/>
          <w:b/>
        </w:rPr>
        <w:t>Table S</w:t>
      </w:r>
      <w:r w:rsidR="000E588F" w:rsidRPr="008B2AB3">
        <w:rPr>
          <w:rFonts w:ascii="Times New Roman" w:eastAsia="Times New Roman" w:hAnsi="Times New Roman"/>
          <w:b/>
        </w:rPr>
        <w:t>2</w:t>
      </w:r>
      <w:r w:rsidR="004C2025" w:rsidRPr="008B2AB3">
        <w:rPr>
          <w:rFonts w:ascii="Times New Roman" w:eastAsia="Times New Roman" w:hAnsi="Times New Roman"/>
          <w:b/>
        </w:rPr>
        <w:t>:</w:t>
      </w:r>
      <w:r w:rsidR="00CC7066" w:rsidRPr="008B2AB3">
        <w:rPr>
          <w:rFonts w:ascii="Times New Roman" w:eastAsia="Times New Roman" w:hAnsi="Times New Roman"/>
          <w:b/>
        </w:rPr>
        <w:t xml:space="preserve"> Recode from ICD-O-3 codes reported by cancer incidence registries to diagnostic minor codes used in</w:t>
      </w:r>
      <w:r w:rsidR="004C2025" w:rsidRPr="008B2AB3">
        <w:rPr>
          <w:rFonts w:ascii="Times New Roman" w:eastAsia="Times New Roman" w:hAnsi="Times New Roman"/>
          <w:b/>
        </w:rPr>
        <w:t xml:space="preserve"> the</w:t>
      </w:r>
      <w:r w:rsidR="00CC7066" w:rsidRPr="008B2AB3">
        <w:rPr>
          <w:rFonts w:ascii="Times New Roman" w:eastAsia="Times New Roman" w:hAnsi="Times New Roman"/>
          <w:b/>
        </w:rPr>
        <w:t xml:space="preserve"> NIOSH L</w:t>
      </w:r>
      <w:r w:rsidR="004C2025" w:rsidRPr="008B2AB3">
        <w:rPr>
          <w:rFonts w:ascii="Times New Roman" w:eastAsia="Times New Roman" w:hAnsi="Times New Roman"/>
          <w:b/>
        </w:rPr>
        <w:t xml:space="preserve">ifetable Analysis System (LTAS.NET) </w:t>
      </w:r>
      <w:r w:rsidR="00CC7066" w:rsidRPr="008B2AB3">
        <w:rPr>
          <w:rFonts w:ascii="Times New Roman" w:eastAsia="Times New Roman" w:hAnsi="Times New Roman"/>
          <w:b/>
          <w:vertAlign w:val="superscript"/>
        </w:rPr>
        <w:t>1</w:t>
      </w:r>
    </w:p>
    <w:p w14:paraId="45BB9E89" w14:textId="77777777" w:rsidR="00CC7066" w:rsidRPr="000F0562" w:rsidRDefault="00CC7066" w:rsidP="00CC7066">
      <w:pPr>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2135"/>
        <w:gridCol w:w="845"/>
        <w:gridCol w:w="2105"/>
        <w:gridCol w:w="2059"/>
        <w:gridCol w:w="2165"/>
        <w:gridCol w:w="4361"/>
      </w:tblGrid>
      <w:tr w:rsidR="00CC7066" w:rsidRPr="004C2025" w14:paraId="69A953A8" w14:textId="77777777" w:rsidTr="00A94120">
        <w:trPr>
          <w:trHeight w:val="204"/>
          <w:tblHeader/>
        </w:trPr>
        <w:tc>
          <w:tcPr>
            <w:tcW w:w="781" w:type="pct"/>
          </w:tcPr>
          <w:p w14:paraId="49BDCE21" w14:textId="77777777" w:rsidR="00CC7066" w:rsidRPr="004C2025" w:rsidRDefault="00CC7066" w:rsidP="00CC7066">
            <w:pPr>
              <w:autoSpaceDE w:val="0"/>
              <w:autoSpaceDN w:val="0"/>
              <w:adjustRightInd w:val="0"/>
              <w:rPr>
                <w:rFonts w:ascii="Times New Roman" w:eastAsia="Times New Roman" w:hAnsi="Times New Roman"/>
              </w:rPr>
            </w:pPr>
            <w:r w:rsidRPr="004C2025">
              <w:rPr>
                <w:rFonts w:ascii="Times New Roman" w:eastAsia="Times New Roman" w:hAnsi="Times New Roman"/>
                <w:bCs/>
              </w:rPr>
              <w:t xml:space="preserve">Major Category </w:t>
            </w:r>
          </w:p>
        </w:tc>
        <w:tc>
          <w:tcPr>
            <w:tcW w:w="309" w:type="pct"/>
          </w:tcPr>
          <w:p w14:paraId="11999218" w14:textId="77777777" w:rsidR="00CC7066" w:rsidRPr="004C2025" w:rsidRDefault="00CC7066" w:rsidP="00A94120">
            <w:pPr>
              <w:autoSpaceDE w:val="0"/>
              <w:autoSpaceDN w:val="0"/>
              <w:adjustRightInd w:val="0"/>
              <w:rPr>
                <w:rFonts w:ascii="Times New Roman" w:eastAsia="Times New Roman" w:hAnsi="Times New Roman"/>
              </w:rPr>
            </w:pPr>
            <w:r w:rsidRPr="004C2025">
              <w:rPr>
                <w:rFonts w:ascii="Times New Roman" w:eastAsia="Times New Roman" w:hAnsi="Times New Roman"/>
                <w:bCs/>
              </w:rPr>
              <w:t xml:space="preserve">Minor </w:t>
            </w:r>
          </w:p>
        </w:tc>
        <w:tc>
          <w:tcPr>
            <w:tcW w:w="770" w:type="pct"/>
          </w:tcPr>
          <w:p w14:paraId="4B866ED8" w14:textId="77777777" w:rsidR="00CC7066" w:rsidRPr="004C2025" w:rsidRDefault="00CC7066" w:rsidP="00CC7066">
            <w:pPr>
              <w:autoSpaceDE w:val="0"/>
              <w:autoSpaceDN w:val="0"/>
              <w:adjustRightInd w:val="0"/>
              <w:rPr>
                <w:rFonts w:ascii="Times New Roman" w:eastAsia="Times New Roman" w:hAnsi="Times New Roman"/>
              </w:rPr>
            </w:pPr>
            <w:r w:rsidRPr="004C2025">
              <w:rPr>
                <w:rFonts w:ascii="Times New Roman" w:eastAsia="Times New Roman" w:hAnsi="Times New Roman"/>
                <w:bCs/>
              </w:rPr>
              <w:t xml:space="preserve">Minor Category </w:t>
            </w:r>
          </w:p>
        </w:tc>
        <w:tc>
          <w:tcPr>
            <w:tcW w:w="753" w:type="pct"/>
          </w:tcPr>
          <w:p w14:paraId="7F574349" w14:textId="77777777" w:rsidR="00CC7066" w:rsidRPr="004C2025" w:rsidRDefault="00CC7066" w:rsidP="00CC7066">
            <w:pPr>
              <w:autoSpaceDE w:val="0"/>
              <w:autoSpaceDN w:val="0"/>
              <w:adjustRightInd w:val="0"/>
              <w:rPr>
                <w:rFonts w:ascii="Times New Roman" w:eastAsia="Times New Roman" w:hAnsi="Times New Roman"/>
              </w:rPr>
            </w:pPr>
            <w:r w:rsidRPr="004C2025">
              <w:rPr>
                <w:rFonts w:ascii="Times New Roman" w:eastAsia="Times New Roman" w:hAnsi="Times New Roman"/>
                <w:bCs/>
              </w:rPr>
              <w:t xml:space="preserve">ICD-10 Codes </w:t>
            </w:r>
          </w:p>
        </w:tc>
        <w:tc>
          <w:tcPr>
            <w:tcW w:w="792" w:type="pct"/>
          </w:tcPr>
          <w:p w14:paraId="51BD3A29" w14:textId="77777777" w:rsidR="00CC7066" w:rsidRPr="004C2025" w:rsidRDefault="00CC7066" w:rsidP="00CC7066">
            <w:pPr>
              <w:autoSpaceDE w:val="0"/>
              <w:autoSpaceDN w:val="0"/>
              <w:adjustRightInd w:val="0"/>
              <w:rPr>
                <w:rFonts w:ascii="Times New Roman" w:eastAsia="Times New Roman" w:hAnsi="Times New Roman"/>
              </w:rPr>
            </w:pPr>
            <w:r w:rsidRPr="004C2025">
              <w:rPr>
                <w:rFonts w:ascii="Times New Roman" w:eastAsia="Times New Roman" w:hAnsi="Times New Roman"/>
                <w:bCs/>
              </w:rPr>
              <w:t xml:space="preserve">ICD-O-3 Site Codes </w:t>
            </w:r>
          </w:p>
        </w:tc>
        <w:tc>
          <w:tcPr>
            <w:tcW w:w="1595" w:type="pct"/>
          </w:tcPr>
          <w:p w14:paraId="636D0D6F" w14:textId="77777777" w:rsidR="00CC7066" w:rsidRPr="004C2025" w:rsidRDefault="00CC7066" w:rsidP="00CC7066">
            <w:pPr>
              <w:autoSpaceDE w:val="0"/>
              <w:autoSpaceDN w:val="0"/>
              <w:adjustRightInd w:val="0"/>
              <w:rPr>
                <w:rFonts w:ascii="Times New Roman" w:eastAsia="Times New Roman" w:hAnsi="Times New Roman"/>
              </w:rPr>
            </w:pPr>
            <w:r w:rsidRPr="004C2025">
              <w:rPr>
                <w:rFonts w:ascii="Times New Roman" w:eastAsia="Times New Roman" w:hAnsi="Times New Roman"/>
                <w:bCs/>
              </w:rPr>
              <w:t xml:space="preserve">ICD-O-3 Histology Codes </w:t>
            </w:r>
          </w:p>
        </w:tc>
      </w:tr>
      <w:tr w:rsidR="00CC7066" w:rsidRPr="000931C0" w14:paraId="61256B8D" w14:textId="77777777" w:rsidTr="00A94120">
        <w:trPr>
          <w:trHeight w:val="204"/>
        </w:trPr>
        <w:tc>
          <w:tcPr>
            <w:tcW w:w="781" w:type="pct"/>
            <w:vMerge w:val="restart"/>
          </w:tcPr>
          <w:p w14:paraId="1FFB494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MN of buccal cavity and pharynx</w:t>
            </w:r>
          </w:p>
        </w:tc>
        <w:tc>
          <w:tcPr>
            <w:tcW w:w="309" w:type="pct"/>
          </w:tcPr>
          <w:p w14:paraId="0637A65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 </w:t>
            </w:r>
          </w:p>
        </w:tc>
        <w:tc>
          <w:tcPr>
            <w:tcW w:w="770" w:type="pct"/>
          </w:tcPr>
          <w:p w14:paraId="1FF597F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lip </w:t>
            </w:r>
          </w:p>
        </w:tc>
        <w:tc>
          <w:tcPr>
            <w:tcW w:w="753" w:type="pct"/>
          </w:tcPr>
          <w:p w14:paraId="2BD3032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C00 </w:t>
            </w:r>
          </w:p>
        </w:tc>
        <w:tc>
          <w:tcPr>
            <w:tcW w:w="792" w:type="pct"/>
          </w:tcPr>
          <w:p w14:paraId="592D63C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C000-C009 </w:t>
            </w:r>
          </w:p>
        </w:tc>
        <w:tc>
          <w:tcPr>
            <w:tcW w:w="1595" w:type="pct"/>
            <w:vMerge w:val="restart"/>
          </w:tcPr>
          <w:p w14:paraId="3D5AD83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All excluding 9140, 9050-9055, and 9590-9989 </w:t>
            </w:r>
          </w:p>
        </w:tc>
      </w:tr>
      <w:tr w:rsidR="00CC7066" w:rsidRPr="000931C0" w14:paraId="1164B03A" w14:textId="77777777" w:rsidTr="00A94120">
        <w:trPr>
          <w:trHeight w:val="204"/>
        </w:trPr>
        <w:tc>
          <w:tcPr>
            <w:tcW w:w="781" w:type="pct"/>
            <w:vMerge/>
          </w:tcPr>
          <w:p w14:paraId="739BFB8D"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420E4FA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 </w:t>
            </w:r>
          </w:p>
        </w:tc>
        <w:tc>
          <w:tcPr>
            <w:tcW w:w="770" w:type="pct"/>
          </w:tcPr>
          <w:p w14:paraId="3A1378A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tongue </w:t>
            </w:r>
          </w:p>
        </w:tc>
        <w:tc>
          <w:tcPr>
            <w:tcW w:w="753" w:type="pct"/>
          </w:tcPr>
          <w:p w14:paraId="1807E86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C01, C02 </w:t>
            </w:r>
          </w:p>
        </w:tc>
        <w:tc>
          <w:tcPr>
            <w:tcW w:w="792" w:type="pct"/>
          </w:tcPr>
          <w:p w14:paraId="026C3D9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C019-C029 </w:t>
            </w:r>
          </w:p>
        </w:tc>
        <w:tc>
          <w:tcPr>
            <w:tcW w:w="1595" w:type="pct"/>
            <w:vMerge/>
          </w:tcPr>
          <w:p w14:paraId="0D83B934"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642946F7" w14:textId="77777777" w:rsidTr="00A94120">
        <w:trPr>
          <w:trHeight w:val="204"/>
        </w:trPr>
        <w:tc>
          <w:tcPr>
            <w:tcW w:w="781" w:type="pct"/>
            <w:vMerge/>
          </w:tcPr>
          <w:p w14:paraId="5EC94B41"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6B58E09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 </w:t>
            </w:r>
          </w:p>
        </w:tc>
        <w:tc>
          <w:tcPr>
            <w:tcW w:w="770" w:type="pct"/>
          </w:tcPr>
          <w:p w14:paraId="4BAC005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buccal cavity </w:t>
            </w:r>
          </w:p>
        </w:tc>
        <w:tc>
          <w:tcPr>
            <w:tcW w:w="753" w:type="pct"/>
          </w:tcPr>
          <w:p w14:paraId="2096694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C03-C08 </w:t>
            </w:r>
          </w:p>
        </w:tc>
        <w:tc>
          <w:tcPr>
            <w:tcW w:w="792" w:type="pct"/>
          </w:tcPr>
          <w:p w14:paraId="4551371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C039-C069, C079-C089 </w:t>
            </w:r>
          </w:p>
        </w:tc>
        <w:tc>
          <w:tcPr>
            <w:tcW w:w="1595" w:type="pct"/>
            <w:vMerge/>
          </w:tcPr>
          <w:p w14:paraId="57BC0C1B"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06F09F70" w14:textId="77777777" w:rsidTr="00A94120">
        <w:trPr>
          <w:trHeight w:val="204"/>
        </w:trPr>
        <w:tc>
          <w:tcPr>
            <w:tcW w:w="781" w:type="pct"/>
            <w:vMerge/>
          </w:tcPr>
          <w:p w14:paraId="1E9465CC"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3E12047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4 </w:t>
            </w:r>
          </w:p>
        </w:tc>
        <w:tc>
          <w:tcPr>
            <w:tcW w:w="770" w:type="pct"/>
          </w:tcPr>
          <w:p w14:paraId="5441723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pharynx </w:t>
            </w:r>
          </w:p>
        </w:tc>
        <w:tc>
          <w:tcPr>
            <w:tcW w:w="753" w:type="pct"/>
          </w:tcPr>
          <w:p w14:paraId="6DC86C6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C09-C14 </w:t>
            </w:r>
          </w:p>
        </w:tc>
        <w:tc>
          <w:tcPr>
            <w:tcW w:w="792" w:type="pct"/>
          </w:tcPr>
          <w:p w14:paraId="3CF4320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C090- C119, C129-C148 </w:t>
            </w:r>
          </w:p>
        </w:tc>
        <w:tc>
          <w:tcPr>
            <w:tcW w:w="1595" w:type="pct"/>
            <w:vMerge/>
          </w:tcPr>
          <w:p w14:paraId="7F309C7F"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7FC05BFE" w14:textId="77777777" w:rsidTr="00A94120">
        <w:trPr>
          <w:trHeight w:val="204"/>
        </w:trPr>
        <w:tc>
          <w:tcPr>
            <w:tcW w:w="781" w:type="pct"/>
            <w:vMerge w:val="restart"/>
          </w:tcPr>
          <w:p w14:paraId="5821435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colon and rectum </w:t>
            </w:r>
          </w:p>
        </w:tc>
        <w:tc>
          <w:tcPr>
            <w:tcW w:w="309" w:type="pct"/>
          </w:tcPr>
          <w:p w14:paraId="0F21F8B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5 </w:t>
            </w:r>
          </w:p>
        </w:tc>
        <w:tc>
          <w:tcPr>
            <w:tcW w:w="770" w:type="pct"/>
          </w:tcPr>
          <w:p w14:paraId="254E50B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colon </w:t>
            </w:r>
          </w:p>
        </w:tc>
        <w:tc>
          <w:tcPr>
            <w:tcW w:w="753" w:type="pct"/>
          </w:tcPr>
          <w:p w14:paraId="487BD2C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C18 </w:t>
            </w:r>
          </w:p>
        </w:tc>
        <w:tc>
          <w:tcPr>
            <w:tcW w:w="792" w:type="pct"/>
          </w:tcPr>
          <w:p w14:paraId="5151E2A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C180-C189</w:t>
            </w:r>
          </w:p>
        </w:tc>
        <w:tc>
          <w:tcPr>
            <w:tcW w:w="1595" w:type="pct"/>
            <w:vMerge/>
          </w:tcPr>
          <w:p w14:paraId="4D70E9A6"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610207AB" w14:textId="77777777" w:rsidTr="00A94120">
        <w:trPr>
          <w:trHeight w:val="204"/>
        </w:trPr>
        <w:tc>
          <w:tcPr>
            <w:tcW w:w="781" w:type="pct"/>
            <w:vMerge/>
          </w:tcPr>
          <w:p w14:paraId="1196258C"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482B328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6 </w:t>
            </w:r>
          </w:p>
        </w:tc>
        <w:tc>
          <w:tcPr>
            <w:tcW w:w="770" w:type="pct"/>
          </w:tcPr>
          <w:p w14:paraId="3C3DD6C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rectum </w:t>
            </w:r>
          </w:p>
        </w:tc>
        <w:tc>
          <w:tcPr>
            <w:tcW w:w="753" w:type="pct"/>
          </w:tcPr>
          <w:p w14:paraId="2B66896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C19, C20 </w:t>
            </w:r>
          </w:p>
        </w:tc>
        <w:tc>
          <w:tcPr>
            <w:tcW w:w="792" w:type="pct"/>
          </w:tcPr>
          <w:p w14:paraId="17B23C3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C199, C209 </w:t>
            </w:r>
          </w:p>
        </w:tc>
        <w:tc>
          <w:tcPr>
            <w:tcW w:w="1595" w:type="pct"/>
            <w:vMerge/>
          </w:tcPr>
          <w:p w14:paraId="2BBBDC60"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562D1A54" w14:textId="77777777" w:rsidTr="00A94120">
        <w:trPr>
          <w:trHeight w:val="204"/>
        </w:trPr>
        <w:tc>
          <w:tcPr>
            <w:tcW w:w="781" w:type="pct"/>
            <w:vMerge w:val="restart"/>
          </w:tcPr>
          <w:p w14:paraId="25ED1F30"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digestive organs and peritoneum </w:t>
            </w:r>
          </w:p>
        </w:tc>
        <w:tc>
          <w:tcPr>
            <w:tcW w:w="309" w:type="pct"/>
          </w:tcPr>
          <w:p w14:paraId="14D235C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7 </w:t>
            </w:r>
          </w:p>
        </w:tc>
        <w:tc>
          <w:tcPr>
            <w:tcW w:w="770" w:type="pct"/>
          </w:tcPr>
          <w:p w14:paraId="5F65D5C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esophagus </w:t>
            </w:r>
          </w:p>
        </w:tc>
        <w:tc>
          <w:tcPr>
            <w:tcW w:w="753" w:type="pct"/>
          </w:tcPr>
          <w:p w14:paraId="60C62B5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C15 </w:t>
            </w:r>
          </w:p>
        </w:tc>
        <w:tc>
          <w:tcPr>
            <w:tcW w:w="792" w:type="pct"/>
          </w:tcPr>
          <w:p w14:paraId="2D7AC8A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C150- C159 </w:t>
            </w:r>
          </w:p>
        </w:tc>
        <w:tc>
          <w:tcPr>
            <w:tcW w:w="1595" w:type="pct"/>
            <w:vMerge/>
          </w:tcPr>
          <w:p w14:paraId="5A71AE00"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A986447" w14:textId="77777777" w:rsidTr="00A94120">
        <w:trPr>
          <w:trHeight w:val="204"/>
        </w:trPr>
        <w:tc>
          <w:tcPr>
            <w:tcW w:w="781" w:type="pct"/>
            <w:vMerge/>
          </w:tcPr>
          <w:p w14:paraId="1B57EAAD"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16D2A06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8 </w:t>
            </w:r>
          </w:p>
        </w:tc>
        <w:tc>
          <w:tcPr>
            <w:tcW w:w="770" w:type="pct"/>
          </w:tcPr>
          <w:p w14:paraId="295F5F30"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stomach </w:t>
            </w:r>
          </w:p>
        </w:tc>
        <w:tc>
          <w:tcPr>
            <w:tcW w:w="753" w:type="pct"/>
          </w:tcPr>
          <w:p w14:paraId="4AD385E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C16 </w:t>
            </w:r>
          </w:p>
        </w:tc>
        <w:tc>
          <w:tcPr>
            <w:tcW w:w="792" w:type="pct"/>
          </w:tcPr>
          <w:p w14:paraId="2FC419F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C160-C169 </w:t>
            </w:r>
          </w:p>
        </w:tc>
        <w:tc>
          <w:tcPr>
            <w:tcW w:w="1595" w:type="pct"/>
            <w:vMerge/>
          </w:tcPr>
          <w:p w14:paraId="112459DE"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66B10842" w14:textId="77777777" w:rsidTr="00A94120">
        <w:trPr>
          <w:trHeight w:val="204"/>
        </w:trPr>
        <w:tc>
          <w:tcPr>
            <w:tcW w:w="781" w:type="pct"/>
            <w:vMerge/>
          </w:tcPr>
          <w:p w14:paraId="034BCE57"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0E378B3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 </w:t>
            </w:r>
          </w:p>
        </w:tc>
        <w:tc>
          <w:tcPr>
            <w:tcW w:w="770" w:type="pct"/>
          </w:tcPr>
          <w:p w14:paraId="03E48BE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small intestine </w:t>
            </w:r>
          </w:p>
        </w:tc>
        <w:tc>
          <w:tcPr>
            <w:tcW w:w="753" w:type="pct"/>
          </w:tcPr>
          <w:p w14:paraId="71D731D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C17 </w:t>
            </w:r>
          </w:p>
        </w:tc>
        <w:tc>
          <w:tcPr>
            <w:tcW w:w="792" w:type="pct"/>
          </w:tcPr>
          <w:p w14:paraId="67A0160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C170-C179 </w:t>
            </w:r>
          </w:p>
        </w:tc>
        <w:tc>
          <w:tcPr>
            <w:tcW w:w="1595" w:type="pct"/>
            <w:vMerge/>
          </w:tcPr>
          <w:p w14:paraId="03797CAF"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043DBDDE" w14:textId="77777777" w:rsidTr="00A94120">
        <w:trPr>
          <w:trHeight w:val="204"/>
        </w:trPr>
        <w:tc>
          <w:tcPr>
            <w:tcW w:w="781" w:type="pct"/>
            <w:vMerge/>
          </w:tcPr>
          <w:p w14:paraId="3096BF25"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222FA8E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10 </w:t>
            </w:r>
          </w:p>
        </w:tc>
        <w:tc>
          <w:tcPr>
            <w:tcW w:w="770" w:type="pct"/>
          </w:tcPr>
          <w:p w14:paraId="196EDA0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biliary, liver, gall bladder </w:t>
            </w:r>
          </w:p>
        </w:tc>
        <w:tc>
          <w:tcPr>
            <w:tcW w:w="753" w:type="pct"/>
          </w:tcPr>
          <w:p w14:paraId="4CAEA53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C22-C24 </w:t>
            </w:r>
          </w:p>
        </w:tc>
        <w:tc>
          <w:tcPr>
            <w:tcW w:w="792" w:type="pct"/>
          </w:tcPr>
          <w:p w14:paraId="6305200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C220, C221, C239-C249 </w:t>
            </w:r>
          </w:p>
        </w:tc>
        <w:tc>
          <w:tcPr>
            <w:tcW w:w="1595" w:type="pct"/>
            <w:vMerge/>
          </w:tcPr>
          <w:p w14:paraId="56AB49DE"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17FEEAB" w14:textId="77777777" w:rsidTr="00A94120">
        <w:trPr>
          <w:trHeight w:val="204"/>
        </w:trPr>
        <w:tc>
          <w:tcPr>
            <w:tcW w:w="781" w:type="pct"/>
            <w:vMerge/>
          </w:tcPr>
          <w:p w14:paraId="4FA9968F"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3801CC8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11 </w:t>
            </w:r>
          </w:p>
        </w:tc>
        <w:tc>
          <w:tcPr>
            <w:tcW w:w="770" w:type="pct"/>
          </w:tcPr>
          <w:p w14:paraId="38105C6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pancreas </w:t>
            </w:r>
          </w:p>
        </w:tc>
        <w:tc>
          <w:tcPr>
            <w:tcW w:w="753" w:type="pct"/>
          </w:tcPr>
          <w:p w14:paraId="66B634A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C25 </w:t>
            </w:r>
          </w:p>
        </w:tc>
        <w:tc>
          <w:tcPr>
            <w:tcW w:w="792" w:type="pct"/>
          </w:tcPr>
          <w:p w14:paraId="770E1AC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C250-C259 </w:t>
            </w:r>
          </w:p>
        </w:tc>
        <w:tc>
          <w:tcPr>
            <w:tcW w:w="1595" w:type="pct"/>
            <w:vMerge/>
          </w:tcPr>
          <w:p w14:paraId="7326C5D2"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5C87C46C" w14:textId="77777777" w:rsidTr="00A94120">
        <w:trPr>
          <w:trHeight w:val="204"/>
        </w:trPr>
        <w:tc>
          <w:tcPr>
            <w:tcW w:w="781" w:type="pct"/>
            <w:vMerge/>
          </w:tcPr>
          <w:p w14:paraId="13F3E6D2"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0EEAD1D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12 </w:t>
            </w:r>
          </w:p>
        </w:tc>
        <w:tc>
          <w:tcPr>
            <w:tcW w:w="770" w:type="pct"/>
          </w:tcPr>
          <w:p w14:paraId="61801C5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anus, peritoneum, other, and unspecified digestive </w:t>
            </w:r>
          </w:p>
        </w:tc>
        <w:tc>
          <w:tcPr>
            <w:tcW w:w="753" w:type="pct"/>
          </w:tcPr>
          <w:p w14:paraId="0ACCE2A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C21, C26, C48 </w:t>
            </w:r>
          </w:p>
        </w:tc>
        <w:tc>
          <w:tcPr>
            <w:tcW w:w="792" w:type="pct"/>
          </w:tcPr>
          <w:p w14:paraId="71208D8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C210-C212, C218, C260, C268, C269, C422, C480-C482, C488 </w:t>
            </w:r>
          </w:p>
        </w:tc>
        <w:tc>
          <w:tcPr>
            <w:tcW w:w="1595" w:type="pct"/>
            <w:vMerge/>
          </w:tcPr>
          <w:p w14:paraId="08E1E12A"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511BF2E8" w14:textId="77777777" w:rsidTr="00A94120">
        <w:trPr>
          <w:trHeight w:val="204"/>
        </w:trPr>
        <w:tc>
          <w:tcPr>
            <w:tcW w:w="781" w:type="pct"/>
            <w:vMerge w:val="restart"/>
          </w:tcPr>
          <w:p w14:paraId="5F875DF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respiratory and intrathoracic organs </w:t>
            </w:r>
          </w:p>
        </w:tc>
        <w:tc>
          <w:tcPr>
            <w:tcW w:w="309" w:type="pct"/>
          </w:tcPr>
          <w:p w14:paraId="672CBAC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13 </w:t>
            </w:r>
          </w:p>
        </w:tc>
        <w:tc>
          <w:tcPr>
            <w:tcW w:w="770" w:type="pct"/>
          </w:tcPr>
          <w:p w14:paraId="3A071DC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larynx </w:t>
            </w:r>
          </w:p>
        </w:tc>
        <w:tc>
          <w:tcPr>
            <w:tcW w:w="753" w:type="pct"/>
          </w:tcPr>
          <w:p w14:paraId="3E0ECDF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C32 </w:t>
            </w:r>
          </w:p>
        </w:tc>
        <w:tc>
          <w:tcPr>
            <w:tcW w:w="792" w:type="pct"/>
          </w:tcPr>
          <w:p w14:paraId="5901233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C320-C329 </w:t>
            </w:r>
          </w:p>
        </w:tc>
        <w:tc>
          <w:tcPr>
            <w:tcW w:w="1595" w:type="pct"/>
            <w:vMerge/>
          </w:tcPr>
          <w:p w14:paraId="1BB02F86"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0B8FF084" w14:textId="77777777" w:rsidTr="00A94120">
        <w:trPr>
          <w:trHeight w:val="204"/>
        </w:trPr>
        <w:tc>
          <w:tcPr>
            <w:tcW w:w="781" w:type="pct"/>
            <w:vMerge/>
          </w:tcPr>
          <w:p w14:paraId="38429635"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6D89469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14 </w:t>
            </w:r>
          </w:p>
        </w:tc>
        <w:tc>
          <w:tcPr>
            <w:tcW w:w="770" w:type="pct"/>
          </w:tcPr>
          <w:p w14:paraId="466713A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trachea, bronchus, and lung </w:t>
            </w:r>
          </w:p>
        </w:tc>
        <w:tc>
          <w:tcPr>
            <w:tcW w:w="753" w:type="pct"/>
          </w:tcPr>
          <w:p w14:paraId="7B6A026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C33, C34 </w:t>
            </w:r>
          </w:p>
        </w:tc>
        <w:tc>
          <w:tcPr>
            <w:tcW w:w="792" w:type="pct"/>
          </w:tcPr>
          <w:p w14:paraId="2CEAF240"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C339-C349 </w:t>
            </w:r>
          </w:p>
        </w:tc>
        <w:tc>
          <w:tcPr>
            <w:tcW w:w="1595" w:type="pct"/>
            <w:vMerge/>
          </w:tcPr>
          <w:p w14:paraId="4C5C4A01"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223DCBFD" w14:textId="77777777" w:rsidTr="00A94120">
        <w:trPr>
          <w:trHeight w:val="204"/>
        </w:trPr>
        <w:tc>
          <w:tcPr>
            <w:tcW w:w="781" w:type="pct"/>
            <w:vMerge/>
          </w:tcPr>
          <w:p w14:paraId="2C0ABDDD"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33228CD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15 </w:t>
            </w:r>
          </w:p>
        </w:tc>
        <w:tc>
          <w:tcPr>
            <w:tcW w:w="770" w:type="pct"/>
          </w:tcPr>
          <w:p w14:paraId="4F811D5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pleura </w:t>
            </w:r>
          </w:p>
        </w:tc>
        <w:tc>
          <w:tcPr>
            <w:tcW w:w="753" w:type="pct"/>
          </w:tcPr>
          <w:p w14:paraId="274F96A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C38.4 </w:t>
            </w:r>
          </w:p>
        </w:tc>
        <w:tc>
          <w:tcPr>
            <w:tcW w:w="792" w:type="pct"/>
          </w:tcPr>
          <w:p w14:paraId="33527A4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C384 </w:t>
            </w:r>
          </w:p>
        </w:tc>
        <w:tc>
          <w:tcPr>
            <w:tcW w:w="1595" w:type="pct"/>
            <w:vMerge/>
          </w:tcPr>
          <w:p w14:paraId="7E29BCD2"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7624CA68" w14:textId="77777777" w:rsidTr="00A94120">
        <w:trPr>
          <w:trHeight w:val="204"/>
        </w:trPr>
        <w:tc>
          <w:tcPr>
            <w:tcW w:w="781" w:type="pct"/>
            <w:vMerge/>
          </w:tcPr>
          <w:p w14:paraId="37C75A97"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75EB16B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16 </w:t>
            </w:r>
          </w:p>
        </w:tc>
        <w:tc>
          <w:tcPr>
            <w:tcW w:w="770" w:type="pct"/>
          </w:tcPr>
          <w:p w14:paraId="56D4403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respiratory and intrathoracic organs </w:t>
            </w:r>
          </w:p>
        </w:tc>
        <w:tc>
          <w:tcPr>
            <w:tcW w:w="753" w:type="pct"/>
          </w:tcPr>
          <w:p w14:paraId="27B0DCB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C30, C31, C37, C38.0-C38.3, C38.8, C39 </w:t>
            </w:r>
          </w:p>
        </w:tc>
        <w:tc>
          <w:tcPr>
            <w:tcW w:w="792" w:type="pct"/>
          </w:tcPr>
          <w:p w14:paraId="47113F8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C300,C301, C310-C319, C379, C380-</w:t>
            </w:r>
            <w:r w:rsidRPr="000F0562">
              <w:rPr>
                <w:rFonts w:ascii="Times New Roman" w:eastAsia="Times New Roman" w:hAnsi="Times New Roman"/>
              </w:rPr>
              <w:lastRenderedPageBreak/>
              <w:t xml:space="preserve">C383, C388, C390, C398, C399 </w:t>
            </w:r>
          </w:p>
        </w:tc>
        <w:tc>
          <w:tcPr>
            <w:tcW w:w="1595" w:type="pct"/>
            <w:vMerge/>
          </w:tcPr>
          <w:p w14:paraId="7BBF54CA"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5070973" w14:textId="77777777" w:rsidTr="00A94120">
        <w:trPr>
          <w:trHeight w:val="204"/>
        </w:trPr>
        <w:tc>
          <w:tcPr>
            <w:tcW w:w="781" w:type="pct"/>
          </w:tcPr>
          <w:p w14:paraId="7C75EFE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breast </w:t>
            </w:r>
          </w:p>
        </w:tc>
        <w:tc>
          <w:tcPr>
            <w:tcW w:w="309" w:type="pct"/>
          </w:tcPr>
          <w:p w14:paraId="5380DE4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17 </w:t>
            </w:r>
          </w:p>
        </w:tc>
        <w:tc>
          <w:tcPr>
            <w:tcW w:w="770" w:type="pct"/>
          </w:tcPr>
          <w:p w14:paraId="11DB817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breast </w:t>
            </w:r>
          </w:p>
        </w:tc>
        <w:tc>
          <w:tcPr>
            <w:tcW w:w="753" w:type="pct"/>
          </w:tcPr>
          <w:p w14:paraId="2D03676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C50 </w:t>
            </w:r>
          </w:p>
        </w:tc>
        <w:tc>
          <w:tcPr>
            <w:tcW w:w="792" w:type="pct"/>
          </w:tcPr>
          <w:p w14:paraId="76A205A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C500-C509 </w:t>
            </w:r>
          </w:p>
        </w:tc>
        <w:tc>
          <w:tcPr>
            <w:tcW w:w="1595" w:type="pct"/>
            <w:vMerge/>
          </w:tcPr>
          <w:p w14:paraId="40C086FA"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7DDFD55C" w14:textId="77777777" w:rsidTr="00A94120">
        <w:trPr>
          <w:trHeight w:val="204"/>
        </w:trPr>
        <w:tc>
          <w:tcPr>
            <w:tcW w:w="781" w:type="pct"/>
            <w:vMerge w:val="restart"/>
          </w:tcPr>
          <w:p w14:paraId="6A02587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female genital organs </w:t>
            </w:r>
          </w:p>
        </w:tc>
        <w:tc>
          <w:tcPr>
            <w:tcW w:w="309" w:type="pct"/>
          </w:tcPr>
          <w:p w14:paraId="7707D4D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18 </w:t>
            </w:r>
          </w:p>
        </w:tc>
        <w:tc>
          <w:tcPr>
            <w:tcW w:w="770" w:type="pct"/>
          </w:tcPr>
          <w:p w14:paraId="027C5A1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cervix uteri </w:t>
            </w:r>
          </w:p>
        </w:tc>
        <w:tc>
          <w:tcPr>
            <w:tcW w:w="753" w:type="pct"/>
          </w:tcPr>
          <w:p w14:paraId="77995AC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C53 </w:t>
            </w:r>
          </w:p>
        </w:tc>
        <w:tc>
          <w:tcPr>
            <w:tcW w:w="792" w:type="pct"/>
          </w:tcPr>
          <w:p w14:paraId="513D75F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C530-C539 </w:t>
            </w:r>
          </w:p>
        </w:tc>
        <w:tc>
          <w:tcPr>
            <w:tcW w:w="1595" w:type="pct"/>
            <w:vMerge/>
          </w:tcPr>
          <w:p w14:paraId="3DE46412"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20FDBB9" w14:textId="77777777" w:rsidTr="00A94120">
        <w:trPr>
          <w:trHeight w:val="204"/>
        </w:trPr>
        <w:tc>
          <w:tcPr>
            <w:tcW w:w="781" w:type="pct"/>
            <w:vMerge/>
          </w:tcPr>
          <w:p w14:paraId="0F092DED"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6E33882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19 </w:t>
            </w:r>
          </w:p>
        </w:tc>
        <w:tc>
          <w:tcPr>
            <w:tcW w:w="770" w:type="pct"/>
          </w:tcPr>
          <w:p w14:paraId="49FC378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and unspecified parts of uterus </w:t>
            </w:r>
          </w:p>
        </w:tc>
        <w:tc>
          <w:tcPr>
            <w:tcW w:w="753" w:type="pct"/>
          </w:tcPr>
          <w:p w14:paraId="6BEC43A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C54, C55, C58 </w:t>
            </w:r>
          </w:p>
        </w:tc>
        <w:tc>
          <w:tcPr>
            <w:tcW w:w="792" w:type="pct"/>
          </w:tcPr>
          <w:p w14:paraId="61ED8F80"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C540-C549, C559, C589 </w:t>
            </w:r>
          </w:p>
        </w:tc>
        <w:tc>
          <w:tcPr>
            <w:tcW w:w="1595" w:type="pct"/>
            <w:vMerge/>
          </w:tcPr>
          <w:p w14:paraId="71A7164F"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6F2EC59C" w14:textId="77777777" w:rsidTr="00A94120">
        <w:trPr>
          <w:trHeight w:val="204"/>
        </w:trPr>
        <w:tc>
          <w:tcPr>
            <w:tcW w:w="781" w:type="pct"/>
            <w:vMerge/>
          </w:tcPr>
          <w:p w14:paraId="256D07F9"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62D7A50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20 </w:t>
            </w:r>
          </w:p>
        </w:tc>
        <w:tc>
          <w:tcPr>
            <w:tcW w:w="770" w:type="pct"/>
          </w:tcPr>
          <w:p w14:paraId="05E3325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ovary, fallopian tube, and broad ligament </w:t>
            </w:r>
          </w:p>
        </w:tc>
        <w:tc>
          <w:tcPr>
            <w:tcW w:w="753" w:type="pct"/>
          </w:tcPr>
          <w:p w14:paraId="780F3F4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C56, 57.0-C57.4, C57.8 </w:t>
            </w:r>
          </w:p>
        </w:tc>
        <w:tc>
          <w:tcPr>
            <w:tcW w:w="792" w:type="pct"/>
          </w:tcPr>
          <w:p w14:paraId="7BFB2A1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C569-C574, C578 </w:t>
            </w:r>
          </w:p>
        </w:tc>
        <w:tc>
          <w:tcPr>
            <w:tcW w:w="1595" w:type="pct"/>
            <w:vMerge/>
          </w:tcPr>
          <w:p w14:paraId="6D8A56BF"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602DA6D4" w14:textId="77777777" w:rsidTr="00A94120">
        <w:trPr>
          <w:trHeight w:val="204"/>
        </w:trPr>
        <w:tc>
          <w:tcPr>
            <w:tcW w:w="781" w:type="pct"/>
            <w:vMerge/>
          </w:tcPr>
          <w:p w14:paraId="705FE4FC"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29E0865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21 </w:t>
            </w:r>
          </w:p>
        </w:tc>
        <w:tc>
          <w:tcPr>
            <w:tcW w:w="770" w:type="pct"/>
          </w:tcPr>
          <w:p w14:paraId="258F908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and unspecified female genital organs </w:t>
            </w:r>
          </w:p>
        </w:tc>
        <w:tc>
          <w:tcPr>
            <w:tcW w:w="753" w:type="pct"/>
          </w:tcPr>
          <w:p w14:paraId="0FA75BD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C51, C52, C57.7, C57.9 </w:t>
            </w:r>
          </w:p>
        </w:tc>
        <w:tc>
          <w:tcPr>
            <w:tcW w:w="792" w:type="pct"/>
          </w:tcPr>
          <w:p w14:paraId="227BED3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C510-C519, C529, C577, C579 </w:t>
            </w:r>
          </w:p>
        </w:tc>
        <w:tc>
          <w:tcPr>
            <w:tcW w:w="1595" w:type="pct"/>
            <w:vMerge/>
          </w:tcPr>
          <w:p w14:paraId="0747950C"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667CDCB3" w14:textId="77777777" w:rsidTr="00A94120">
        <w:trPr>
          <w:trHeight w:val="204"/>
        </w:trPr>
        <w:tc>
          <w:tcPr>
            <w:tcW w:w="781" w:type="pct"/>
            <w:vMerge w:val="restart"/>
          </w:tcPr>
          <w:p w14:paraId="5265F91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male genital organs </w:t>
            </w:r>
          </w:p>
        </w:tc>
        <w:tc>
          <w:tcPr>
            <w:tcW w:w="309" w:type="pct"/>
          </w:tcPr>
          <w:p w14:paraId="2D10EA2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22 </w:t>
            </w:r>
          </w:p>
        </w:tc>
        <w:tc>
          <w:tcPr>
            <w:tcW w:w="770" w:type="pct"/>
          </w:tcPr>
          <w:p w14:paraId="7CF39FF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prostate </w:t>
            </w:r>
          </w:p>
        </w:tc>
        <w:tc>
          <w:tcPr>
            <w:tcW w:w="753" w:type="pct"/>
          </w:tcPr>
          <w:p w14:paraId="294E04E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C61 </w:t>
            </w:r>
          </w:p>
        </w:tc>
        <w:tc>
          <w:tcPr>
            <w:tcW w:w="792" w:type="pct"/>
          </w:tcPr>
          <w:p w14:paraId="311FEBB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C619 </w:t>
            </w:r>
          </w:p>
        </w:tc>
        <w:tc>
          <w:tcPr>
            <w:tcW w:w="1595" w:type="pct"/>
            <w:vMerge/>
          </w:tcPr>
          <w:p w14:paraId="30A2895F"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27F91A7B" w14:textId="77777777" w:rsidTr="00A94120">
        <w:trPr>
          <w:trHeight w:val="204"/>
        </w:trPr>
        <w:tc>
          <w:tcPr>
            <w:tcW w:w="781" w:type="pct"/>
            <w:vMerge/>
          </w:tcPr>
          <w:p w14:paraId="5F2B9B0A"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26E7AA9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23 </w:t>
            </w:r>
          </w:p>
        </w:tc>
        <w:tc>
          <w:tcPr>
            <w:tcW w:w="770" w:type="pct"/>
          </w:tcPr>
          <w:p w14:paraId="2087780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testes </w:t>
            </w:r>
          </w:p>
        </w:tc>
        <w:tc>
          <w:tcPr>
            <w:tcW w:w="753" w:type="pct"/>
          </w:tcPr>
          <w:p w14:paraId="0813BDD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C62 </w:t>
            </w:r>
          </w:p>
        </w:tc>
        <w:tc>
          <w:tcPr>
            <w:tcW w:w="792" w:type="pct"/>
          </w:tcPr>
          <w:p w14:paraId="7865D3A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C620-C629 </w:t>
            </w:r>
          </w:p>
        </w:tc>
        <w:tc>
          <w:tcPr>
            <w:tcW w:w="1595" w:type="pct"/>
            <w:vMerge/>
          </w:tcPr>
          <w:p w14:paraId="757516D0"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75DB0A53" w14:textId="77777777" w:rsidTr="00A94120">
        <w:trPr>
          <w:trHeight w:val="204"/>
        </w:trPr>
        <w:tc>
          <w:tcPr>
            <w:tcW w:w="781" w:type="pct"/>
            <w:vMerge/>
          </w:tcPr>
          <w:p w14:paraId="1A79B056"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496E89F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24 </w:t>
            </w:r>
          </w:p>
        </w:tc>
        <w:tc>
          <w:tcPr>
            <w:tcW w:w="770" w:type="pct"/>
          </w:tcPr>
          <w:p w14:paraId="30AEACF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and unspecified male genital organs </w:t>
            </w:r>
          </w:p>
        </w:tc>
        <w:tc>
          <w:tcPr>
            <w:tcW w:w="753" w:type="pct"/>
          </w:tcPr>
          <w:p w14:paraId="382DF4A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C60, C63 </w:t>
            </w:r>
          </w:p>
        </w:tc>
        <w:tc>
          <w:tcPr>
            <w:tcW w:w="792" w:type="pct"/>
          </w:tcPr>
          <w:p w14:paraId="560F15E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C600-C609, C630-C639 </w:t>
            </w:r>
          </w:p>
        </w:tc>
        <w:tc>
          <w:tcPr>
            <w:tcW w:w="1595" w:type="pct"/>
            <w:vMerge/>
          </w:tcPr>
          <w:p w14:paraId="1BC87FC9"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A2131D6" w14:textId="77777777" w:rsidTr="00A94120">
        <w:trPr>
          <w:trHeight w:val="204"/>
        </w:trPr>
        <w:tc>
          <w:tcPr>
            <w:tcW w:w="781" w:type="pct"/>
            <w:vMerge w:val="restart"/>
          </w:tcPr>
          <w:p w14:paraId="6F27F6D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urinary organs </w:t>
            </w:r>
          </w:p>
        </w:tc>
        <w:tc>
          <w:tcPr>
            <w:tcW w:w="309" w:type="pct"/>
          </w:tcPr>
          <w:p w14:paraId="6B360E3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25 </w:t>
            </w:r>
          </w:p>
        </w:tc>
        <w:tc>
          <w:tcPr>
            <w:tcW w:w="770" w:type="pct"/>
          </w:tcPr>
          <w:p w14:paraId="13CB578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kidney </w:t>
            </w:r>
          </w:p>
        </w:tc>
        <w:tc>
          <w:tcPr>
            <w:tcW w:w="753" w:type="pct"/>
          </w:tcPr>
          <w:p w14:paraId="7AE994E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C64-C66 </w:t>
            </w:r>
          </w:p>
        </w:tc>
        <w:tc>
          <w:tcPr>
            <w:tcW w:w="792" w:type="pct"/>
          </w:tcPr>
          <w:p w14:paraId="6E02715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C649, C659, C669 </w:t>
            </w:r>
          </w:p>
        </w:tc>
        <w:tc>
          <w:tcPr>
            <w:tcW w:w="1595" w:type="pct"/>
            <w:vMerge/>
          </w:tcPr>
          <w:p w14:paraId="6EC296D4"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6B490324" w14:textId="77777777" w:rsidTr="00A94120">
        <w:trPr>
          <w:trHeight w:val="204"/>
        </w:trPr>
        <w:tc>
          <w:tcPr>
            <w:tcW w:w="781" w:type="pct"/>
            <w:vMerge/>
          </w:tcPr>
          <w:p w14:paraId="2681AB19"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578D951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26 </w:t>
            </w:r>
          </w:p>
        </w:tc>
        <w:tc>
          <w:tcPr>
            <w:tcW w:w="770" w:type="pct"/>
          </w:tcPr>
          <w:p w14:paraId="6D9D068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bladder and other urinary organs </w:t>
            </w:r>
          </w:p>
        </w:tc>
        <w:tc>
          <w:tcPr>
            <w:tcW w:w="753" w:type="pct"/>
          </w:tcPr>
          <w:p w14:paraId="3C10DA0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C67, C68, D09.0</w:t>
            </w:r>
            <w:r w:rsidRPr="000F0562">
              <w:rPr>
                <w:rFonts w:ascii="Times New Roman" w:eastAsia="Times New Roman" w:hAnsi="Times New Roman"/>
                <w:vertAlign w:val="superscript"/>
              </w:rPr>
              <w:t xml:space="preserve"> 2</w:t>
            </w:r>
          </w:p>
        </w:tc>
        <w:tc>
          <w:tcPr>
            <w:tcW w:w="792" w:type="pct"/>
          </w:tcPr>
          <w:p w14:paraId="6D8884E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C670-C689 </w:t>
            </w:r>
          </w:p>
        </w:tc>
        <w:tc>
          <w:tcPr>
            <w:tcW w:w="1595" w:type="pct"/>
            <w:vMerge/>
          </w:tcPr>
          <w:p w14:paraId="296037CA"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C183BF3" w14:textId="77777777" w:rsidTr="00A94120">
        <w:trPr>
          <w:trHeight w:val="204"/>
        </w:trPr>
        <w:tc>
          <w:tcPr>
            <w:tcW w:w="781" w:type="pct"/>
            <w:vMerge w:val="restart"/>
          </w:tcPr>
          <w:p w14:paraId="6B0A763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thyroid and other endocrine glands </w:t>
            </w:r>
          </w:p>
        </w:tc>
        <w:tc>
          <w:tcPr>
            <w:tcW w:w="309" w:type="pct"/>
          </w:tcPr>
          <w:p w14:paraId="0B65D27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27 </w:t>
            </w:r>
          </w:p>
        </w:tc>
        <w:tc>
          <w:tcPr>
            <w:tcW w:w="770" w:type="pct"/>
          </w:tcPr>
          <w:p w14:paraId="5C47881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thyroid gland </w:t>
            </w:r>
          </w:p>
        </w:tc>
        <w:tc>
          <w:tcPr>
            <w:tcW w:w="753" w:type="pct"/>
          </w:tcPr>
          <w:p w14:paraId="3F3C3C3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C73 </w:t>
            </w:r>
          </w:p>
        </w:tc>
        <w:tc>
          <w:tcPr>
            <w:tcW w:w="792" w:type="pct"/>
          </w:tcPr>
          <w:p w14:paraId="04DFA2E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C739 </w:t>
            </w:r>
          </w:p>
        </w:tc>
        <w:tc>
          <w:tcPr>
            <w:tcW w:w="1595" w:type="pct"/>
            <w:vMerge/>
          </w:tcPr>
          <w:p w14:paraId="1278B72F"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7F2AC640" w14:textId="77777777" w:rsidTr="00A94120">
        <w:trPr>
          <w:trHeight w:val="204"/>
        </w:trPr>
        <w:tc>
          <w:tcPr>
            <w:tcW w:w="781" w:type="pct"/>
            <w:vMerge/>
          </w:tcPr>
          <w:p w14:paraId="08C0A3C2"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6157121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28 </w:t>
            </w:r>
          </w:p>
        </w:tc>
        <w:tc>
          <w:tcPr>
            <w:tcW w:w="770" w:type="pct"/>
          </w:tcPr>
          <w:p w14:paraId="645D89D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endocrine glands </w:t>
            </w:r>
          </w:p>
        </w:tc>
        <w:tc>
          <w:tcPr>
            <w:tcW w:w="753" w:type="pct"/>
          </w:tcPr>
          <w:p w14:paraId="737DF19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C74, C75 </w:t>
            </w:r>
          </w:p>
        </w:tc>
        <w:tc>
          <w:tcPr>
            <w:tcW w:w="792" w:type="pct"/>
          </w:tcPr>
          <w:p w14:paraId="41AB258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C740-C749, C750-C759 </w:t>
            </w:r>
          </w:p>
        </w:tc>
        <w:tc>
          <w:tcPr>
            <w:tcW w:w="1595" w:type="pct"/>
            <w:vMerge/>
          </w:tcPr>
          <w:p w14:paraId="5DCC3C1B"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6C668AD" w14:textId="77777777" w:rsidTr="00A94120">
        <w:trPr>
          <w:trHeight w:val="204"/>
        </w:trPr>
        <w:tc>
          <w:tcPr>
            <w:tcW w:w="781" w:type="pct"/>
            <w:vMerge w:val="restart"/>
          </w:tcPr>
          <w:p w14:paraId="27047B6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other solid cancers </w:t>
            </w:r>
          </w:p>
        </w:tc>
        <w:tc>
          <w:tcPr>
            <w:tcW w:w="309" w:type="pct"/>
          </w:tcPr>
          <w:p w14:paraId="71FF563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29 </w:t>
            </w:r>
          </w:p>
        </w:tc>
        <w:tc>
          <w:tcPr>
            <w:tcW w:w="770" w:type="pct"/>
          </w:tcPr>
          <w:p w14:paraId="6B9B6B7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bone </w:t>
            </w:r>
          </w:p>
        </w:tc>
        <w:tc>
          <w:tcPr>
            <w:tcW w:w="753" w:type="pct"/>
          </w:tcPr>
          <w:p w14:paraId="4476E59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C40, C41 </w:t>
            </w:r>
          </w:p>
        </w:tc>
        <w:tc>
          <w:tcPr>
            <w:tcW w:w="792" w:type="pct"/>
          </w:tcPr>
          <w:p w14:paraId="2052833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C400-C419 </w:t>
            </w:r>
          </w:p>
        </w:tc>
        <w:tc>
          <w:tcPr>
            <w:tcW w:w="1595" w:type="pct"/>
            <w:vMerge/>
          </w:tcPr>
          <w:p w14:paraId="1881632D" w14:textId="77777777" w:rsidR="00CC7066" w:rsidRPr="000F0562" w:rsidRDefault="00CC7066" w:rsidP="00CC7066">
            <w:pPr>
              <w:autoSpaceDE w:val="0"/>
              <w:autoSpaceDN w:val="0"/>
              <w:adjustRightInd w:val="0"/>
              <w:rPr>
                <w:rFonts w:ascii="Times New Roman" w:eastAsia="Times New Roman" w:hAnsi="Times New Roman"/>
                <w:b/>
                <w:bCs/>
              </w:rPr>
            </w:pPr>
          </w:p>
        </w:tc>
      </w:tr>
      <w:tr w:rsidR="00CC7066" w:rsidRPr="000931C0" w14:paraId="3794412F" w14:textId="77777777" w:rsidTr="00A94120">
        <w:trPr>
          <w:trHeight w:val="204"/>
        </w:trPr>
        <w:tc>
          <w:tcPr>
            <w:tcW w:w="781" w:type="pct"/>
            <w:vMerge/>
          </w:tcPr>
          <w:p w14:paraId="74AA7894"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4AE0CDC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30 </w:t>
            </w:r>
          </w:p>
        </w:tc>
        <w:tc>
          <w:tcPr>
            <w:tcW w:w="770" w:type="pct"/>
          </w:tcPr>
          <w:p w14:paraId="2D427F6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Malignant melanoma of skin </w:t>
            </w:r>
          </w:p>
        </w:tc>
        <w:tc>
          <w:tcPr>
            <w:tcW w:w="753" w:type="pct"/>
          </w:tcPr>
          <w:p w14:paraId="6B1DF91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C43 </w:t>
            </w:r>
          </w:p>
        </w:tc>
        <w:tc>
          <w:tcPr>
            <w:tcW w:w="792" w:type="pct"/>
          </w:tcPr>
          <w:p w14:paraId="77E9D86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C440-C449 </w:t>
            </w:r>
          </w:p>
        </w:tc>
        <w:tc>
          <w:tcPr>
            <w:tcW w:w="1595" w:type="pct"/>
          </w:tcPr>
          <w:p w14:paraId="612084D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8720-8790 </w:t>
            </w:r>
          </w:p>
        </w:tc>
      </w:tr>
      <w:tr w:rsidR="00CC7066" w:rsidRPr="000931C0" w14:paraId="30CC2898" w14:textId="77777777" w:rsidTr="00A94120">
        <w:trPr>
          <w:trHeight w:val="204"/>
        </w:trPr>
        <w:tc>
          <w:tcPr>
            <w:tcW w:w="781" w:type="pct"/>
            <w:vMerge/>
          </w:tcPr>
          <w:p w14:paraId="4D957A32"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7A7DACF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31 </w:t>
            </w:r>
          </w:p>
        </w:tc>
        <w:tc>
          <w:tcPr>
            <w:tcW w:w="770" w:type="pct"/>
          </w:tcPr>
          <w:p w14:paraId="4262B4D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Kaposi sarcoma </w:t>
            </w:r>
          </w:p>
        </w:tc>
        <w:tc>
          <w:tcPr>
            <w:tcW w:w="753" w:type="pct"/>
          </w:tcPr>
          <w:p w14:paraId="5FC1506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C46 </w:t>
            </w:r>
          </w:p>
        </w:tc>
        <w:tc>
          <w:tcPr>
            <w:tcW w:w="792" w:type="pct"/>
          </w:tcPr>
          <w:p w14:paraId="16379D7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Not used </w:t>
            </w:r>
          </w:p>
        </w:tc>
        <w:tc>
          <w:tcPr>
            <w:tcW w:w="1595" w:type="pct"/>
          </w:tcPr>
          <w:p w14:paraId="6EA0FB0E"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9140 </w:t>
            </w:r>
          </w:p>
        </w:tc>
      </w:tr>
      <w:tr w:rsidR="00CC7066" w:rsidRPr="000931C0" w14:paraId="5D1A3701" w14:textId="77777777" w:rsidTr="00A94120">
        <w:trPr>
          <w:trHeight w:val="204"/>
        </w:trPr>
        <w:tc>
          <w:tcPr>
            <w:tcW w:w="781" w:type="pct"/>
            <w:vMerge/>
          </w:tcPr>
          <w:p w14:paraId="233E2743"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2274F93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32 </w:t>
            </w:r>
          </w:p>
        </w:tc>
        <w:tc>
          <w:tcPr>
            <w:tcW w:w="770" w:type="pct"/>
          </w:tcPr>
          <w:p w14:paraId="7C89EF4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Mesothelioma </w:t>
            </w:r>
          </w:p>
        </w:tc>
        <w:tc>
          <w:tcPr>
            <w:tcW w:w="753" w:type="pct"/>
          </w:tcPr>
          <w:p w14:paraId="52AD3C0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C45 </w:t>
            </w:r>
          </w:p>
        </w:tc>
        <w:tc>
          <w:tcPr>
            <w:tcW w:w="792" w:type="pct"/>
          </w:tcPr>
          <w:p w14:paraId="5AE4AC1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Not used </w:t>
            </w:r>
          </w:p>
        </w:tc>
        <w:tc>
          <w:tcPr>
            <w:tcW w:w="1595" w:type="pct"/>
          </w:tcPr>
          <w:p w14:paraId="11AAB62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9050-9055 </w:t>
            </w:r>
          </w:p>
        </w:tc>
      </w:tr>
      <w:tr w:rsidR="00CC7066" w:rsidRPr="000931C0" w14:paraId="5B4A8697" w14:textId="77777777" w:rsidTr="00A94120">
        <w:trPr>
          <w:trHeight w:val="204"/>
        </w:trPr>
        <w:tc>
          <w:tcPr>
            <w:tcW w:w="781" w:type="pct"/>
            <w:vMerge/>
          </w:tcPr>
          <w:p w14:paraId="51BCF67B"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5948B3B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33 </w:t>
            </w:r>
          </w:p>
        </w:tc>
        <w:tc>
          <w:tcPr>
            <w:tcW w:w="770" w:type="pct"/>
          </w:tcPr>
          <w:p w14:paraId="55231D9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connective tissue </w:t>
            </w:r>
          </w:p>
        </w:tc>
        <w:tc>
          <w:tcPr>
            <w:tcW w:w="753" w:type="pct"/>
          </w:tcPr>
          <w:p w14:paraId="3F3306D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C49 </w:t>
            </w:r>
          </w:p>
        </w:tc>
        <w:tc>
          <w:tcPr>
            <w:tcW w:w="792" w:type="pct"/>
          </w:tcPr>
          <w:p w14:paraId="239A4FE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C490-C499 </w:t>
            </w:r>
          </w:p>
        </w:tc>
        <w:tc>
          <w:tcPr>
            <w:tcW w:w="1595" w:type="pct"/>
            <w:vMerge w:val="restart"/>
          </w:tcPr>
          <w:p w14:paraId="71F83D0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All excluding 9140, 9050-9055, and 9590-9989 </w:t>
            </w:r>
          </w:p>
        </w:tc>
      </w:tr>
      <w:tr w:rsidR="00CC7066" w:rsidRPr="000931C0" w14:paraId="0CA42F9E" w14:textId="77777777" w:rsidTr="00A94120">
        <w:trPr>
          <w:trHeight w:val="204"/>
        </w:trPr>
        <w:tc>
          <w:tcPr>
            <w:tcW w:w="781" w:type="pct"/>
            <w:vMerge/>
          </w:tcPr>
          <w:p w14:paraId="551A46AA"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6C15D29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34 </w:t>
            </w:r>
          </w:p>
        </w:tc>
        <w:tc>
          <w:tcPr>
            <w:tcW w:w="770" w:type="pct"/>
          </w:tcPr>
          <w:p w14:paraId="1C3D5EE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brain and other parts of nervous system </w:t>
            </w:r>
          </w:p>
        </w:tc>
        <w:tc>
          <w:tcPr>
            <w:tcW w:w="753" w:type="pct"/>
          </w:tcPr>
          <w:p w14:paraId="796E684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C47, C70-C72 </w:t>
            </w:r>
          </w:p>
        </w:tc>
        <w:tc>
          <w:tcPr>
            <w:tcW w:w="792" w:type="pct"/>
          </w:tcPr>
          <w:p w14:paraId="1BA2897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C470-C479, C700-C729 </w:t>
            </w:r>
          </w:p>
        </w:tc>
        <w:tc>
          <w:tcPr>
            <w:tcW w:w="1595" w:type="pct"/>
            <w:vMerge/>
          </w:tcPr>
          <w:p w14:paraId="45814E43" w14:textId="77777777" w:rsidR="00CC7066" w:rsidRPr="000F0562" w:rsidRDefault="00CC7066" w:rsidP="00CC7066">
            <w:pPr>
              <w:autoSpaceDE w:val="0"/>
              <w:autoSpaceDN w:val="0"/>
              <w:adjustRightInd w:val="0"/>
              <w:rPr>
                <w:rFonts w:ascii="Times New Roman" w:eastAsia="Times New Roman" w:hAnsi="Times New Roman"/>
              </w:rPr>
            </w:pPr>
          </w:p>
        </w:tc>
      </w:tr>
      <w:tr w:rsidR="00CC7066" w:rsidRPr="000931C0" w14:paraId="2EBAE706" w14:textId="77777777" w:rsidTr="00A94120">
        <w:trPr>
          <w:trHeight w:val="204"/>
        </w:trPr>
        <w:tc>
          <w:tcPr>
            <w:tcW w:w="781" w:type="pct"/>
            <w:vMerge/>
          </w:tcPr>
          <w:p w14:paraId="11C37A9F"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1343DE6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35 </w:t>
            </w:r>
          </w:p>
        </w:tc>
        <w:tc>
          <w:tcPr>
            <w:tcW w:w="770" w:type="pct"/>
          </w:tcPr>
          <w:p w14:paraId="2DB821E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eye </w:t>
            </w:r>
          </w:p>
        </w:tc>
        <w:tc>
          <w:tcPr>
            <w:tcW w:w="753" w:type="pct"/>
          </w:tcPr>
          <w:p w14:paraId="0BF9B13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C69 </w:t>
            </w:r>
          </w:p>
        </w:tc>
        <w:tc>
          <w:tcPr>
            <w:tcW w:w="792" w:type="pct"/>
          </w:tcPr>
          <w:p w14:paraId="0510BFC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C690-C699 </w:t>
            </w:r>
          </w:p>
        </w:tc>
        <w:tc>
          <w:tcPr>
            <w:tcW w:w="1595" w:type="pct"/>
            <w:vMerge/>
          </w:tcPr>
          <w:p w14:paraId="6E9A40F5" w14:textId="77777777" w:rsidR="00CC7066" w:rsidRPr="000F0562" w:rsidRDefault="00CC7066" w:rsidP="00CC7066">
            <w:pPr>
              <w:autoSpaceDE w:val="0"/>
              <w:autoSpaceDN w:val="0"/>
              <w:adjustRightInd w:val="0"/>
              <w:rPr>
                <w:rFonts w:ascii="Times New Roman" w:eastAsia="Times New Roman" w:hAnsi="Times New Roman"/>
              </w:rPr>
            </w:pPr>
          </w:p>
        </w:tc>
      </w:tr>
      <w:tr w:rsidR="00CC7066" w:rsidRPr="000931C0" w14:paraId="2236F8B9" w14:textId="77777777" w:rsidTr="00A94120">
        <w:trPr>
          <w:trHeight w:val="204"/>
        </w:trPr>
        <w:tc>
          <w:tcPr>
            <w:tcW w:w="781" w:type="pct"/>
            <w:vMerge w:val="restart"/>
          </w:tcPr>
          <w:p w14:paraId="533D99E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Malignant neoplasms of lymphatic and hematopoietic tissue </w:t>
            </w:r>
          </w:p>
        </w:tc>
        <w:tc>
          <w:tcPr>
            <w:tcW w:w="309" w:type="pct"/>
          </w:tcPr>
          <w:p w14:paraId="7D474DF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36 </w:t>
            </w:r>
          </w:p>
        </w:tc>
        <w:tc>
          <w:tcPr>
            <w:tcW w:w="770" w:type="pct"/>
          </w:tcPr>
          <w:p w14:paraId="338735B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Hodgkin lymphoma </w:t>
            </w:r>
          </w:p>
        </w:tc>
        <w:tc>
          <w:tcPr>
            <w:tcW w:w="753" w:type="pct"/>
          </w:tcPr>
          <w:p w14:paraId="65250C8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C81 </w:t>
            </w:r>
          </w:p>
        </w:tc>
        <w:tc>
          <w:tcPr>
            <w:tcW w:w="792" w:type="pct"/>
          </w:tcPr>
          <w:p w14:paraId="595F008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Not used </w:t>
            </w:r>
          </w:p>
        </w:tc>
        <w:tc>
          <w:tcPr>
            <w:tcW w:w="1595" w:type="pct"/>
          </w:tcPr>
          <w:p w14:paraId="2CA3C7D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9650- 9667 </w:t>
            </w:r>
          </w:p>
        </w:tc>
      </w:tr>
      <w:tr w:rsidR="00CC7066" w:rsidRPr="000931C0" w14:paraId="41AE1E98" w14:textId="77777777" w:rsidTr="00A94120">
        <w:trPr>
          <w:trHeight w:val="204"/>
        </w:trPr>
        <w:tc>
          <w:tcPr>
            <w:tcW w:w="781" w:type="pct"/>
            <w:vMerge/>
          </w:tcPr>
          <w:p w14:paraId="31F094B8"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7586239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37 </w:t>
            </w:r>
          </w:p>
        </w:tc>
        <w:tc>
          <w:tcPr>
            <w:tcW w:w="770" w:type="pct"/>
          </w:tcPr>
          <w:p w14:paraId="360F71E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Non-Hodgkin lymphoma </w:t>
            </w:r>
          </w:p>
        </w:tc>
        <w:tc>
          <w:tcPr>
            <w:tcW w:w="753" w:type="pct"/>
          </w:tcPr>
          <w:p w14:paraId="0990967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C82-C85, C88.0, C88.3, C91.4, C96.0-C96.3, C96.7 </w:t>
            </w:r>
          </w:p>
        </w:tc>
        <w:tc>
          <w:tcPr>
            <w:tcW w:w="792" w:type="pct"/>
          </w:tcPr>
          <w:p w14:paraId="0AE9F36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Not used </w:t>
            </w:r>
          </w:p>
        </w:tc>
        <w:tc>
          <w:tcPr>
            <w:tcW w:w="1595" w:type="pct"/>
          </w:tcPr>
          <w:p w14:paraId="4C2BA6E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9590, 9591, 9596, 9670, 9671, 9673, 9675, 9678- 9680, 9684, 9687, 9688, 9689-9691, 9695, 9698-9702, 9705, 9708, 9709, 9712, 9714-9719, 9724-9729, 9735, 9737, 9738, 9740, 9750, 9754-9759, 9761, 9764, 9940 </w:t>
            </w:r>
          </w:p>
        </w:tc>
      </w:tr>
      <w:tr w:rsidR="00CC7066" w:rsidRPr="000931C0" w14:paraId="7D23BD2B" w14:textId="77777777" w:rsidTr="00A94120">
        <w:trPr>
          <w:trHeight w:val="204"/>
        </w:trPr>
        <w:tc>
          <w:tcPr>
            <w:tcW w:w="781" w:type="pct"/>
            <w:vMerge/>
          </w:tcPr>
          <w:p w14:paraId="4FD875AC"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3E273A20"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38 </w:t>
            </w:r>
          </w:p>
        </w:tc>
        <w:tc>
          <w:tcPr>
            <w:tcW w:w="770" w:type="pct"/>
          </w:tcPr>
          <w:p w14:paraId="01EDB40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Multiple myeloma </w:t>
            </w:r>
          </w:p>
        </w:tc>
        <w:tc>
          <w:tcPr>
            <w:tcW w:w="753" w:type="pct"/>
          </w:tcPr>
          <w:p w14:paraId="171FE7D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C90 </w:t>
            </w:r>
          </w:p>
        </w:tc>
        <w:tc>
          <w:tcPr>
            <w:tcW w:w="792" w:type="pct"/>
          </w:tcPr>
          <w:p w14:paraId="3E0E6D5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Not used </w:t>
            </w:r>
          </w:p>
        </w:tc>
        <w:tc>
          <w:tcPr>
            <w:tcW w:w="1595" w:type="pct"/>
          </w:tcPr>
          <w:p w14:paraId="4A85769A"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9731-9734 </w:t>
            </w:r>
          </w:p>
        </w:tc>
      </w:tr>
      <w:tr w:rsidR="00CC7066" w:rsidRPr="000931C0" w14:paraId="61511733" w14:textId="77777777" w:rsidTr="00A94120">
        <w:trPr>
          <w:trHeight w:val="204"/>
        </w:trPr>
        <w:tc>
          <w:tcPr>
            <w:tcW w:w="781" w:type="pct"/>
            <w:vMerge/>
          </w:tcPr>
          <w:p w14:paraId="5F1D28E9"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7CB74A15"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39 </w:t>
            </w:r>
          </w:p>
        </w:tc>
        <w:tc>
          <w:tcPr>
            <w:tcW w:w="770" w:type="pct"/>
          </w:tcPr>
          <w:p w14:paraId="1EA206D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Leukemia and </w:t>
            </w:r>
            <w:proofErr w:type="spellStart"/>
            <w:r w:rsidRPr="000F0562">
              <w:rPr>
                <w:rFonts w:ascii="Times New Roman" w:eastAsia="Times New Roman" w:hAnsi="Times New Roman"/>
              </w:rPr>
              <w:t>aleukemia</w:t>
            </w:r>
            <w:proofErr w:type="spellEnd"/>
            <w:r w:rsidRPr="000F0562">
              <w:rPr>
                <w:rFonts w:ascii="Times New Roman" w:eastAsia="Times New Roman" w:hAnsi="Times New Roman"/>
              </w:rPr>
              <w:t xml:space="preserve"> </w:t>
            </w:r>
          </w:p>
        </w:tc>
        <w:tc>
          <w:tcPr>
            <w:tcW w:w="753" w:type="pct"/>
          </w:tcPr>
          <w:p w14:paraId="48EDE9E2"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C91.0-C91.3, C91.5, C91.7, C91.9, C92-C95 </w:t>
            </w:r>
          </w:p>
        </w:tc>
        <w:tc>
          <w:tcPr>
            <w:tcW w:w="792" w:type="pct"/>
          </w:tcPr>
          <w:p w14:paraId="6A325346"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Not used </w:t>
            </w:r>
          </w:p>
        </w:tc>
        <w:tc>
          <w:tcPr>
            <w:tcW w:w="1595" w:type="pct"/>
          </w:tcPr>
          <w:p w14:paraId="27B18BE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9742, 9800, 9801, 9805, 9820, 9823, 9826, 9827, 9831-9837, 9840, 9860, 9861, 9863, 9866, 9867, 9870-9876, 9891, 9895-9897, 9910, 9920, 9930, 9931, 9945, 9946, 9948, 9963 </w:t>
            </w:r>
          </w:p>
        </w:tc>
      </w:tr>
      <w:tr w:rsidR="00CC7066" w:rsidRPr="000931C0" w14:paraId="4ACBC3F7" w14:textId="77777777" w:rsidTr="00A94120">
        <w:trPr>
          <w:trHeight w:val="204"/>
        </w:trPr>
        <w:tc>
          <w:tcPr>
            <w:tcW w:w="781" w:type="pct"/>
            <w:vMerge/>
          </w:tcPr>
          <w:p w14:paraId="7EF3EA26"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tcPr>
          <w:p w14:paraId="6E6A9FD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40 </w:t>
            </w:r>
          </w:p>
        </w:tc>
        <w:tc>
          <w:tcPr>
            <w:tcW w:w="770" w:type="pct"/>
          </w:tcPr>
          <w:p w14:paraId="0B834557"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Other lymphatic and hematopoietic neoplasms </w:t>
            </w:r>
          </w:p>
        </w:tc>
        <w:tc>
          <w:tcPr>
            <w:tcW w:w="753" w:type="pct"/>
          </w:tcPr>
          <w:p w14:paraId="4607D7A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C88.2, C88.7, C88.9, C96.9, D45, D46.1-D46.4, D46.7, D46.9, D47.1, D47.3, D47.7 </w:t>
            </w:r>
          </w:p>
        </w:tc>
        <w:tc>
          <w:tcPr>
            <w:tcW w:w="792" w:type="pct"/>
          </w:tcPr>
          <w:p w14:paraId="35E9BCBF"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Not used </w:t>
            </w:r>
          </w:p>
        </w:tc>
        <w:tc>
          <w:tcPr>
            <w:tcW w:w="1595" w:type="pct"/>
          </w:tcPr>
          <w:p w14:paraId="62FACE5D"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9751, 9760, 9762, 9950, 9960-9962, 9970, 9975, 9980, 9982-9987, 9989 </w:t>
            </w:r>
          </w:p>
        </w:tc>
      </w:tr>
      <w:tr w:rsidR="00CC7066" w:rsidRPr="000931C0" w14:paraId="779C212E" w14:textId="77777777" w:rsidTr="00A94120">
        <w:trPr>
          <w:trHeight w:val="204"/>
        </w:trPr>
        <w:tc>
          <w:tcPr>
            <w:tcW w:w="781" w:type="pct"/>
            <w:vMerge w:val="restart"/>
          </w:tcPr>
          <w:p w14:paraId="0629B014"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Ill-specified and residual </w:t>
            </w:r>
          </w:p>
        </w:tc>
        <w:tc>
          <w:tcPr>
            <w:tcW w:w="309" w:type="pct"/>
            <w:vMerge w:val="restart"/>
          </w:tcPr>
          <w:p w14:paraId="08549E79"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41 </w:t>
            </w:r>
          </w:p>
        </w:tc>
        <w:tc>
          <w:tcPr>
            <w:tcW w:w="770" w:type="pct"/>
            <w:vMerge w:val="restart"/>
          </w:tcPr>
          <w:p w14:paraId="31504C11"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MN of Ill-specified and residual sites </w:t>
            </w:r>
          </w:p>
        </w:tc>
        <w:tc>
          <w:tcPr>
            <w:tcW w:w="753" w:type="pct"/>
            <w:vMerge w:val="restart"/>
          </w:tcPr>
          <w:p w14:paraId="70830648"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C44, C76, C77, C80, C97 </w:t>
            </w:r>
          </w:p>
        </w:tc>
        <w:tc>
          <w:tcPr>
            <w:tcW w:w="792" w:type="pct"/>
          </w:tcPr>
          <w:p w14:paraId="6D94FDC0"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C440-C449 </w:t>
            </w:r>
          </w:p>
        </w:tc>
        <w:tc>
          <w:tcPr>
            <w:tcW w:w="1595" w:type="pct"/>
          </w:tcPr>
          <w:p w14:paraId="07D7A9DC"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All excluding 8720-8790, 9140, 9050-9055, and 9590-9989 </w:t>
            </w:r>
          </w:p>
        </w:tc>
      </w:tr>
      <w:tr w:rsidR="00CC7066" w:rsidRPr="000931C0" w14:paraId="1A50D45D" w14:textId="77777777" w:rsidTr="00A94120">
        <w:trPr>
          <w:trHeight w:val="204"/>
        </w:trPr>
        <w:tc>
          <w:tcPr>
            <w:tcW w:w="781" w:type="pct"/>
            <w:vMerge/>
          </w:tcPr>
          <w:p w14:paraId="3BB1CDC2" w14:textId="77777777" w:rsidR="00CC7066" w:rsidRPr="000F0562" w:rsidRDefault="00CC7066" w:rsidP="00CC7066">
            <w:pPr>
              <w:autoSpaceDE w:val="0"/>
              <w:autoSpaceDN w:val="0"/>
              <w:adjustRightInd w:val="0"/>
              <w:rPr>
                <w:rFonts w:ascii="Times New Roman" w:eastAsia="Times New Roman" w:hAnsi="Times New Roman"/>
              </w:rPr>
            </w:pPr>
          </w:p>
        </w:tc>
        <w:tc>
          <w:tcPr>
            <w:tcW w:w="309" w:type="pct"/>
            <w:vMerge/>
          </w:tcPr>
          <w:p w14:paraId="2F2F629F" w14:textId="77777777" w:rsidR="00CC7066" w:rsidRPr="000F0562" w:rsidRDefault="00CC7066" w:rsidP="00CC7066">
            <w:pPr>
              <w:autoSpaceDE w:val="0"/>
              <w:autoSpaceDN w:val="0"/>
              <w:adjustRightInd w:val="0"/>
              <w:rPr>
                <w:rFonts w:ascii="Times New Roman" w:eastAsia="Times New Roman" w:hAnsi="Times New Roman"/>
              </w:rPr>
            </w:pPr>
          </w:p>
        </w:tc>
        <w:tc>
          <w:tcPr>
            <w:tcW w:w="770" w:type="pct"/>
            <w:vMerge/>
          </w:tcPr>
          <w:p w14:paraId="47E72AC1" w14:textId="77777777" w:rsidR="00CC7066" w:rsidRPr="000F0562" w:rsidRDefault="00CC7066" w:rsidP="00CC7066">
            <w:pPr>
              <w:autoSpaceDE w:val="0"/>
              <w:autoSpaceDN w:val="0"/>
              <w:adjustRightInd w:val="0"/>
              <w:rPr>
                <w:rFonts w:ascii="Times New Roman" w:eastAsia="Times New Roman" w:hAnsi="Times New Roman"/>
              </w:rPr>
            </w:pPr>
          </w:p>
        </w:tc>
        <w:tc>
          <w:tcPr>
            <w:tcW w:w="753" w:type="pct"/>
            <w:vMerge/>
          </w:tcPr>
          <w:p w14:paraId="0A600269" w14:textId="77777777" w:rsidR="00CC7066" w:rsidRPr="000F0562" w:rsidRDefault="00CC7066" w:rsidP="00CC7066">
            <w:pPr>
              <w:autoSpaceDE w:val="0"/>
              <w:autoSpaceDN w:val="0"/>
              <w:adjustRightInd w:val="0"/>
              <w:rPr>
                <w:rFonts w:ascii="Times New Roman" w:eastAsia="Times New Roman" w:hAnsi="Times New Roman"/>
              </w:rPr>
            </w:pPr>
          </w:p>
        </w:tc>
        <w:tc>
          <w:tcPr>
            <w:tcW w:w="792" w:type="pct"/>
          </w:tcPr>
          <w:p w14:paraId="204936E3"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C760-C768, C809, C420-C424, C770-C779 </w:t>
            </w:r>
          </w:p>
        </w:tc>
        <w:tc>
          <w:tcPr>
            <w:tcW w:w="1595" w:type="pct"/>
          </w:tcPr>
          <w:p w14:paraId="33CB538B" w14:textId="77777777" w:rsidR="00CC7066" w:rsidRPr="000F0562" w:rsidRDefault="00CC7066" w:rsidP="00CC7066">
            <w:pPr>
              <w:autoSpaceDE w:val="0"/>
              <w:autoSpaceDN w:val="0"/>
              <w:adjustRightInd w:val="0"/>
              <w:rPr>
                <w:rFonts w:ascii="Times New Roman" w:eastAsia="Times New Roman" w:hAnsi="Times New Roman"/>
              </w:rPr>
            </w:pPr>
            <w:r w:rsidRPr="000F0562">
              <w:rPr>
                <w:rFonts w:ascii="Times New Roman" w:eastAsia="Times New Roman" w:hAnsi="Times New Roman"/>
              </w:rPr>
              <w:t xml:space="preserve">All excluding 9140, 9050-9055, and 9590-9989 </w:t>
            </w:r>
          </w:p>
        </w:tc>
      </w:tr>
    </w:tbl>
    <w:p w14:paraId="29EFB799" w14:textId="77777777" w:rsidR="00CC7066" w:rsidRDefault="00CC7066" w:rsidP="00CC7066">
      <w:pPr>
        <w:rPr>
          <w:rFonts w:ascii="Times New Roman" w:eastAsia="Times New Roman" w:hAnsi="Times New Roman"/>
        </w:rPr>
      </w:pPr>
      <w:r w:rsidRPr="000F0562">
        <w:rPr>
          <w:rFonts w:ascii="Times New Roman" w:eastAsia="Times New Roman" w:hAnsi="Times New Roman"/>
        </w:rPr>
        <w:t>Abbreviations: ICD-O-3, International Classification of Diseases for Oncology, 3rd Edition; ICD-10, International Classification of Diseases, 10th Revision; MN, malignancy; SEER, Surveillance, Epidemiology, and End Results Program</w:t>
      </w:r>
    </w:p>
    <w:p w14:paraId="6C632AD1" w14:textId="77777777" w:rsidR="00CC7066" w:rsidRPr="000F0562" w:rsidRDefault="00CC7066" w:rsidP="00CC7066">
      <w:pPr>
        <w:rPr>
          <w:rFonts w:ascii="Times New Roman" w:eastAsia="Times New Roman" w:hAnsi="Times New Roman"/>
        </w:rPr>
      </w:pPr>
    </w:p>
    <w:p w14:paraId="336E83A5" w14:textId="77777777" w:rsidR="00CC7066" w:rsidRDefault="00CC7066" w:rsidP="00CC7066">
      <w:pPr>
        <w:ind w:left="360" w:hanging="360"/>
        <w:rPr>
          <w:rFonts w:ascii="Times New Roman" w:eastAsia="Times New Roman" w:hAnsi="Times New Roman"/>
        </w:rPr>
      </w:pPr>
      <w:r w:rsidRPr="000F0562">
        <w:rPr>
          <w:rFonts w:ascii="Times New Roman" w:eastAsia="Times New Roman" w:hAnsi="Times New Roman"/>
          <w:vertAlign w:val="superscript"/>
        </w:rPr>
        <w:t>1</w:t>
      </w:r>
      <w:r w:rsidRPr="000F0562">
        <w:rPr>
          <w:rFonts w:ascii="Times New Roman" w:eastAsia="Times New Roman" w:hAnsi="Times New Roman"/>
        </w:rPr>
        <w:tab/>
        <w:t xml:space="preserve">Table adapted from supplemental table S5 in Daniels RD, Kubale TL, Yiin JH, Dahm MM, Hales TR, </w:t>
      </w:r>
      <w:proofErr w:type="spellStart"/>
      <w:r w:rsidRPr="000F0562">
        <w:rPr>
          <w:rFonts w:ascii="Times New Roman" w:eastAsia="Times New Roman" w:hAnsi="Times New Roman"/>
        </w:rPr>
        <w:t>Baris</w:t>
      </w:r>
      <w:proofErr w:type="spellEnd"/>
      <w:r w:rsidRPr="000F0562">
        <w:rPr>
          <w:rFonts w:ascii="Times New Roman" w:eastAsia="Times New Roman" w:hAnsi="Times New Roman"/>
        </w:rPr>
        <w:t xml:space="preserve"> D, </w:t>
      </w:r>
      <w:proofErr w:type="spellStart"/>
      <w:r w:rsidRPr="000F0562">
        <w:rPr>
          <w:rFonts w:ascii="Times New Roman" w:eastAsia="Times New Roman" w:hAnsi="Times New Roman"/>
        </w:rPr>
        <w:t>Zahm</w:t>
      </w:r>
      <w:proofErr w:type="spellEnd"/>
      <w:r w:rsidRPr="000F0562">
        <w:rPr>
          <w:rFonts w:ascii="Times New Roman" w:eastAsia="Times New Roman" w:hAnsi="Times New Roman"/>
        </w:rPr>
        <w:t xml:space="preserve"> SH, Beaumont JJ, Waters KM, </w:t>
      </w:r>
      <w:proofErr w:type="gramStart"/>
      <w:r w:rsidRPr="000F0562">
        <w:rPr>
          <w:rFonts w:ascii="Times New Roman" w:eastAsia="Times New Roman" w:hAnsi="Times New Roman"/>
        </w:rPr>
        <w:t>Pinkerton</w:t>
      </w:r>
      <w:proofErr w:type="gramEnd"/>
      <w:r w:rsidRPr="000F0562">
        <w:rPr>
          <w:rFonts w:ascii="Times New Roman" w:eastAsia="Times New Roman" w:hAnsi="Times New Roman"/>
        </w:rPr>
        <w:t xml:space="preserve"> LE. Mortality and cancer incidence in a pooled cohort of U.S. firefighters from San Francisco, Chicago and Philadelphia. Occupational and Environmental Medicine 2014</w:t>
      </w:r>
      <w:proofErr w:type="gramStart"/>
      <w:r w:rsidRPr="000F0562">
        <w:rPr>
          <w:rFonts w:ascii="Times New Roman" w:eastAsia="Times New Roman" w:hAnsi="Times New Roman"/>
        </w:rPr>
        <w:t>;71:388</w:t>
      </w:r>
      <w:proofErr w:type="gramEnd"/>
      <w:r w:rsidRPr="000F0562">
        <w:rPr>
          <w:rFonts w:ascii="Times New Roman" w:eastAsia="Times New Roman" w:hAnsi="Times New Roman"/>
        </w:rPr>
        <w:t>-97.</w:t>
      </w:r>
    </w:p>
    <w:p w14:paraId="31BD2430" w14:textId="77777777" w:rsidR="00CC7066" w:rsidRDefault="00CC7066" w:rsidP="00CC7066">
      <w:pPr>
        <w:ind w:left="360" w:hanging="360"/>
        <w:rPr>
          <w:rFonts w:ascii="Times New Roman" w:eastAsia="Times New Roman" w:hAnsi="Times New Roman"/>
        </w:rPr>
      </w:pPr>
      <w:r w:rsidRPr="000F0562">
        <w:rPr>
          <w:rFonts w:ascii="Times New Roman" w:eastAsia="Times New Roman" w:hAnsi="Times New Roman"/>
          <w:vertAlign w:val="superscript"/>
        </w:rPr>
        <w:t>2</w:t>
      </w:r>
      <w:r w:rsidRPr="000F0562">
        <w:rPr>
          <w:rFonts w:ascii="Times New Roman" w:eastAsia="Times New Roman" w:hAnsi="Times New Roman"/>
        </w:rPr>
        <w:tab/>
        <w:t>Urinary bladder incidence cases originally coded in situ (Behavior=2) were recoded to invasive (Behavior=3) per SEER protocol.</w:t>
      </w:r>
    </w:p>
    <w:p w14:paraId="402217B6" w14:textId="77777777" w:rsidR="003D03A3" w:rsidRDefault="003D03A3" w:rsidP="00CC7066">
      <w:pPr>
        <w:rPr>
          <w:rFonts w:ascii="Times New Roman" w:hAnsi="Times New Roman"/>
          <w:b/>
        </w:rPr>
        <w:sectPr w:rsidR="003D03A3" w:rsidSect="00752DF8">
          <w:pgSz w:w="15840" w:h="12240" w:orient="landscape" w:code="1"/>
          <w:pgMar w:top="1080" w:right="1080" w:bottom="1080" w:left="1080" w:header="720" w:footer="720" w:gutter="0"/>
          <w:cols w:space="720"/>
          <w:docGrid w:linePitch="360"/>
        </w:sectPr>
      </w:pPr>
    </w:p>
    <w:p w14:paraId="76F46586" w14:textId="77777777" w:rsidR="003D03A3" w:rsidRPr="008B2AB3" w:rsidRDefault="003D03A3" w:rsidP="003D03A3">
      <w:pPr>
        <w:rPr>
          <w:rFonts w:ascii="Times New Roman" w:hAnsi="Times New Roman"/>
          <w:b/>
          <w:color w:val="000000" w:themeColor="text1"/>
        </w:rPr>
      </w:pPr>
      <w:r w:rsidRPr="008B2AB3">
        <w:rPr>
          <w:rFonts w:ascii="Times New Roman" w:hAnsi="Times New Roman"/>
          <w:b/>
          <w:color w:val="000000" w:themeColor="text1"/>
        </w:rPr>
        <w:lastRenderedPageBreak/>
        <w:t>Supplemental Table S</w:t>
      </w:r>
      <w:r w:rsidR="000E588F" w:rsidRPr="008B2AB3">
        <w:rPr>
          <w:rFonts w:ascii="Times New Roman" w:hAnsi="Times New Roman"/>
          <w:b/>
          <w:color w:val="000000" w:themeColor="text1"/>
        </w:rPr>
        <w:t>3</w:t>
      </w:r>
      <w:r w:rsidRPr="008B2AB3">
        <w:rPr>
          <w:rFonts w:ascii="Times New Roman" w:hAnsi="Times New Roman"/>
          <w:b/>
          <w:color w:val="000000" w:themeColor="text1"/>
        </w:rPr>
        <w:t>: Prostate cancer standardized incidence ratios</w:t>
      </w:r>
    </w:p>
    <w:p w14:paraId="18E7BFAA" w14:textId="77777777" w:rsidR="003D03A3" w:rsidRPr="00DB7A43" w:rsidRDefault="003D03A3" w:rsidP="003D03A3">
      <w:pPr>
        <w:rPr>
          <w:rFonts w:ascii="Times New Roman" w:hAnsi="Times New Roman"/>
          <w:color w:val="000000" w:themeColor="text1"/>
        </w:rPr>
      </w:pP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4193"/>
        <w:gridCol w:w="1224"/>
        <w:gridCol w:w="1280"/>
        <w:gridCol w:w="708"/>
        <w:gridCol w:w="790"/>
        <w:gridCol w:w="651"/>
        <w:gridCol w:w="1234"/>
      </w:tblGrid>
      <w:tr w:rsidR="003D03A3" w:rsidRPr="00DB7A43" w14:paraId="140728C6" w14:textId="77777777" w:rsidTr="00752DF8">
        <w:tc>
          <w:tcPr>
            <w:tcW w:w="2080" w:type="pct"/>
            <w:tcBorders>
              <w:top w:val="single" w:sz="4" w:space="0" w:color="auto"/>
              <w:left w:val="nil"/>
              <w:bottom w:val="single" w:sz="4" w:space="0" w:color="auto"/>
              <w:right w:val="nil"/>
            </w:tcBorders>
            <w:vAlign w:val="bottom"/>
          </w:tcPr>
          <w:p w14:paraId="0DB0AB83"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Analysis </w:t>
            </w:r>
            <w:r w:rsidRPr="00DB7A43">
              <w:rPr>
                <w:rFonts w:ascii="Times New Roman" w:hAnsi="Times New Roman"/>
                <w:color w:val="000000" w:themeColor="text1"/>
                <w:sz w:val="20"/>
                <w:szCs w:val="20"/>
                <w:vertAlign w:val="superscript"/>
              </w:rPr>
              <w:t>1</w:t>
            </w:r>
          </w:p>
        </w:tc>
        <w:tc>
          <w:tcPr>
            <w:tcW w:w="607" w:type="pct"/>
            <w:tcBorders>
              <w:top w:val="single" w:sz="4" w:space="0" w:color="auto"/>
              <w:left w:val="nil"/>
              <w:bottom w:val="single" w:sz="4" w:space="0" w:color="auto"/>
              <w:right w:val="nil"/>
            </w:tcBorders>
            <w:vAlign w:val="bottom"/>
          </w:tcPr>
          <w:p w14:paraId="4DB0706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No.</w:t>
            </w:r>
          </w:p>
          <w:p w14:paraId="04D4A83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workers </w:t>
            </w:r>
            <w:r w:rsidRPr="00DB7A43">
              <w:rPr>
                <w:rFonts w:ascii="Times New Roman" w:hAnsi="Times New Roman"/>
                <w:color w:val="000000" w:themeColor="text1"/>
                <w:sz w:val="20"/>
                <w:szCs w:val="20"/>
                <w:vertAlign w:val="superscript"/>
              </w:rPr>
              <w:t>2</w:t>
            </w:r>
          </w:p>
        </w:tc>
        <w:tc>
          <w:tcPr>
            <w:tcW w:w="635" w:type="pct"/>
            <w:tcBorders>
              <w:top w:val="single" w:sz="4" w:space="0" w:color="auto"/>
              <w:left w:val="nil"/>
              <w:bottom w:val="single" w:sz="4" w:space="0" w:color="auto"/>
              <w:right w:val="nil"/>
            </w:tcBorders>
            <w:vAlign w:val="bottom"/>
          </w:tcPr>
          <w:p w14:paraId="6D44F694"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PYAR</w:t>
            </w:r>
          </w:p>
        </w:tc>
        <w:tc>
          <w:tcPr>
            <w:tcW w:w="351" w:type="pct"/>
            <w:tcBorders>
              <w:top w:val="single" w:sz="4" w:space="0" w:color="auto"/>
              <w:left w:val="nil"/>
              <w:bottom w:val="single" w:sz="4" w:space="0" w:color="auto"/>
              <w:right w:val="nil"/>
            </w:tcBorders>
            <w:vAlign w:val="bottom"/>
          </w:tcPr>
          <w:p w14:paraId="09B46E0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OBS</w:t>
            </w:r>
          </w:p>
        </w:tc>
        <w:tc>
          <w:tcPr>
            <w:tcW w:w="392" w:type="pct"/>
            <w:tcBorders>
              <w:top w:val="single" w:sz="4" w:space="0" w:color="auto"/>
              <w:left w:val="nil"/>
              <w:bottom w:val="single" w:sz="4" w:space="0" w:color="auto"/>
              <w:right w:val="nil"/>
            </w:tcBorders>
            <w:vAlign w:val="bottom"/>
          </w:tcPr>
          <w:p w14:paraId="69ECAE9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EXP</w:t>
            </w:r>
          </w:p>
        </w:tc>
        <w:tc>
          <w:tcPr>
            <w:tcW w:w="323" w:type="pct"/>
            <w:tcBorders>
              <w:top w:val="single" w:sz="4" w:space="0" w:color="auto"/>
              <w:left w:val="nil"/>
              <w:bottom w:val="single" w:sz="4" w:space="0" w:color="auto"/>
              <w:right w:val="nil"/>
            </w:tcBorders>
            <w:vAlign w:val="bottom"/>
          </w:tcPr>
          <w:p w14:paraId="37F1F63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SIR</w:t>
            </w:r>
          </w:p>
        </w:tc>
        <w:tc>
          <w:tcPr>
            <w:tcW w:w="612" w:type="pct"/>
            <w:tcBorders>
              <w:top w:val="single" w:sz="4" w:space="0" w:color="auto"/>
              <w:left w:val="nil"/>
              <w:bottom w:val="single" w:sz="4" w:space="0" w:color="auto"/>
              <w:right w:val="nil"/>
            </w:tcBorders>
            <w:vAlign w:val="bottom"/>
          </w:tcPr>
          <w:p w14:paraId="587ED03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95% CI</w:t>
            </w:r>
          </w:p>
        </w:tc>
      </w:tr>
      <w:tr w:rsidR="003D03A3" w:rsidRPr="00DB7A43" w14:paraId="4326DF5F" w14:textId="77777777" w:rsidTr="00752DF8">
        <w:tc>
          <w:tcPr>
            <w:tcW w:w="2080" w:type="pct"/>
            <w:tcBorders>
              <w:top w:val="single" w:sz="4" w:space="0" w:color="auto"/>
              <w:left w:val="nil"/>
              <w:bottom w:val="nil"/>
              <w:right w:val="nil"/>
            </w:tcBorders>
          </w:tcPr>
          <w:p w14:paraId="71B3F663"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All workers</w:t>
            </w:r>
          </w:p>
        </w:tc>
        <w:tc>
          <w:tcPr>
            <w:tcW w:w="607" w:type="pct"/>
            <w:tcBorders>
              <w:top w:val="single" w:sz="4" w:space="0" w:color="auto"/>
              <w:left w:val="nil"/>
              <w:bottom w:val="nil"/>
              <w:right w:val="nil"/>
            </w:tcBorders>
          </w:tcPr>
          <w:p w14:paraId="2000389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9905</w:t>
            </w:r>
          </w:p>
        </w:tc>
        <w:tc>
          <w:tcPr>
            <w:tcW w:w="635" w:type="pct"/>
            <w:tcBorders>
              <w:top w:val="single" w:sz="4" w:space="0" w:color="auto"/>
              <w:left w:val="nil"/>
              <w:bottom w:val="nil"/>
              <w:right w:val="nil"/>
            </w:tcBorders>
          </w:tcPr>
          <w:p w14:paraId="4387BFD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193,960.3</w:t>
            </w:r>
          </w:p>
        </w:tc>
        <w:tc>
          <w:tcPr>
            <w:tcW w:w="351" w:type="pct"/>
            <w:tcBorders>
              <w:top w:val="single" w:sz="4" w:space="0" w:color="auto"/>
              <w:left w:val="nil"/>
              <w:bottom w:val="nil"/>
              <w:right w:val="nil"/>
            </w:tcBorders>
          </w:tcPr>
          <w:p w14:paraId="49D668E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454</w:t>
            </w:r>
          </w:p>
        </w:tc>
        <w:tc>
          <w:tcPr>
            <w:tcW w:w="392" w:type="pct"/>
            <w:tcBorders>
              <w:top w:val="single" w:sz="4" w:space="0" w:color="auto"/>
              <w:left w:val="nil"/>
              <w:bottom w:val="nil"/>
              <w:right w:val="nil"/>
            </w:tcBorders>
          </w:tcPr>
          <w:p w14:paraId="4184282F"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515.6</w:t>
            </w:r>
          </w:p>
        </w:tc>
        <w:tc>
          <w:tcPr>
            <w:tcW w:w="323" w:type="pct"/>
            <w:tcBorders>
              <w:top w:val="single" w:sz="4" w:space="0" w:color="auto"/>
              <w:left w:val="nil"/>
              <w:bottom w:val="nil"/>
              <w:right w:val="nil"/>
            </w:tcBorders>
          </w:tcPr>
          <w:p w14:paraId="060675FC"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0.88</w:t>
            </w:r>
          </w:p>
        </w:tc>
        <w:tc>
          <w:tcPr>
            <w:tcW w:w="612" w:type="pct"/>
            <w:tcBorders>
              <w:top w:val="single" w:sz="4" w:space="0" w:color="auto"/>
              <w:left w:val="nil"/>
              <w:bottom w:val="nil"/>
              <w:right w:val="nil"/>
            </w:tcBorders>
          </w:tcPr>
          <w:p w14:paraId="40E8EF0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0.80</w:t>
            </w:r>
            <w:r w:rsidRPr="00DB7A43">
              <w:rPr>
                <w:rFonts w:ascii="Times New Roman" w:hAnsi="Times New Roman"/>
                <w:color w:val="000000" w:themeColor="text1"/>
                <w:sz w:val="20"/>
                <w:szCs w:val="20"/>
              </w:rPr>
              <w:noBreakHyphen/>
              <w:t>0.97</w:t>
            </w:r>
          </w:p>
        </w:tc>
      </w:tr>
      <w:tr w:rsidR="003D03A3" w:rsidRPr="00DB7A43" w14:paraId="66DD268E" w14:textId="77777777" w:rsidTr="00752DF8">
        <w:tc>
          <w:tcPr>
            <w:tcW w:w="2080" w:type="pct"/>
            <w:tcBorders>
              <w:top w:val="nil"/>
              <w:left w:val="nil"/>
              <w:bottom w:val="nil"/>
              <w:right w:val="nil"/>
            </w:tcBorders>
          </w:tcPr>
          <w:p w14:paraId="455414B5"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By plant</w:t>
            </w:r>
          </w:p>
        </w:tc>
        <w:tc>
          <w:tcPr>
            <w:tcW w:w="607" w:type="pct"/>
            <w:tcBorders>
              <w:top w:val="nil"/>
              <w:left w:val="nil"/>
              <w:bottom w:val="nil"/>
              <w:right w:val="nil"/>
            </w:tcBorders>
          </w:tcPr>
          <w:p w14:paraId="45AB2B63" w14:textId="77777777" w:rsidR="003D03A3" w:rsidRPr="00DB7A43" w:rsidRDefault="003D03A3" w:rsidP="00752DF8">
            <w:pPr>
              <w:jc w:val="center"/>
              <w:rPr>
                <w:rFonts w:ascii="Times New Roman" w:hAnsi="Times New Roman"/>
                <w:color w:val="000000" w:themeColor="text1"/>
                <w:sz w:val="20"/>
                <w:szCs w:val="20"/>
              </w:rPr>
            </w:pPr>
          </w:p>
        </w:tc>
        <w:tc>
          <w:tcPr>
            <w:tcW w:w="635" w:type="pct"/>
            <w:tcBorders>
              <w:top w:val="nil"/>
              <w:left w:val="nil"/>
              <w:bottom w:val="nil"/>
              <w:right w:val="nil"/>
            </w:tcBorders>
          </w:tcPr>
          <w:p w14:paraId="52AC4151" w14:textId="77777777" w:rsidR="003D03A3" w:rsidRPr="00DB7A43" w:rsidRDefault="003D03A3" w:rsidP="00752DF8">
            <w:pPr>
              <w:jc w:val="center"/>
              <w:rPr>
                <w:rFonts w:ascii="Times New Roman" w:hAnsi="Times New Roman"/>
                <w:color w:val="000000" w:themeColor="text1"/>
                <w:sz w:val="20"/>
                <w:szCs w:val="20"/>
              </w:rPr>
            </w:pPr>
          </w:p>
        </w:tc>
        <w:tc>
          <w:tcPr>
            <w:tcW w:w="351" w:type="pct"/>
            <w:tcBorders>
              <w:top w:val="nil"/>
              <w:left w:val="nil"/>
              <w:bottom w:val="nil"/>
              <w:right w:val="nil"/>
            </w:tcBorders>
          </w:tcPr>
          <w:p w14:paraId="35529DCA" w14:textId="77777777" w:rsidR="003D03A3" w:rsidRPr="00DB7A43" w:rsidRDefault="003D03A3" w:rsidP="00752DF8">
            <w:pPr>
              <w:jc w:val="center"/>
              <w:rPr>
                <w:rFonts w:ascii="Times New Roman" w:hAnsi="Times New Roman"/>
                <w:color w:val="000000" w:themeColor="text1"/>
                <w:sz w:val="20"/>
                <w:szCs w:val="20"/>
              </w:rPr>
            </w:pPr>
          </w:p>
        </w:tc>
        <w:tc>
          <w:tcPr>
            <w:tcW w:w="392" w:type="pct"/>
            <w:tcBorders>
              <w:top w:val="nil"/>
              <w:left w:val="nil"/>
              <w:bottom w:val="nil"/>
              <w:right w:val="nil"/>
            </w:tcBorders>
          </w:tcPr>
          <w:p w14:paraId="3D7C0E4C" w14:textId="77777777" w:rsidR="003D03A3" w:rsidRPr="00DB7A43" w:rsidRDefault="003D03A3" w:rsidP="00752DF8">
            <w:pPr>
              <w:jc w:val="center"/>
              <w:rPr>
                <w:rFonts w:ascii="Times New Roman" w:hAnsi="Times New Roman"/>
                <w:color w:val="000000" w:themeColor="text1"/>
                <w:sz w:val="20"/>
                <w:szCs w:val="20"/>
              </w:rPr>
            </w:pPr>
          </w:p>
        </w:tc>
        <w:tc>
          <w:tcPr>
            <w:tcW w:w="323" w:type="pct"/>
            <w:tcBorders>
              <w:top w:val="nil"/>
              <w:left w:val="nil"/>
              <w:bottom w:val="nil"/>
              <w:right w:val="nil"/>
            </w:tcBorders>
          </w:tcPr>
          <w:p w14:paraId="5B3D5120" w14:textId="77777777" w:rsidR="003D03A3" w:rsidRPr="00DB7A43" w:rsidRDefault="003D03A3" w:rsidP="00752DF8">
            <w:pPr>
              <w:jc w:val="center"/>
              <w:rPr>
                <w:rFonts w:ascii="Times New Roman" w:hAnsi="Times New Roman"/>
                <w:color w:val="000000" w:themeColor="text1"/>
                <w:sz w:val="20"/>
                <w:szCs w:val="20"/>
              </w:rPr>
            </w:pPr>
          </w:p>
        </w:tc>
        <w:tc>
          <w:tcPr>
            <w:tcW w:w="612" w:type="pct"/>
            <w:tcBorders>
              <w:top w:val="nil"/>
              <w:left w:val="nil"/>
              <w:bottom w:val="nil"/>
              <w:right w:val="nil"/>
            </w:tcBorders>
          </w:tcPr>
          <w:p w14:paraId="5A5E1875"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643E921D" w14:textId="77777777" w:rsidTr="00752DF8">
        <w:tc>
          <w:tcPr>
            <w:tcW w:w="2080" w:type="pct"/>
            <w:tcBorders>
              <w:top w:val="nil"/>
              <w:left w:val="nil"/>
              <w:bottom w:val="nil"/>
              <w:right w:val="nil"/>
            </w:tcBorders>
          </w:tcPr>
          <w:p w14:paraId="4D1CFE8F"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Indiana</w:t>
            </w:r>
          </w:p>
        </w:tc>
        <w:tc>
          <w:tcPr>
            <w:tcW w:w="607" w:type="pct"/>
            <w:tcBorders>
              <w:top w:val="nil"/>
              <w:left w:val="nil"/>
              <w:bottom w:val="nil"/>
              <w:right w:val="nil"/>
            </w:tcBorders>
          </w:tcPr>
          <w:p w14:paraId="6C5EA02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2208</w:t>
            </w:r>
          </w:p>
        </w:tc>
        <w:tc>
          <w:tcPr>
            <w:tcW w:w="635" w:type="pct"/>
            <w:tcBorders>
              <w:top w:val="nil"/>
              <w:left w:val="nil"/>
              <w:bottom w:val="nil"/>
              <w:right w:val="nil"/>
            </w:tcBorders>
          </w:tcPr>
          <w:p w14:paraId="0532906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37,631.0</w:t>
            </w:r>
          </w:p>
        </w:tc>
        <w:tc>
          <w:tcPr>
            <w:tcW w:w="351" w:type="pct"/>
            <w:tcBorders>
              <w:top w:val="nil"/>
              <w:left w:val="nil"/>
              <w:bottom w:val="nil"/>
              <w:right w:val="nil"/>
            </w:tcBorders>
          </w:tcPr>
          <w:p w14:paraId="7FD959C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99</w:t>
            </w:r>
          </w:p>
        </w:tc>
        <w:tc>
          <w:tcPr>
            <w:tcW w:w="392" w:type="pct"/>
            <w:tcBorders>
              <w:top w:val="nil"/>
              <w:left w:val="nil"/>
              <w:bottom w:val="nil"/>
              <w:right w:val="nil"/>
            </w:tcBorders>
          </w:tcPr>
          <w:p w14:paraId="5055721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123.1</w:t>
            </w:r>
          </w:p>
        </w:tc>
        <w:tc>
          <w:tcPr>
            <w:tcW w:w="323" w:type="pct"/>
            <w:tcBorders>
              <w:top w:val="nil"/>
              <w:left w:val="nil"/>
              <w:bottom w:val="nil"/>
              <w:right w:val="nil"/>
            </w:tcBorders>
          </w:tcPr>
          <w:p w14:paraId="7906DE0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0.80</w:t>
            </w:r>
          </w:p>
        </w:tc>
        <w:tc>
          <w:tcPr>
            <w:tcW w:w="612" w:type="pct"/>
            <w:tcBorders>
              <w:top w:val="nil"/>
              <w:left w:val="nil"/>
              <w:bottom w:val="nil"/>
              <w:right w:val="nil"/>
            </w:tcBorders>
          </w:tcPr>
          <w:p w14:paraId="1781A90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0.65-0.98</w:t>
            </w:r>
          </w:p>
        </w:tc>
      </w:tr>
      <w:tr w:rsidR="003D03A3" w:rsidRPr="00DB7A43" w14:paraId="72745535" w14:textId="77777777" w:rsidTr="00752DF8">
        <w:tc>
          <w:tcPr>
            <w:tcW w:w="2080" w:type="pct"/>
            <w:tcBorders>
              <w:top w:val="nil"/>
              <w:left w:val="nil"/>
              <w:bottom w:val="nil"/>
              <w:right w:val="nil"/>
            </w:tcBorders>
          </w:tcPr>
          <w:p w14:paraId="4F784630"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Massachusetts </w:t>
            </w:r>
          </w:p>
        </w:tc>
        <w:tc>
          <w:tcPr>
            <w:tcW w:w="607" w:type="pct"/>
            <w:tcBorders>
              <w:top w:val="nil"/>
              <w:left w:val="nil"/>
              <w:bottom w:val="nil"/>
              <w:right w:val="nil"/>
            </w:tcBorders>
          </w:tcPr>
          <w:p w14:paraId="54298F9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3319</w:t>
            </w:r>
          </w:p>
        </w:tc>
        <w:tc>
          <w:tcPr>
            <w:tcW w:w="635" w:type="pct"/>
            <w:tcBorders>
              <w:top w:val="nil"/>
              <w:left w:val="nil"/>
              <w:bottom w:val="nil"/>
              <w:right w:val="nil"/>
            </w:tcBorders>
          </w:tcPr>
          <w:p w14:paraId="597703E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64,341.4</w:t>
            </w:r>
          </w:p>
        </w:tc>
        <w:tc>
          <w:tcPr>
            <w:tcW w:w="351" w:type="pct"/>
            <w:tcBorders>
              <w:top w:val="nil"/>
              <w:left w:val="nil"/>
              <w:bottom w:val="nil"/>
              <w:right w:val="nil"/>
            </w:tcBorders>
          </w:tcPr>
          <w:p w14:paraId="45DE740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167</w:t>
            </w:r>
          </w:p>
        </w:tc>
        <w:tc>
          <w:tcPr>
            <w:tcW w:w="392" w:type="pct"/>
            <w:tcBorders>
              <w:top w:val="nil"/>
              <w:left w:val="nil"/>
              <w:bottom w:val="nil"/>
              <w:right w:val="nil"/>
            </w:tcBorders>
          </w:tcPr>
          <w:p w14:paraId="02166E6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180.6</w:t>
            </w:r>
          </w:p>
        </w:tc>
        <w:tc>
          <w:tcPr>
            <w:tcW w:w="323" w:type="pct"/>
            <w:tcBorders>
              <w:top w:val="nil"/>
              <w:left w:val="nil"/>
              <w:bottom w:val="nil"/>
              <w:right w:val="nil"/>
            </w:tcBorders>
          </w:tcPr>
          <w:p w14:paraId="319696A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0.92</w:t>
            </w:r>
          </w:p>
        </w:tc>
        <w:tc>
          <w:tcPr>
            <w:tcW w:w="612" w:type="pct"/>
            <w:tcBorders>
              <w:top w:val="nil"/>
              <w:left w:val="nil"/>
              <w:bottom w:val="nil"/>
              <w:right w:val="nil"/>
            </w:tcBorders>
          </w:tcPr>
          <w:p w14:paraId="791D41D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0.79-1.08</w:t>
            </w:r>
          </w:p>
        </w:tc>
      </w:tr>
      <w:tr w:rsidR="003D03A3" w:rsidRPr="00DB7A43" w14:paraId="31F8D951" w14:textId="77777777" w:rsidTr="00752DF8">
        <w:tc>
          <w:tcPr>
            <w:tcW w:w="2080" w:type="pct"/>
            <w:tcBorders>
              <w:top w:val="nil"/>
              <w:left w:val="nil"/>
              <w:bottom w:val="nil"/>
              <w:right w:val="nil"/>
            </w:tcBorders>
          </w:tcPr>
          <w:p w14:paraId="73F5CCC2"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New York </w:t>
            </w:r>
          </w:p>
        </w:tc>
        <w:tc>
          <w:tcPr>
            <w:tcW w:w="607" w:type="pct"/>
            <w:tcBorders>
              <w:top w:val="nil"/>
              <w:left w:val="nil"/>
              <w:bottom w:val="nil"/>
              <w:right w:val="nil"/>
            </w:tcBorders>
          </w:tcPr>
          <w:p w14:paraId="37BD2E1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4378</w:t>
            </w:r>
          </w:p>
        </w:tc>
        <w:tc>
          <w:tcPr>
            <w:tcW w:w="635" w:type="pct"/>
            <w:tcBorders>
              <w:top w:val="nil"/>
              <w:left w:val="nil"/>
              <w:bottom w:val="nil"/>
              <w:right w:val="nil"/>
            </w:tcBorders>
          </w:tcPr>
          <w:p w14:paraId="6F9D9BF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91,987.8</w:t>
            </w:r>
          </w:p>
        </w:tc>
        <w:tc>
          <w:tcPr>
            <w:tcW w:w="351" w:type="pct"/>
            <w:tcBorders>
              <w:top w:val="nil"/>
              <w:left w:val="nil"/>
              <w:bottom w:val="nil"/>
              <w:right w:val="nil"/>
            </w:tcBorders>
          </w:tcPr>
          <w:p w14:paraId="0C763A3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188</w:t>
            </w:r>
          </w:p>
        </w:tc>
        <w:tc>
          <w:tcPr>
            <w:tcW w:w="392" w:type="pct"/>
            <w:tcBorders>
              <w:top w:val="nil"/>
              <w:left w:val="nil"/>
              <w:bottom w:val="nil"/>
              <w:right w:val="nil"/>
            </w:tcBorders>
          </w:tcPr>
          <w:p w14:paraId="2EA4FD6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211.9</w:t>
            </w:r>
          </w:p>
        </w:tc>
        <w:tc>
          <w:tcPr>
            <w:tcW w:w="323" w:type="pct"/>
            <w:tcBorders>
              <w:top w:val="nil"/>
              <w:left w:val="nil"/>
              <w:bottom w:val="nil"/>
              <w:right w:val="nil"/>
            </w:tcBorders>
          </w:tcPr>
          <w:p w14:paraId="0A9AC1C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0.89</w:t>
            </w:r>
          </w:p>
        </w:tc>
        <w:tc>
          <w:tcPr>
            <w:tcW w:w="612" w:type="pct"/>
            <w:tcBorders>
              <w:top w:val="nil"/>
              <w:left w:val="nil"/>
              <w:bottom w:val="nil"/>
              <w:right w:val="nil"/>
            </w:tcBorders>
          </w:tcPr>
          <w:p w14:paraId="6E0787F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0.77-1.02</w:t>
            </w:r>
          </w:p>
        </w:tc>
      </w:tr>
      <w:tr w:rsidR="003D03A3" w:rsidRPr="00DB7A43" w14:paraId="51C99BF8" w14:textId="77777777" w:rsidTr="00752DF8">
        <w:tc>
          <w:tcPr>
            <w:tcW w:w="2080" w:type="pct"/>
            <w:tcBorders>
              <w:top w:val="nil"/>
              <w:left w:val="nil"/>
              <w:bottom w:val="nil"/>
              <w:right w:val="nil"/>
            </w:tcBorders>
          </w:tcPr>
          <w:p w14:paraId="32B5BB30"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By employment duration</w:t>
            </w:r>
          </w:p>
        </w:tc>
        <w:tc>
          <w:tcPr>
            <w:tcW w:w="607" w:type="pct"/>
            <w:tcBorders>
              <w:top w:val="nil"/>
              <w:left w:val="nil"/>
              <w:bottom w:val="nil"/>
              <w:right w:val="nil"/>
            </w:tcBorders>
          </w:tcPr>
          <w:p w14:paraId="00DAF436" w14:textId="77777777" w:rsidR="003D03A3" w:rsidRPr="00DB7A43" w:rsidRDefault="003D03A3" w:rsidP="00752DF8">
            <w:pPr>
              <w:jc w:val="center"/>
              <w:rPr>
                <w:rFonts w:ascii="Times New Roman" w:hAnsi="Times New Roman"/>
                <w:color w:val="000000" w:themeColor="text1"/>
                <w:sz w:val="20"/>
                <w:szCs w:val="20"/>
              </w:rPr>
            </w:pPr>
          </w:p>
        </w:tc>
        <w:tc>
          <w:tcPr>
            <w:tcW w:w="635" w:type="pct"/>
            <w:tcBorders>
              <w:top w:val="nil"/>
              <w:left w:val="nil"/>
              <w:bottom w:val="nil"/>
              <w:right w:val="nil"/>
            </w:tcBorders>
          </w:tcPr>
          <w:p w14:paraId="6AD771F0" w14:textId="77777777" w:rsidR="003D03A3" w:rsidRPr="00DB7A43" w:rsidRDefault="003D03A3" w:rsidP="00752DF8">
            <w:pPr>
              <w:jc w:val="center"/>
              <w:rPr>
                <w:rFonts w:ascii="Times New Roman" w:hAnsi="Times New Roman"/>
                <w:color w:val="000000" w:themeColor="text1"/>
                <w:sz w:val="20"/>
                <w:szCs w:val="20"/>
              </w:rPr>
            </w:pPr>
          </w:p>
        </w:tc>
        <w:tc>
          <w:tcPr>
            <w:tcW w:w="351" w:type="pct"/>
            <w:tcBorders>
              <w:top w:val="nil"/>
              <w:left w:val="nil"/>
              <w:bottom w:val="nil"/>
              <w:right w:val="nil"/>
            </w:tcBorders>
          </w:tcPr>
          <w:p w14:paraId="663AF87A" w14:textId="77777777" w:rsidR="003D03A3" w:rsidRPr="00DB7A43" w:rsidRDefault="003D03A3" w:rsidP="00752DF8">
            <w:pPr>
              <w:jc w:val="center"/>
              <w:rPr>
                <w:rFonts w:ascii="Times New Roman" w:hAnsi="Times New Roman"/>
                <w:color w:val="000000" w:themeColor="text1"/>
                <w:sz w:val="20"/>
                <w:szCs w:val="20"/>
              </w:rPr>
            </w:pPr>
          </w:p>
        </w:tc>
        <w:tc>
          <w:tcPr>
            <w:tcW w:w="392" w:type="pct"/>
            <w:tcBorders>
              <w:top w:val="nil"/>
              <w:left w:val="nil"/>
              <w:bottom w:val="nil"/>
              <w:right w:val="nil"/>
            </w:tcBorders>
          </w:tcPr>
          <w:p w14:paraId="7F5B4219" w14:textId="77777777" w:rsidR="003D03A3" w:rsidRPr="00DB7A43" w:rsidRDefault="003D03A3" w:rsidP="00752DF8">
            <w:pPr>
              <w:jc w:val="center"/>
              <w:rPr>
                <w:rFonts w:ascii="Times New Roman" w:hAnsi="Times New Roman"/>
                <w:color w:val="000000" w:themeColor="text1"/>
                <w:sz w:val="20"/>
                <w:szCs w:val="20"/>
              </w:rPr>
            </w:pPr>
          </w:p>
        </w:tc>
        <w:tc>
          <w:tcPr>
            <w:tcW w:w="323" w:type="pct"/>
            <w:tcBorders>
              <w:top w:val="nil"/>
              <w:left w:val="nil"/>
              <w:bottom w:val="nil"/>
              <w:right w:val="nil"/>
            </w:tcBorders>
          </w:tcPr>
          <w:p w14:paraId="6B03BADB" w14:textId="77777777" w:rsidR="003D03A3" w:rsidRPr="00DB7A43" w:rsidRDefault="003D03A3" w:rsidP="00752DF8">
            <w:pPr>
              <w:jc w:val="center"/>
              <w:rPr>
                <w:rFonts w:ascii="Times New Roman" w:hAnsi="Times New Roman"/>
                <w:color w:val="000000" w:themeColor="text1"/>
                <w:sz w:val="20"/>
                <w:szCs w:val="20"/>
              </w:rPr>
            </w:pPr>
          </w:p>
        </w:tc>
        <w:tc>
          <w:tcPr>
            <w:tcW w:w="612" w:type="pct"/>
            <w:tcBorders>
              <w:top w:val="nil"/>
              <w:left w:val="nil"/>
              <w:bottom w:val="nil"/>
              <w:right w:val="nil"/>
            </w:tcBorders>
          </w:tcPr>
          <w:p w14:paraId="0924547B"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4BF5C7B4" w14:textId="77777777" w:rsidTr="00752DF8">
        <w:tc>
          <w:tcPr>
            <w:tcW w:w="2080" w:type="pct"/>
            <w:tcBorders>
              <w:top w:val="nil"/>
              <w:left w:val="nil"/>
              <w:bottom w:val="nil"/>
              <w:right w:val="nil"/>
            </w:tcBorders>
          </w:tcPr>
          <w:p w14:paraId="3E715628"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Short-term workers (&lt; 90 days)</w:t>
            </w:r>
          </w:p>
        </w:tc>
        <w:tc>
          <w:tcPr>
            <w:tcW w:w="607" w:type="pct"/>
            <w:tcBorders>
              <w:top w:val="nil"/>
              <w:left w:val="nil"/>
              <w:bottom w:val="nil"/>
              <w:right w:val="nil"/>
            </w:tcBorders>
          </w:tcPr>
          <w:p w14:paraId="1D0306F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2638</w:t>
            </w:r>
          </w:p>
        </w:tc>
        <w:tc>
          <w:tcPr>
            <w:tcW w:w="635" w:type="pct"/>
            <w:tcBorders>
              <w:top w:val="nil"/>
              <w:left w:val="nil"/>
              <w:bottom w:val="nil"/>
              <w:right w:val="nil"/>
            </w:tcBorders>
          </w:tcPr>
          <w:p w14:paraId="182DE6D4"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51,462.5</w:t>
            </w:r>
          </w:p>
        </w:tc>
        <w:tc>
          <w:tcPr>
            <w:tcW w:w="351" w:type="pct"/>
            <w:tcBorders>
              <w:top w:val="nil"/>
              <w:left w:val="nil"/>
              <w:bottom w:val="nil"/>
              <w:right w:val="nil"/>
            </w:tcBorders>
          </w:tcPr>
          <w:p w14:paraId="33FD0AF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96</w:t>
            </w:r>
          </w:p>
        </w:tc>
        <w:tc>
          <w:tcPr>
            <w:tcW w:w="392" w:type="pct"/>
            <w:tcBorders>
              <w:top w:val="nil"/>
              <w:left w:val="nil"/>
              <w:bottom w:val="nil"/>
              <w:right w:val="nil"/>
            </w:tcBorders>
          </w:tcPr>
          <w:p w14:paraId="0D9B59B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108.9</w:t>
            </w:r>
          </w:p>
        </w:tc>
        <w:tc>
          <w:tcPr>
            <w:tcW w:w="323" w:type="pct"/>
            <w:tcBorders>
              <w:top w:val="nil"/>
              <w:left w:val="nil"/>
              <w:bottom w:val="nil"/>
              <w:right w:val="nil"/>
            </w:tcBorders>
          </w:tcPr>
          <w:p w14:paraId="1BCC7D3F"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0.88</w:t>
            </w:r>
          </w:p>
        </w:tc>
        <w:tc>
          <w:tcPr>
            <w:tcW w:w="612" w:type="pct"/>
            <w:tcBorders>
              <w:top w:val="nil"/>
              <w:left w:val="nil"/>
              <w:bottom w:val="nil"/>
              <w:right w:val="nil"/>
            </w:tcBorders>
          </w:tcPr>
          <w:p w14:paraId="0EED983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0.71-1.08</w:t>
            </w:r>
          </w:p>
        </w:tc>
      </w:tr>
      <w:tr w:rsidR="003D03A3" w:rsidRPr="00DB7A43" w14:paraId="21496406" w14:textId="77777777" w:rsidTr="00752DF8">
        <w:tc>
          <w:tcPr>
            <w:tcW w:w="2080" w:type="pct"/>
            <w:tcBorders>
              <w:top w:val="nil"/>
              <w:left w:val="nil"/>
              <w:bottom w:val="single" w:sz="4" w:space="0" w:color="auto"/>
              <w:right w:val="nil"/>
            </w:tcBorders>
          </w:tcPr>
          <w:p w14:paraId="2EFB2E0A"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Long-term workers (90+ days)</w:t>
            </w:r>
          </w:p>
        </w:tc>
        <w:tc>
          <w:tcPr>
            <w:tcW w:w="607" w:type="pct"/>
            <w:tcBorders>
              <w:top w:val="nil"/>
              <w:left w:val="nil"/>
              <w:bottom w:val="single" w:sz="4" w:space="0" w:color="auto"/>
              <w:right w:val="nil"/>
            </w:tcBorders>
          </w:tcPr>
          <w:p w14:paraId="752213D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7267</w:t>
            </w:r>
          </w:p>
        </w:tc>
        <w:tc>
          <w:tcPr>
            <w:tcW w:w="635" w:type="pct"/>
            <w:tcBorders>
              <w:top w:val="nil"/>
              <w:left w:val="nil"/>
              <w:bottom w:val="single" w:sz="4" w:space="0" w:color="auto"/>
              <w:right w:val="nil"/>
            </w:tcBorders>
          </w:tcPr>
          <w:p w14:paraId="375F1F2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142,497.8</w:t>
            </w:r>
          </w:p>
        </w:tc>
        <w:tc>
          <w:tcPr>
            <w:tcW w:w="351" w:type="pct"/>
            <w:tcBorders>
              <w:top w:val="nil"/>
              <w:left w:val="nil"/>
              <w:bottom w:val="single" w:sz="4" w:space="0" w:color="auto"/>
              <w:right w:val="nil"/>
            </w:tcBorders>
          </w:tcPr>
          <w:p w14:paraId="573A0589"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358</w:t>
            </w:r>
          </w:p>
        </w:tc>
        <w:tc>
          <w:tcPr>
            <w:tcW w:w="392" w:type="pct"/>
            <w:tcBorders>
              <w:top w:val="nil"/>
              <w:left w:val="nil"/>
              <w:bottom w:val="single" w:sz="4" w:space="0" w:color="auto"/>
              <w:right w:val="nil"/>
            </w:tcBorders>
          </w:tcPr>
          <w:p w14:paraId="67F33CB9"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406.7</w:t>
            </w:r>
          </w:p>
        </w:tc>
        <w:tc>
          <w:tcPr>
            <w:tcW w:w="323" w:type="pct"/>
            <w:tcBorders>
              <w:top w:val="nil"/>
              <w:left w:val="nil"/>
              <w:bottom w:val="single" w:sz="4" w:space="0" w:color="auto"/>
              <w:right w:val="nil"/>
            </w:tcBorders>
          </w:tcPr>
          <w:p w14:paraId="796D6AE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0.88</w:t>
            </w:r>
          </w:p>
        </w:tc>
        <w:tc>
          <w:tcPr>
            <w:tcW w:w="612" w:type="pct"/>
            <w:tcBorders>
              <w:top w:val="nil"/>
              <w:left w:val="nil"/>
              <w:bottom w:val="single" w:sz="4" w:space="0" w:color="auto"/>
              <w:right w:val="nil"/>
            </w:tcBorders>
          </w:tcPr>
          <w:p w14:paraId="75AA4C9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0.79-0.98</w:t>
            </w:r>
          </w:p>
        </w:tc>
      </w:tr>
    </w:tbl>
    <w:p w14:paraId="178EF6F3" w14:textId="77777777" w:rsidR="003D03A3" w:rsidRPr="00DB7A43" w:rsidRDefault="003D03A3" w:rsidP="003D03A3">
      <w:pPr>
        <w:rPr>
          <w:rFonts w:ascii="Times New Roman" w:hAnsi="Times New Roman"/>
          <w:color w:val="000000" w:themeColor="text1"/>
        </w:rPr>
      </w:pPr>
    </w:p>
    <w:p w14:paraId="62A487AA" w14:textId="77777777" w:rsidR="003D03A3" w:rsidRPr="00DB7A43" w:rsidRDefault="003D03A3" w:rsidP="003D03A3">
      <w:pPr>
        <w:rPr>
          <w:rFonts w:ascii="Times New Roman" w:hAnsi="Times New Roman"/>
          <w:color w:val="000000" w:themeColor="text1"/>
        </w:rPr>
      </w:pPr>
      <w:r w:rsidRPr="00DB7A43">
        <w:rPr>
          <w:rFonts w:ascii="Times New Roman" w:hAnsi="Times New Roman"/>
          <w:color w:val="000000" w:themeColor="text1"/>
        </w:rPr>
        <w:t>Abbreviations: PYAR – person-years at risk, OBS – observed number of cases, EXP – expected number of cases based on SEER rates, SIR – standardized incidence ratio, CI – confidence interval</w:t>
      </w:r>
    </w:p>
    <w:p w14:paraId="5CF57839" w14:textId="77777777" w:rsidR="003D03A3" w:rsidRPr="00DB7A43" w:rsidRDefault="003D03A3" w:rsidP="003D03A3">
      <w:pPr>
        <w:rPr>
          <w:rFonts w:ascii="Times New Roman" w:hAnsi="Times New Roman"/>
          <w:color w:val="000000" w:themeColor="text1"/>
        </w:rPr>
      </w:pPr>
    </w:p>
    <w:p w14:paraId="5011F906" w14:textId="77777777" w:rsidR="003D03A3" w:rsidRPr="00DB7A43" w:rsidRDefault="003D03A3" w:rsidP="003D03A3">
      <w:pPr>
        <w:ind w:left="360" w:hanging="360"/>
        <w:rPr>
          <w:rFonts w:ascii="Times New Roman" w:hAnsi="Times New Roman"/>
          <w:color w:val="000000" w:themeColor="text1"/>
        </w:rPr>
      </w:pPr>
      <w:r w:rsidRPr="00DB7A43">
        <w:rPr>
          <w:rFonts w:ascii="Times New Roman" w:hAnsi="Times New Roman"/>
          <w:color w:val="000000" w:themeColor="text1"/>
          <w:vertAlign w:val="superscript"/>
        </w:rPr>
        <w:t>1</w:t>
      </w:r>
      <w:r w:rsidRPr="00DB7A43">
        <w:rPr>
          <w:rFonts w:ascii="Times New Roman" w:hAnsi="Times New Roman"/>
          <w:color w:val="000000" w:themeColor="text1"/>
        </w:rPr>
        <w:tab/>
        <w:t>The analysis included prostate cancer cases identified using the nine state cancer registries (CT, NY, MA, RI, IN, CA, TX, FL, and NC); split any gaps in the residence history at the midpoint and assigned the first half of the gap to the earlier state and the second half of the gap to the later state; and limited person-time at risk to the initial risk period (i.e., person-time at risk was censored at the date the worker was first known to be living outside the catchment).</w:t>
      </w:r>
    </w:p>
    <w:p w14:paraId="5C8B3E9C" w14:textId="77777777" w:rsidR="003D03A3" w:rsidRDefault="003D03A3" w:rsidP="003D03A3">
      <w:pPr>
        <w:ind w:left="360" w:hanging="360"/>
        <w:rPr>
          <w:rFonts w:ascii="Times New Roman" w:hAnsi="Times New Roman"/>
          <w:color w:val="000000" w:themeColor="text1"/>
        </w:rPr>
      </w:pPr>
      <w:r w:rsidRPr="00DB7A43">
        <w:rPr>
          <w:rFonts w:ascii="Times New Roman" w:hAnsi="Times New Roman"/>
          <w:color w:val="000000" w:themeColor="text1"/>
          <w:vertAlign w:val="superscript"/>
        </w:rPr>
        <w:t>2</w:t>
      </w:r>
      <w:r w:rsidRPr="00DB7A43">
        <w:rPr>
          <w:rFonts w:ascii="Times New Roman" w:hAnsi="Times New Roman"/>
          <w:color w:val="000000" w:themeColor="text1"/>
        </w:rPr>
        <w:tab/>
        <w:t>The number of workers (9905)</w:t>
      </w:r>
      <w:r>
        <w:rPr>
          <w:rFonts w:ascii="Times New Roman" w:hAnsi="Times New Roman"/>
          <w:color w:val="000000" w:themeColor="text1"/>
        </w:rPr>
        <w:t xml:space="preserve"> and prostate cancer cases (454)</w:t>
      </w:r>
      <w:r w:rsidRPr="00DB7A43">
        <w:rPr>
          <w:rFonts w:ascii="Times New Roman" w:hAnsi="Times New Roman"/>
          <w:color w:val="000000" w:themeColor="text1"/>
        </w:rPr>
        <w:t xml:space="preserve"> differs slightly from th</w:t>
      </w:r>
      <w:r>
        <w:rPr>
          <w:rFonts w:ascii="Times New Roman" w:hAnsi="Times New Roman"/>
          <w:color w:val="000000" w:themeColor="text1"/>
        </w:rPr>
        <w:t>ose</w:t>
      </w:r>
      <w:r w:rsidRPr="00DB7A43">
        <w:rPr>
          <w:rFonts w:ascii="Times New Roman" w:hAnsi="Times New Roman"/>
          <w:color w:val="000000" w:themeColor="text1"/>
        </w:rPr>
        <w:t xml:space="preserve"> </w:t>
      </w:r>
      <w:r>
        <w:rPr>
          <w:rFonts w:ascii="Times New Roman" w:hAnsi="Times New Roman"/>
          <w:color w:val="000000" w:themeColor="text1"/>
        </w:rPr>
        <w:t xml:space="preserve">reported </w:t>
      </w:r>
      <w:r w:rsidRPr="00DB7A43">
        <w:rPr>
          <w:rFonts w:ascii="Times New Roman" w:hAnsi="Times New Roman"/>
          <w:color w:val="000000" w:themeColor="text1"/>
        </w:rPr>
        <w:t>in table 2 (9891</w:t>
      </w:r>
      <w:r>
        <w:rPr>
          <w:rFonts w:ascii="Times New Roman" w:hAnsi="Times New Roman"/>
          <w:color w:val="000000" w:themeColor="text1"/>
        </w:rPr>
        <w:t xml:space="preserve"> and 432, respectively</w:t>
      </w:r>
      <w:r w:rsidRPr="00DB7A43">
        <w:rPr>
          <w:rFonts w:ascii="Times New Roman" w:hAnsi="Times New Roman"/>
          <w:color w:val="000000" w:themeColor="text1"/>
        </w:rPr>
        <w:t xml:space="preserve">) because the prostate cancer analysis only excluded workers with a prostate cancer diagnosis </w:t>
      </w:r>
      <w:r>
        <w:rPr>
          <w:rFonts w:ascii="Times New Roman" w:hAnsi="Times New Roman"/>
          <w:color w:val="000000" w:themeColor="text1"/>
        </w:rPr>
        <w:t>before</w:t>
      </w:r>
      <w:r w:rsidRPr="00DB7A43">
        <w:rPr>
          <w:rFonts w:ascii="Times New Roman" w:hAnsi="Times New Roman"/>
          <w:color w:val="000000" w:themeColor="text1"/>
        </w:rPr>
        <w:t xml:space="preserve"> the cancer registry begin date whereas the analysis of first primary cancer excluded workers with any cancer diagnosis </w:t>
      </w:r>
      <w:r>
        <w:rPr>
          <w:rFonts w:ascii="Times New Roman" w:hAnsi="Times New Roman"/>
          <w:color w:val="000000" w:themeColor="text1"/>
        </w:rPr>
        <w:t>before</w:t>
      </w:r>
      <w:r w:rsidRPr="00DB7A43">
        <w:rPr>
          <w:rFonts w:ascii="Times New Roman" w:hAnsi="Times New Roman"/>
          <w:color w:val="000000" w:themeColor="text1"/>
        </w:rPr>
        <w:t xml:space="preserve"> the cancer registry begin date.</w:t>
      </w:r>
    </w:p>
    <w:p w14:paraId="64EDC1EF" w14:textId="77777777" w:rsidR="003D03A3" w:rsidRDefault="003D03A3">
      <w:pPr>
        <w:spacing w:after="200" w:line="276" w:lineRule="auto"/>
        <w:rPr>
          <w:rFonts w:ascii="Times New Roman" w:hAnsi="Times New Roman"/>
          <w:b/>
        </w:rPr>
      </w:pPr>
      <w:r>
        <w:rPr>
          <w:rFonts w:ascii="Times New Roman" w:hAnsi="Times New Roman"/>
          <w:b/>
        </w:rPr>
        <w:br w:type="page"/>
      </w:r>
    </w:p>
    <w:p w14:paraId="1035D0CF" w14:textId="77777777" w:rsidR="003D03A3" w:rsidRPr="008B2AB3" w:rsidRDefault="003D03A3" w:rsidP="003D03A3">
      <w:pPr>
        <w:spacing w:after="120"/>
        <w:rPr>
          <w:rFonts w:ascii="Times New Roman" w:hAnsi="Times New Roman"/>
          <w:b/>
        </w:rPr>
      </w:pPr>
      <w:r w:rsidRPr="008B2AB3">
        <w:rPr>
          <w:rFonts w:ascii="Times New Roman" w:hAnsi="Times New Roman"/>
          <w:b/>
        </w:rPr>
        <w:lastRenderedPageBreak/>
        <w:t>Supplemental Table S</w:t>
      </w:r>
      <w:r w:rsidR="000E588F" w:rsidRPr="008B2AB3">
        <w:rPr>
          <w:rFonts w:ascii="Times New Roman" w:hAnsi="Times New Roman"/>
          <w:b/>
        </w:rPr>
        <w:t>4</w:t>
      </w:r>
      <w:r w:rsidRPr="008B2AB3">
        <w:rPr>
          <w:rFonts w:ascii="Times New Roman" w:hAnsi="Times New Roman"/>
          <w:b/>
        </w:rPr>
        <w:t>: Prostate cancer standardized incidence ratios for the sensitivity analyses</w:t>
      </w: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5157"/>
        <w:gridCol w:w="890"/>
        <w:gridCol w:w="1076"/>
        <w:gridCol w:w="631"/>
        <w:gridCol w:w="656"/>
        <w:gridCol w:w="608"/>
        <w:gridCol w:w="1062"/>
      </w:tblGrid>
      <w:tr w:rsidR="003D03A3" w:rsidRPr="000931C0" w14:paraId="468FF4D7" w14:textId="77777777" w:rsidTr="00A94120">
        <w:tc>
          <w:tcPr>
            <w:tcW w:w="2573" w:type="pct"/>
            <w:tcBorders>
              <w:top w:val="single" w:sz="4" w:space="0" w:color="auto"/>
              <w:left w:val="nil"/>
              <w:bottom w:val="single" w:sz="4" w:space="0" w:color="auto"/>
              <w:right w:val="nil"/>
            </w:tcBorders>
            <w:vAlign w:val="bottom"/>
          </w:tcPr>
          <w:p w14:paraId="7B9846A6" w14:textId="77777777" w:rsidR="003D03A3" w:rsidRPr="00A71654" w:rsidRDefault="003D03A3" w:rsidP="00752DF8">
            <w:pPr>
              <w:spacing w:after="120"/>
              <w:rPr>
                <w:rFonts w:ascii="Times New Roman" w:hAnsi="Times New Roman"/>
              </w:rPr>
            </w:pPr>
            <w:r w:rsidRPr="00A71654">
              <w:rPr>
                <w:rFonts w:ascii="Times New Roman" w:hAnsi="Times New Roman"/>
              </w:rPr>
              <w:t>Sensitivity analyses</w:t>
            </w:r>
          </w:p>
        </w:tc>
        <w:tc>
          <w:tcPr>
            <w:tcW w:w="408" w:type="pct"/>
            <w:tcBorders>
              <w:top w:val="single" w:sz="4" w:space="0" w:color="auto"/>
              <w:left w:val="nil"/>
              <w:bottom w:val="single" w:sz="4" w:space="0" w:color="auto"/>
              <w:right w:val="nil"/>
            </w:tcBorders>
            <w:vAlign w:val="bottom"/>
          </w:tcPr>
          <w:p w14:paraId="1BDB4A04" w14:textId="77777777" w:rsidR="003D03A3" w:rsidRPr="00A71654" w:rsidRDefault="003D03A3" w:rsidP="00752DF8">
            <w:pPr>
              <w:spacing w:after="120"/>
              <w:jc w:val="center"/>
              <w:rPr>
                <w:rFonts w:ascii="Times New Roman" w:hAnsi="Times New Roman"/>
              </w:rPr>
            </w:pPr>
            <w:r w:rsidRPr="00A71654">
              <w:rPr>
                <w:rFonts w:ascii="Times New Roman" w:hAnsi="Times New Roman"/>
              </w:rPr>
              <w:t>No.</w:t>
            </w:r>
          </w:p>
          <w:p w14:paraId="46B32ABC" w14:textId="77777777" w:rsidR="003D03A3" w:rsidRPr="00A71654" w:rsidRDefault="003D03A3" w:rsidP="00752DF8">
            <w:pPr>
              <w:spacing w:after="120"/>
              <w:jc w:val="center"/>
              <w:rPr>
                <w:rFonts w:ascii="Times New Roman" w:hAnsi="Times New Roman"/>
              </w:rPr>
            </w:pPr>
            <w:r w:rsidRPr="00A71654">
              <w:rPr>
                <w:rFonts w:ascii="Times New Roman" w:hAnsi="Times New Roman"/>
              </w:rPr>
              <w:t>workers</w:t>
            </w:r>
          </w:p>
        </w:tc>
        <w:tc>
          <w:tcPr>
            <w:tcW w:w="489" w:type="pct"/>
            <w:tcBorders>
              <w:top w:val="single" w:sz="4" w:space="0" w:color="auto"/>
              <w:left w:val="nil"/>
              <w:bottom w:val="single" w:sz="4" w:space="0" w:color="auto"/>
              <w:right w:val="nil"/>
            </w:tcBorders>
            <w:vAlign w:val="bottom"/>
          </w:tcPr>
          <w:p w14:paraId="627B3960" w14:textId="77777777" w:rsidR="003D03A3" w:rsidRPr="00A71654" w:rsidRDefault="003D03A3" w:rsidP="00752DF8">
            <w:pPr>
              <w:spacing w:after="120"/>
              <w:jc w:val="center"/>
              <w:rPr>
                <w:rFonts w:ascii="Times New Roman" w:hAnsi="Times New Roman"/>
              </w:rPr>
            </w:pPr>
            <w:r w:rsidRPr="00A71654">
              <w:rPr>
                <w:rFonts w:ascii="Times New Roman" w:hAnsi="Times New Roman"/>
              </w:rPr>
              <w:t>PYAR</w:t>
            </w:r>
          </w:p>
        </w:tc>
        <w:tc>
          <w:tcPr>
            <w:tcW w:w="329" w:type="pct"/>
            <w:tcBorders>
              <w:top w:val="single" w:sz="4" w:space="0" w:color="auto"/>
              <w:left w:val="nil"/>
              <w:bottom w:val="single" w:sz="4" w:space="0" w:color="auto"/>
              <w:right w:val="nil"/>
            </w:tcBorders>
            <w:vAlign w:val="bottom"/>
          </w:tcPr>
          <w:p w14:paraId="2C54F1DE" w14:textId="77777777" w:rsidR="003D03A3" w:rsidRPr="00A71654" w:rsidRDefault="003D03A3" w:rsidP="00752DF8">
            <w:pPr>
              <w:spacing w:after="120"/>
              <w:jc w:val="center"/>
              <w:rPr>
                <w:rFonts w:ascii="Times New Roman" w:hAnsi="Times New Roman"/>
              </w:rPr>
            </w:pPr>
            <w:r w:rsidRPr="00A71654">
              <w:rPr>
                <w:rFonts w:ascii="Times New Roman" w:hAnsi="Times New Roman"/>
              </w:rPr>
              <w:t>OBS</w:t>
            </w:r>
          </w:p>
        </w:tc>
        <w:tc>
          <w:tcPr>
            <w:tcW w:w="329" w:type="pct"/>
            <w:tcBorders>
              <w:top w:val="single" w:sz="4" w:space="0" w:color="auto"/>
              <w:left w:val="nil"/>
              <w:bottom w:val="single" w:sz="4" w:space="0" w:color="auto"/>
              <w:right w:val="nil"/>
            </w:tcBorders>
            <w:vAlign w:val="bottom"/>
          </w:tcPr>
          <w:p w14:paraId="51CF8AE5" w14:textId="77777777" w:rsidR="003D03A3" w:rsidRPr="00A71654" w:rsidRDefault="003D03A3" w:rsidP="00752DF8">
            <w:pPr>
              <w:spacing w:after="120"/>
              <w:jc w:val="center"/>
              <w:rPr>
                <w:rFonts w:ascii="Times New Roman" w:hAnsi="Times New Roman"/>
              </w:rPr>
            </w:pPr>
            <w:r w:rsidRPr="00A71654">
              <w:rPr>
                <w:rFonts w:ascii="Times New Roman" w:hAnsi="Times New Roman"/>
              </w:rPr>
              <w:t>EXP</w:t>
            </w:r>
          </w:p>
        </w:tc>
        <w:tc>
          <w:tcPr>
            <w:tcW w:w="329" w:type="pct"/>
            <w:tcBorders>
              <w:top w:val="single" w:sz="4" w:space="0" w:color="auto"/>
              <w:left w:val="nil"/>
              <w:bottom w:val="single" w:sz="4" w:space="0" w:color="auto"/>
              <w:right w:val="nil"/>
            </w:tcBorders>
            <w:vAlign w:val="bottom"/>
          </w:tcPr>
          <w:p w14:paraId="22104457" w14:textId="77777777" w:rsidR="003D03A3" w:rsidRPr="00A71654" w:rsidRDefault="003D03A3" w:rsidP="00752DF8">
            <w:pPr>
              <w:spacing w:after="120"/>
              <w:jc w:val="center"/>
              <w:rPr>
                <w:rFonts w:ascii="Times New Roman" w:hAnsi="Times New Roman"/>
              </w:rPr>
            </w:pPr>
            <w:r w:rsidRPr="00A71654">
              <w:rPr>
                <w:rFonts w:ascii="Times New Roman" w:hAnsi="Times New Roman"/>
              </w:rPr>
              <w:t>SIR</w:t>
            </w:r>
          </w:p>
        </w:tc>
        <w:tc>
          <w:tcPr>
            <w:tcW w:w="542" w:type="pct"/>
            <w:tcBorders>
              <w:top w:val="single" w:sz="4" w:space="0" w:color="auto"/>
              <w:left w:val="nil"/>
              <w:bottom w:val="single" w:sz="4" w:space="0" w:color="auto"/>
              <w:right w:val="nil"/>
            </w:tcBorders>
            <w:vAlign w:val="bottom"/>
          </w:tcPr>
          <w:p w14:paraId="651A8C94" w14:textId="77777777" w:rsidR="003D03A3" w:rsidRPr="00A71654" w:rsidRDefault="003D03A3" w:rsidP="00752DF8">
            <w:pPr>
              <w:spacing w:after="120"/>
              <w:jc w:val="center"/>
              <w:rPr>
                <w:rFonts w:ascii="Times New Roman" w:hAnsi="Times New Roman"/>
              </w:rPr>
            </w:pPr>
            <w:r w:rsidRPr="00A71654">
              <w:rPr>
                <w:rFonts w:ascii="Times New Roman" w:hAnsi="Times New Roman"/>
              </w:rPr>
              <w:t>95% CI</w:t>
            </w:r>
          </w:p>
        </w:tc>
      </w:tr>
      <w:tr w:rsidR="003D03A3" w:rsidRPr="000931C0" w14:paraId="0339769D" w14:textId="77777777" w:rsidTr="00A94120">
        <w:tc>
          <w:tcPr>
            <w:tcW w:w="2573" w:type="pct"/>
            <w:tcBorders>
              <w:top w:val="single" w:sz="4" w:space="0" w:color="auto"/>
              <w:left w:val="nil"/>
              <w:bottom w:val="nil"/>
              <w:right w:val="nil"/>
            </w:tcBorders>
          </w:tcPr>
          <w:p w14:paraId="1BB0A53D" w14:textId="77777777" w:rsidR="003D03A3" w:rsidRPr="00A71654" w:rsidRDefault="003D03A3" w:rsidP="00752DF8">
            <w:pPr>
              <w:spacing w:after="120"/>
              <w:ind w:left="540" w:hanging="360"/>
              <w:rPr>
                <w:rFonts w:ascii="Times New Roman" w:hAnsi="Times New Roman"/>
              </w:rPr>
            </w:pPr>
            <w:r w:rsidRPr="000931C0">
              <w:rPr>
                <w:rFonts w:ascii="Times New Roman" w:hAnsi="Times New Roman"/>
              </w:rPr>
              <w:t xml:space="preserve">S1: Included only cases from the IN, MA, and NY cancer registries </w:t>
            </w:r>
            <w:r w:rsidRPr="00A71654">
              <w:rPr>
                <w:rFonts w:ascii="Times New Roman" w:hAnsi="Times New Roman"/>
                <w:vertAlign w:val="superscript"/>
              </w:rPr>
              <w:t>1</w:t>
            </w:r>
          </w:p>
        </w:tc>
        <w:tc>
          <w:tcPr>
            <w:tcW w:w="408" w:type="pct"/>
            <w:tcBorders>
              <w:top w:val="single" w:sz="4" w:space="0" w:color="auto"/>
              <w:left w:val="nil"/>
              <w:bottom w:val="nil"/>
              <w:right w:val="nil"/>
            </w:tcBorders>
          </w:tcPr>
          <w:p w14:paraId="62BFD36C" w14:textId="77777777" w:rsidR="003D03A3" w:rsidRPr="00A71654" w:rsidRDefault="003D03A3" w:rsidP="00752DF8">
            <w:pPr>
              <w:spacing w:after="120"/>
              <w:jc w:val="center"/>
              <w:rPr>
                <w:rFonts w:ascii="Times New Roman" w:hAnsi="Times New Roman"/>
              </w:rPr>
            </w:pPr>
            <w:r w:rsidRPr="00A71654">
              <w:rPr>
                <w:rFonts w:ascii="Times New Roman" w:hAnsi="Times New Roman"/>
              </w:rPr>
              <w:t>9134</w:t>
            </w:r>
          </w:p>
        </w:tc>
        <w:tc>
          <w:tcPr>
            <w:tcW w:w="489" w:type="pct"/>
            <w:tcBorders>
              <w:top w:val="single" w:sz="4" w:space="0" w:color="auto"/>
              <w:left w:val="nil"/>
              <w:bottom w:val="nil"/>
              <w:right w:val="nil"/>
            </w:tcBorders>
          </w:tcPr>
          <w:p w14:paraId="741ED443" w14:textId="77777777" w:rsidR="003D03A3" w:rsidRPr="00A71654" w:rsidRDefault="003D03A3" w:rsidP="00752DF8">
            <w:pPr>
              <w:spacing w:after="120"/>
              <w:jc w:val="center"/>
              <w:rPr>
                <w:rFonts w:ascii="Times New Roman" w:hAnsi="Times New Roman"/>
              </w:rPr>
            </w:pPr>
            <w:r w:rsidRPr="00A71654">
              <w:rPr>
                <w:rFonts w:ascii="Times New Roman" w:hAnsi="Times New Roman"/>
              </w:rPr>
              <w:t>181,478.6</w:t>
            </w:r>
          </w:p>
        </w:tc>
        <w:tc>
          <w:tcPr>
            <w:tcW w:w="329" w:type="pct"/>
            <w:tcBorders>
              <w:top w:val="single" w:sz="4" w:space="0" w:color="auto"/>
              <w:left w:val="nil"/>
              <w:bottom w:val="nil"/>
              <w:right w:val="nil"/>
            </w:tcBorders>
          </w:tcPr>
          <w:p w14:paraId="5DC1FC1C" w14:textId="77777777" w:rsidR="003D03A3" w:rsidRPr="00A71654" w:rsidRDefault="003D03A3" w:rsidP="00752DF8">
            <w:pPr>
              <w:spacing w:after="120"/>
              <w:jc w:val="center"/>
              <w:rPr>
                <w:rFonts w:ascii="Times New Roman" w:hAnsi="Times New Roman"/>
              </w:rPr>
            </w:pPr>
            <w:r w:rsidRPr="00A71654">
              <w:rPr>
                <w:rFonts w:ascii="Times New Roman" w:hAnsi="Times New Roman"/>
              </w:rPr>
              <w:t>396</w:t>
            </w:r>
          </w:p>
        </w:tc>
        <w:tc>
          <w:tcPr>
            <w:tcW w:w="329" w:type="pct"/>
            <w:tcBorders>
              <w:top w:val="single" w:sz="4" w:space="0" w:color="auto"/>
              <w:left w:val="nil"/>
              <w:bottom w:val="nil"/>
              <w:right w:val="nil"/>
            </w:tcBorders>
          </w:tcPr>
          <w:p w14:paraId="75F19C0E" w14:textId="77777777" w:rsidR="003D03A3" w:rsidRPr="00A71654" w:rsidRDefault="003D03A3" w:rsidP="00752DF8">
            <w:pPr>
              <w:spacing w:after="120"/>
              <w:jc w:val="center"/>
              <w:rPr>
                <w:rFonts w:ascii="Times New Roman" w:hAnsi="Times New Roman"/>
              </w:rPr>
            </w:pPr>
            <w:r w:rsidRPr="00A71654">
              <w:rPr>
                <w:rFonts w:ascii="Times New Roman" w:hAnsi="Times New Roman"/>
              </w:rPr>
              <w:t>464.3</w:t>
            </w:r>
          </w:p>
        </w:tc>
        <w:tc>
          <w:tcPr>
            <w:tcW w:w="329" w:type="pct"/>
            <w:tcBorders>
              <w:top w:val="single" w:sz="4" w:space="0" w:color="auto"/>
              <w:left w:val="nil"/>
              <w:bottom w:val="nil"/>
              <w:right w:val="nil"/>
            </w:tcBorders>
          </w:tcPr>
          <w:p w14:paraId="50FCB5C7"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0.85</w:t>
            </w:r>
          </w:p>
        </w:tc>
        <w:tc>
          <w:tcPr>
            <w:tcW w:w="542" w:type="pct"/>
            <w:tcBorders>
              <w:top w:val="single" w:sz="4" w:space="0" w:color="auto"/>
              <w:left w:val="nil"/>
              <w:bottom w:val="nil"/>
              <w:right w:val="nil"/>
            </w:tcBorders>
          </w:tcPr>
          <w:p w14:paraId="09D67454" w14:textId="77777777" w:rsidR="003D03A3" w:rsidRPr="00A71654" w:rsidRDefault="003D03A3" w:rsidP="00752DF8">
            <w:pPr>
              <w:spacing w:after="120"/>
              <w:jc w:val="center"/>
              <w:rPr>
                <w:rFonts w:ascii="Times New Roman" w:hAnsi="Times New Roman"/>
              </w:rPr>
            </w:pPr>
            <w:r w:rsidRPr="00A71654">
              <w:rPr>
                <w:rFonts w:ascii="Times New Roman" w:hAnsi="Times New Roman"/>
              </w:rPr>
              <w:t>0.77-0.94</w:t>
            </w:r>
          </w:p>
        </w:tc>
      </w:tr>
      <w:tr w:rsidR="003D03A3" w:rsidRPr="000931C0" w14:paraId="2DA2B858" w14:textId="77777777" w:rsidTr="00752DF8">
        <w:tc>
          <w:tcPr>
            <w:tcW w:w="2573" w:type="pct"/>
            <w:tcBorders>
              <w:top w:val="nil"/>
              <w:left w:val="nil"/>
              <w:bottom w:val="nil"/>
              <w:right w:val="nil"/>
            </w:tcBorders>
          </w:tcPr>
          <w:p w14:paraId="4E880C12" w14:textId="77777777" w:rsidR="003D03A3" w:rsidRPr="00A71654" w:rsidRDefault="003D03A3" w:rsidP="00752DF8">
            <w:pPr>
              <w:spacing w:after="120"/>
              <w:ind w:left="540" w:hanging="360"/>
              <w:rPr>
                <w:rFonts w:ascii="Times New Roman" w:hAnsi="Times New Roman"/>
              </w:rPr>
            </w:pPr>
            <w:r w:rsidRPr="000931C0">
              <w:rPr>
                <w:rFonts w:ascii="Times New Roman" w:hAnsi="Times New Roman"/>
              </w:rPr>
              <w:t xml:space="preserve">S2: Included (a) all cancer-registry identified cases (primary) and (b) death-certificate identified cases who resided in any of the nine registry states </w:t>
            </w:r>
            <w:r w:rsidRPr="00A71654">
              <w:rPr>
                <w:rFonts w:ascii="Times New Roman" w:hAnsi="Times New Roman"/>
                <w:vertAlign w:val="superscript"/>
              </w:rPr>
              <w:t>2</w:t>
            </w:r>
          </w:p>
        </w:tc>
        <w:tc>
          <w:tcPr>
            <w:tcW w:w="408" w:type="pct"/>
            <w:tcBorders>
              <w:top w:val="nil"/>
              <w:left w:val="nil"/>
              <w:bottom w:val="nil"/>
              <w:right w:val="nil"/>
            </w:tcBorders>
          </w:tcPr>
          <w:p w14:paraId="544400BB" w14:textId="77777777" w:rsidR="003D03A3" w:rsidRPr="00A71654" w:rsidRDefault="003D03A3" w:rsidP="00752DF8">
            <w:pPr>
              <w:spacing w:after="120"/>
              <w:jc w:val="center"/>
              <w:rPr>
                <w:rFonts w:ascii="Times New Roman" w:hAnsi="Times New Roman"/>
              </w:rPr>
            </w:pPr>
            <w:r w:rsidRPr="00A71654">
              <w:rPr>
                <w:rFonts w:ascii="Times New Roman" w:hAnsi="Times New Roman"/>
              </w:rPr>
              <w:t>9899</w:t>
            </w:r>
          </w:p>
        </w:tc>
        <w:tc>
          <w:tcPr>
            <w:tcW w:w="489" w:type="pct"/>
            <w:tcBorders>
              <w:top w:val="nil"/>
              <w:left w:val="nil"/>
              <w:bottom w:val="nil"/>
              <w:right w:val="nil"/>
            </w:tcBorders>
          </w:tcPr>
          <w:p w14:paraId="4FDCEFE2" w14:textId="77777777" w:rsidR="003D03A3" w:rsidRPr="00A71654" w:rsidRDefault="003D03A3" w:rsidP="00752DF8">
            <w:pPr>
              <w:spacing w:after="120"/>
              <w:jc w:val="center"/>
              <w:rPr>
                <w:rFonts w:ascii="Times New Roman" w:hAnsi="Times New Roman"/>
              </w:rPr>
            </w:pPr>
            <w:r w:rsidRPr="00A71654">
              <w:rPr>
                <w:rFonts w:ascii="Times New Roman" w:hAnsi="Times New Roman"/>
              </w:rPr>
              <w:t>193,902.5</w:t>
            </w:r>
          </w:p>
        </w:tc>
        <w:tc>
          <w:tcPr>
            <w:tcW w:w="329" w:type="pct"/>
            <w:tcBorders>
              <w:top w:val="nil"/>
              <w:left w:val="nil"/>
              <w:bottom w:val="nil"/>
              <w:right w:val="nil"/>
            </w:tcBorders>
          </w:tcPr>
          <w:p w14:paraId="69EB84CB" w14:textId="77777777" w:rsidR="003D03A3" w:rsidRPr="00A71654" w:rsidRDefault="003D03A3" w:rsidP="00752DF8">
            <w:pPr>
              <w:spacing w:after="120"/>
              <w:jc w:val="center"/>
              <w:rPr>
                <w:rFonts w:ascii="Times New Roman" w:hAnsi="Times New Roman"/>
              </w:rPr>
            </w:pPr>
            <w:r w:rsidRPr="00A71654">
              <w:rPr>
                <w:rFonts w:ascii="Times New Roman" w:hAnsi="Times New Roman"/>
              </w:rPr>
              <w:t>465</w:t>
            </w:r>
          </w:p>
        </w:tc>
        <w:tc>
          <w:tcPr>
            <w:tcW w:w="329" w:type="pct"/>
            <w:tcBorders>
              <w:top w:val="nil"/>
              <w:left w:val="nil"/>
              <w:bottom w:val="nil"/>
              <w:right w:val="nil"/>
            </w:tcBorders>
          </w:tcPr>
          <w:p w14:paraId="0B525BD5" w14:textId="77777777" w:rsidR="003D03A3" w:rsidRPr="00A71654" w:rsidRDefault="003D03A3" w:rsidP="00752DF8">
            <w:pPr>
              <w:spacing w:after="120"/>
              <w:jc w:val="center"/>
              <w:rPr>
                <w:rFonts w:ascii="Times New Roman" w:hAnsi="Times New Roman"/>
              </w:rPr>
            </w:pPr>
            <w:r w:rsidRPr="00A71654">
              <w:rPr>
                <w:rFonts w:ascii="Times New Roman" w:hAnsi="Times New Roman"/>
              </w:rPr>
              <w:t>515.1</w:t>
            </w:r>
          </w:p>
        </w:tc>
        <w:tc>
          <w:tcPr>
            <w:tcW w:w="329" w:type="pct"/>
            <w:tcBorders>
              <w:top w:val="nil"/>
              <w:left w:val="nil"/>
              <w:bottom w:val="nil"/>
              <w:right w:val="nil"/>
            </w:tcBorders>
          </w:tcPr>
          <w:p w14:paraId="7199A60F" w14:textId="77777777" w:rsidR="003D03A3" w:rsidRPr="00A71654" w:rsidRDefault="003D03A3" w:rsidP="00752DF8">
            <w:pPr>
              <w:spacing w:after="120"/>
              <w:jc w:val="center"/>
              <w:rPr>
                <w:rFonts w:ascii="Times New Roman" w:hAnsi="Times New Roman"/>
              </w:rPr>
            </w:pPr>
            <w:r w:rsidRPr="00A71654">
              <w:rPr>
                <w:rFonts w:ascii="Times New Roman" w:hAnsi="Times New Roman"/>
              </w:rPr>
              <w:t>0.90</w:t>
            </w:r>
          </w:p>
        </w:tc>
        <w:tc>
          <w:tcPr>
            <w:tcW w:w="542" w:type="pct"/>
            <w:tcBorders>
              <w:top w:val="nil"/>
              <w:left w:val="nil"/>
              <w:bottom w:val="nil"/>
              <w:right w:val="nil"/>
            </w:tcBorders>
          </w:tcPr>
          <w:p w14:paraId="2E8489AF"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0.82-0.99</w:t>
            </w:r>
          </w:p>
        </w:tc>
      </w:tr>
      <w:tr w:rsidR="003D03A3" w:rsidRPr="000931C0" w14:paraId="5F981D9E" w14:textId="77777777" w:rsidTr="00752DF8">
        <w:tc>
          <w:tcPr>
            <w:tcW w:w="2573" w:type="pct"/>
            <w:tcBorders>
              <w:top w:val="nil"/>
              <w:left w:val="nil"/>
              <w:bottom w:val="nil"/>
              <w:right w:val="nil"/>
            </w:tcBorders>
          </w:tcPr>
          <w:p w14:paraId="5686E388" w14:textId="77777777" w:rsidR="003D03A3" w:rsidRPr="000931C0" w:rsidRDefault="003D03A3" w:rsidP="00752DF8">
            <w:pPr>
              <w:spacing w:after="120"/>
              <w:ind w:left="540" w:hanging="360"/>
              <w:rPr>
                <w:rFonts w:ascii="Times New Roman" w:hAnsi="Times New Roman"/>
              </w:rPr>
            </w:pPr>
            <w:r w:rsidRPr="000931C0">
              <w:rPr>
                <w:rFonts w:ascii="Times New Roman" w:hAnsi="Times New Roman"/>
              </w:rPr>
              <w:t xml:space="preserve">S3: Included all risk periods </w:t>
            </w:r>
            <w:r w:rsidRPr="000931C0">
              <w:rPr>
                <w:rFonts w:ascii="Times New Roman" w:hAnsi="Times New Roman"/>
                <w:vertAlign w:val="superscript"/>
              </w:rPr>
              <w:t>3</w:t>
            </w:r>
          </w:p>
        </w:tc>
        <w:tc>
          <w:tcPr>
            <w:tcW w:w="408" w:type="pct"/>
            <w:tcBorders>
              <w:top w:val="nil"/>
              <w:left w:val="nil"/>
              <w:bottom w:val="nil"/>
              <w:right w:val="nil"/>
            </w:tcBorders>
          </w:tcPr>
          <w:p w14:paraId="0FD3B0E6" w14:textId="77777777" w:rsidR="003D03A3" w:rsidRPr="00A71654" w:rsidRDefault="003D03A3" w:rsidP="00752DF8">
            <w:pPr>
              <w:spacing w:after="120"/>
              <w:jc w:val="center"/>
              <w:rPr>
                <w:rFonts w:ascii="Times New Roman" w:hAnsi="Times New Roman"/>
              </w:rPr>
            </w:pPr>
            <w:r w:rsidRPr="00A71654">
              <w:rPr>
                <w:rFonts w:ascii="Times New Roman" w:hAnsi="Times New Roman"/>
              </w:rPr>
              <w:t>9898</w:t>
            </w:r>
          </w:p>
        </w:tc>
        <w:tc>
          <w:tcPr>
            <w:tcW w:w="489" w:type="pct"/>
            <w:tcBorders>
              <w:top w:val="nil"/>
              <w:left w:val="nil"/>
              <w:bottom w:val="nil"/>
              <w:right w:val="nil"/>
            </w:tcBorders>
          </w:tcPr>
          <w:p w14:paraId="47362EE3" w14:textId="77777777" w:rsidR="003D03A3" w:rsidRPr="00A71654" w:rsidRDefault="003D03A3" w:rsidP="00752DF8">
            <w:pPr>
              <w:spacing w:after="120"/>
              <w:jc w:val="center"/>
              <w:rPr>
                <w:rFonts w:ascii="Times New Roman" w:hAnsi="Times New Roman"/>
              </w:rPr>
            </w:pPr>
            <w:r w:rsidRPr="00A71654">
              <w:rPr>
                <w:rFonts w:ascii="Times New Roman" w:hAnsi="Times New Roman"/>
              </w:rPr>
              <w:t>200,632.2</w:t>
            </w:r>
          </w:p>
        </w:tc>
        <w:tc>
          <w:tcPr>
            <w:tcW w:w="329" w:type="pct"/>
            <w:tcBorders>
              <w:top w:val="nil"/>
              <w:left w:val="nil"/>
              <w:bottom w:val="nil"/>
              <w:right w:val="nil"/>
            </w:tcBorders>
          </w:tcPr>
          <w:p w14:paraId="04B19150" w14:textId="77777777" w:rsidR="003D03A3" w:rsidRPr="00A71654" w:rsidRDefault="003D03A3" w:rsidP="00752DF8">
            <w:pPr>
              <w:spacing w:after="120"/>
              <w:jc w:val="center"/>
              <w:rPr>
                <w:rFonts w:ascii="Times New Roman" w:hAnsi="Times New Roman"/>
              </w:rPr>
            </w:pPr>
            <w:r w:rsidRPr="00A71654">
              <w:rPr>
                <w:rFonts w:ascii="Times New Roman" w:hAnsi="Times New Roman"/>
              </w:rPr>
              <w:t>473</w:t>
            </w:r>
          </w:p>
        </w:tc>
        <w:tc>
          <w:tcPr>
            <w:tcW w:w="329" w:type="pct"/>
            <w:tcBorders>
              <w:top w:val="nil"/>
              <w:left w:val="nil"/>
              <w:bottom w:val="nil"/>
              <w:right w:val="nil"/>
            </w:tcBorders>
          </w:tcPr>
          <w:p w14:paraId="2B204B2F" w14:textId="77777777" w:rsidR="003D03A3" w:rsidRPr="00A71654" w:rsidRDefault="003D03A3" w:rsidP="00752DF8">
            <w:pPr>
              <w:spacing w:after="120"/>
              <w:jc w:val="center"/>
              <w:rPr>
                <w:rFonts w:ascii="Times New Roman" w:hAnsi="Times New Roman"/>
              </w:rPr>
            </w:pPr>
            <w:r w:rsidRPr="00A71654">
              <w:rPr>
                <w:rFonts w:ascii="Times New Roman" w:hAnsi="Times New Roman"/>
              </w:rPr>
              <w:t>541.7</w:t>
            </w:r>
          </w:p>
        </w:tc>
        <w:tc>
          <w:tcPr>
            <w:tcW w:w="329" w:type="pct"/>
            <w:tcBorders>
              <w:top w:val="nil"/>
              <w:left w:val="nil"/>
              <w:bottom w:val="nil"/>
              <w:right w:val="nil"/>
            </w:tcBorders>
          </w:tcPr>
          <w:p w14:paraId="10F1087E"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0.87</w:t>
            </w:r>
          </w:p>
        </w:tc>
        <w:tc>
          <w:tcPr>
            <w:tcW w:w="542" w:type="pct"/>
            <w:tcBorders>
              <w:top w:val="nil"/>
              <w:left w:val="nil"/>
              <w:bottom w:val="nil"/>
              <w:right w:val="nil"/>
            </w:tcBorders>
          </w:tcPr>
          <w:p w14:paraId="09DF8904"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0.80-0.96</w:t>
            </w:r>
          </w:p>
        </w:tc>
      </w:tr>
      <w:tr w:rsidR="003D03A3" w:rsidRPr="000931C0" w14:paraId="457533C5" w14:textId="77777777" w:rsidTr="00752DF8">
        <w:tc>
          <w:tcPr>
            <w:tcW w:w="2573" w:type="pct"/>
            <w:tcBorders>
              <w:top w:val="nil"/>
              <w:left w:val="nil"/>
              <w:bottom w:val="nil"/>
              <w:right w:val="nil"/>
            </w:tcBorders>
          </w:tcPr>
          <w:p w14:paraId="69B514F5" w14:textId="77777777" w:rsidR="003D03A3" w:rsidRPr="00A71654" w:rsidRDefault="003D03A3" w:rsidP="00752DF8">
            <w:pPr>
              <w:spacing w:after="120"/>
              <w:ind w:left="540" w:hanging="360"/>
              <w:rPr>
                <w:rFonts w:ascii="Times New Roman" w:hAnsi="Times New Roman"/>
              </w:rPr>
            </w:pPr>
            <w:r w:rsidRPr="000931C0">
              <w:rPr>
                <w:rFonts w:ascii="Times New Roman" w:hAnsi="Times New Roman"/>
              </w:rPr>
              <w:t xml:space="preserve">S4: Assigned entire gap to earlier state </w:t>
            </w:r>
            <w:r w:rsidRPr="000931C0">
              <w:rPr>
                <w:rFonts w:ascii="Times New Roman" w:hAnsi="Times New Roman"/>
                <w:vertAlign w:val="superscript"/>
              </w:rPr>
              <w:t>4</w:t>
            </w:r>
          </w:p>
        </w:tc>
        <w:tc>
          <w:tcPr>
            <w:tcW w:w="408" w:type="pct"/>
            <w:tcBorders>
              <w:top w:val="nil"/>
              <w:left w:val="nil"/>
              <w:bottom w:val="nil"/>
              <w:right w:val="nil"/>
            </w:tcBorders>
          </w:tcPr>
          <w:p w14:paraId="62F1DDAF" w14:textId="77777777" w:rsidR="003D03A3" w:rsidRPr="00A71654" w:rsidRDefault="003D03A3" w:rsidP="00752DF8">
            <w:pPr>
              <w:spacing w:after="120"/>
              <w:jc w:val="center"/>
              <w:rPr>
                <w:rFonts w:ascii="Times New Roman" w:hAnsi="Times New Roman"/>
              </w:rPr>
            </w:pPr>
            <w:r w:rsidRPr="00A71654">
              <w:rPr>
                <w:rFonts w:ascii="Times New Roman" w:hAnsi="Times New Roman"/>
              </w:rPr>
              <w:t>10549</w:t>
            </w:r>
          </w:p>
        </w:tc>
        <w:tc>
          <w:tcPr>
            <w:tcW w:w="489" w:type="pct"/>
            <w:tcBorders>
              <w:top w:val="nil"/>
              <w:left w:val="nil"/>
              <w:bottom w:val="nil"/>
              <w:right w:val="nil"/>
            </w:tcBorders>
          </w:tcPr>
          <w:p w14:paraId="73D264E1" w14:textId="77777777" w:rsidR="003D03A3" w:rsidRPr="00A71654" w:rsidRDefault="003D03A3" w:rsidP="00752DF8">
            <w:pPr>
              <w:spacing w:after="120"/>
              <w:jc w:val="center"/>
              <w:rPr>
                <w:rFonts w:ascii="Times New Roman" w:hAnsi="Times New Roman"/>
              </w:rPr>
            </w:pPr>
            <w:r w:rsidRPr="00A71654">
              <w:rPr>
                <w:rFonts w:ascii="Times New Roman" w:hAnsi="Times New Roman"/>
              </w:rPr>
              <w:t>215,287.0</w:t>
            </w:r>
          </w:p>
        </w:tc>
        <w:tc>
          <w:tcPr>
            <w:tcW w:w="329" w:type="pct"/>
            <w:tcBorders>
              <w:top w:val="nil"/>
              <w:left w:val="nil"/>
              <w:bottom w:val="nil"/>
              <w:right w:val="nil"/>
            </w:tcBorders>
          </w:tcPr>
          <w:p w14:paraId="6974F190" w14:textId="77777777" w:rsidR="003D03A3" w:rsidRPr="00A71654" w:rsidRDefault="003D03A3" w:rsidP="00752DF8">
            <w:pPr>
              <w:spacing w:after="120"/>
              <w:jc w:val="center"/>
              <w:rPr>
                <w:rFonts w:ascii="Times New Roman" w:hAnsi="Times New Roman"/>
              </w:rPr>
            </w:pPr>
            <w:r w:rsidRPr="00A71654">
              <w:rPr>
                <w:rFonts w:ascii="Times New Roman" w:hAnsi="Times New Roman"/>
              </w:rPr>
              <w:t>454</w:t>
            </w:r>
          </w:p>
        </w:tc>
        <w:tc>
          <w:tcPr>
            <w:tcW w:w="329" w:type="pct"/>
            <w:tcBorders>
              <w:top w:val="nil"/>
              <w:left w:val="nil"/>
              <w:bottom w:val="nil"/>
              <w:right w:val="nil"/>
            </w:tcBorders>
          </w:tcPr>
          <w:p w14:paraId="46641BD2" w14:textId="77777777" w:rsidR="003D03A3" w:rsidRPr="00A71654" w:rsidRDefault="003D03A3" w:rsidP="00752DF8">
            <w:pPr>
              <w:spacing w:after="120"/>
              <w:jc w:val="center"/>
              <w:rPr>
                <w:rFonts w:ascii="Times New Roman" w:hAnsi="Times New Roman"/>
              </w:rPr>
            </w:pPr>
            <w:r w:rsidRPr="00A71654">
              <w:rPr>
                <w:rFonts w:ascii="Times New Roman" w:hAnsi="Times New Roman"/>
              </w:rPr>
              <w:t>531.2</w:t>
            </w:r>
          </w:p>
        </w:tc>
        <w:tc>
          <w:tcPr>
            <w:tcW w:w="329" w:type="pct"/>
            <w:tcBorders>
              <w:top w:val="nil"/>
              <w:left w:val="nil"/>
              <w:bottom w:val="nil"/>
              <w:right w:val="nil"/>
            </w:tcBorders>
          </w:tcPr>
          <w:p w14:paraId="098C2075"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0.85</w:t>
            </w:r>
          </w:p>
        </w:tc>
        <w:tc>
          <w:tcPr>
            <w:tcW w:w="542" w:type="pct"/>
            <w:tcBorders>
              <w:top w:val="nil"/>
              <w:left w:val="nil"/>
              <w:bottom w:val="nil"/>
              <w:right w:val="nil"/>
            </w:tcBorders>
          </w:tcPr>
          <w:p w14:paraId="5FC5E1D3" w14:textId="77777777" w:rsidR="003D03A3" w:rsidRPr="00A71654" w:rsidRDefault="003D03A3" w:rsidP="00752DF8">
            <w:pPr>
              <w:spacing w:after="120"/>
              <w:jc w:val="center"/>
              <w:rPr>
                <w:rFonts w:ascii="Times New Roman" w:hAnsi="Times New Roman"/>
              </w:rPr>
            </w:pPr>
            <w:r w:rsidRPr="00A71654">
              <w:rPr>
                <w:rFonts w:ascii="Times New Roman" w:hAnsi="Times New Roman"/>
              </w:rPr>
              <w:t>0.78-0.94</w:t>
            </w:r>
          </w:p>
        </w:tc>
      </w:tr>
      <w:tr w:rsidR="003D03A3" w:rsidRPr="000931C0" w14:paraId="2C591351" w14:textId="77777777" w:rsidTr="00752DF8">
        <w:tc>
          <w:tcPr>
            <w:tcW w:w="2573" w:type="pct"/>
            <w:tcBorders>
              <w:top w:val="nil"/>
              <w:left w:val="nil"/>
              <w:bottom w:val="nil"/>
              <w:right w:val="nil"/>
            </w:tcBorders>
          </w:tcPr>
          <w:p w14:paraId="3C4FD76C" w14:textId="77777777" w:rsidR="003D03A3" w:rsidRPr="000931C0" w:rsidRDefault="003D03A3" w:rsidP="00752DF8">
            <w:pPr>
              <w:spacing w:after="120"/>
              <w:ind w:left="540" w:hanging="360"/>
              <w:rPr>
                <w:rFonts w:ascii="Times New Roman" w:hAnsi="Times New Roman"/>
              </w:rPr>
            </w:pPr>
            <w:r w:rsidRPr="000931C0">
              <w:rPr>
                <w:rFonts w:ascii="Times New Roman" w:hAnsi="Times New Roman"/>
              </w:rPr>
              <w:t xml:space="preserve">S5: Assigned entire gap to later state </w:t>
            </w:r>
            <w:r w:rsidRPr="000931C0">
              <w:rPr>
                <w:rFonts w:ascii="Times New Roman" w:hAnsi="Times New Roman"/>
                <w:vertAlign w:val="superscript"/>
              </w:rPr>
              <w:t>5</w:t>
            </w:r>
          </w:p>
        </w:tc>
        <w:tc>
          <w:tcPr>
            <w:tcW w:w="408" w:type="pct"/>
            <w:tcBorders>
              <w:top w:val="nil"/>
              <w:left w:val="nil"/>
              <w:bottom w:val="nil"/>
              <w:right w:val="nil"/>
            </w:tcBorders>
          </w:tcPr>
          <w:p w14:paraId="5E080F51" w14:textId="77777777" w:rsidR="003D03A3" w:rsidRPr="00A71654" w:rsidRDefault="003D03A3" w:rsidP="00752DF8">
            <w:pPr>
              <w:spacing w:after="120"/>
              <w:jc w:val="center"/>
              <w:rPr>
                <w:rFonts w:ascii="Times New Roman" w:hAnsi="Times New Roman"/>
              </w:rPr>
            </w:pPr>
            <w:r w:rsidRPr="00A71654">
              <w:rPr>
                <w:rFonts w:ascii="Times New Roman" w:hAnsi="Times New Roman"/>
              </w:rPr>
              <w:t>9492</w:t>
            </w:r>
          </w:p>
        </w:tc>
        <w:tc>
          <w:tcPr>
            <w:tcW w:w="489" w:type="pct"/>
            <w:tcBorders>
              <w:top w:val="nil"/>
              <w:left w:val="nil"/>
              <w:bottom w:val="nil"/>
              <w:right w:val="nil"/>
            </w:tcBorders>
          </w:tcPr>
          <w:p w14:paraId="76408265" w14:textId="77777777" w:rsidR="003D03A3" w:rsidRPr="00A71654" w:rsidRDefault="003D03A3" w:rsidP="00752DF8">
            <w:pPr>
              <w:spacing w:after="120"/>
              <w:jc w:val="center"/>
              <w:rPr>
                <w:rFonts w:ascii="Times New Roman" w:hAnsi="Times New Roman"/>
              </w:rPr>
            </w:pPr>
            <w:r w:rsidRPr="00A71654">
              <w:rPr>
                <w:rFonts w:ascii="Times New Roman" w:hAnsi="Times New Roman"/>
              </w:rPr>
              <w:t>194,584.6</w:t>
            </w:r>
          </w:p>
        </w:tc>
        <w:tc>
          <w:tcPr>
            <w:tcW w:w="329" w:type="pct"/>
            <w:tcBorders>
              <w:top w:val="nil"/>
              <w:left w:val="nil"/>
              <w:bottom w:val="nil"/>
              <w:right w:val="nil"/>
            </w:tcBorders>
          </w:tcPr>
          <w:p w14:paraId="23D75315" w14:textId="77777777" w:rsidR="003D03A3" w:rsidRPr="00A71654" w:rsidRDefault="003D03A3" w:rsidP="00752DF8">
            <w:pPr>
              <w:spacing w:after="120"/>
              <w:jc w:val="center"/>
              <w:rPr>
                <w:rFonts w:ascii="Times New Roman" w:hAnsi="Times New Roman"/>
              </w:rPr>
            </w:pPr>
            <w:r w:rsidRPr="00A71654">
              <w:rPr>
                <w:rFonts w:ascii="Times New Roman" w:hAnsi="Times New Roman"/>
              </w:rPr>
              <w:t>470</w:t>
            </w:r>
          </w:p>
        </w:tc>
        <w:tc>
          <w:tcPr>
            <w:tcW w:w="329" w:type="pct"/>
            <w:tcBorders>
              <w:top w:val="nil"/>
              <w:left w:val="nil"/>
              <w:bottom w:val="nil"/>
              <w:right w:val="nil"/>
            </w:tcBorders>
          </w:tcPr>
          <w:p w14:paraId="169AFFCF" w14:textId="77777777" w:rsidR="003D03A3" w:rsidRPr="00A71654" w:rsidRDefault="003D03A3" w:rsidP="00752DF8">
            <w:pPr>
              <w:spacing w:after="120"/>
              <w:jc w:val="center"/>
              <w:rPr>
                <w:rFonts w:ascii="Times New Roman" w:hAnsi="Times New Roman"/>
              </w:rPr>
            </w:pPr>
            <w:r w:rsidRPr="00A71654">
              <w:rPr>
                <w:rFonts w:ascii="Times New Roman" w:hAnsi="Times New Roman"/>
              </w:rPr>
              <w:t>535.5</w:t>
            </w:r>
          </w:p>
        </w:tc>
        <w:tc>
          <w:tcPr>
            <w:tcW w:w="329" w:type="pct"/>
            <w:tcBorders>
              <w:top w:val="nil"/>
              <w:left w:val="nil"/>
              <w:bottom w:val="nil"/>
              <w:right w:val="nil"/>
            </w:tcBorders>
          </w:tcPr>
          <w:p w14:paraId="53545DFF"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0.88</w:t>
            </w:r>
          </w:p>
        </w:tc>
        <w:tc>
          <w:tcPr>
            <w:tcW w:w="542" w:type="pct"/>
            <w:tcBorders>
              <w:top w:val="nil"/>
              <w:left w:val="nil"/>
              <w:bottom w:val="nil"/>
              <w:right w:val="nil"/>
            </w:tcBorders>
          </w:tcPr>
          <w:p w14:paraId="66A6E982"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0.80-0.96</w:t>
            </w:r>
          </w:p>
        </w:tc>
      </w:tr>
      <w:tr w:rsidR="003D03A3" w:rsidRPr="000931C0" w14:paraId="0D970935" w14:textId="77777777" w:rsidTr="00752DF8">
        <w:tc>
          <w:tcPr>
            <w:tcW w:w="2573" w:type="pct"/>
            <w:tcBorders>
              <w:top w:val="nil"/>
              <w:left w:val="nil"/>
              <w:bottom w:val="single" w:sz="4" w:space="0" w:color="auto"/>
              <w:right w:val="nil"/>
            </w:tcBorders>
          </w:tcPr>
          <w:p w14:paraId="7046E443" w14:textId="77777777" w:rsidR="003D03A3" w:rsidRPr="000931C0" w:rsidRDefault="003D03A3" w:rsidP="00752DF8">
            <w:pPr>
              <w:spacing w:after="120"/>
              <w:ind w:left="540" w:hanging="360"/>
              <w:rPr>
                <w:rFonts w:ascii="Times New Roman" w:hAnsi="Times New Roman"/>
              </w:rPr>
            </w:pPr>
            <w:r w:rsidRPr="000931C0">
              <w:rPr>
                <w:rFonts w:ascii="Times New Roman" w:hAnsi="Times New Roman"/>
              </w:rPr>
              <w:t xml:space="preserve">S6: Excluded “lost and found” workers </w:t>
            </w:r>
            <w:r w:rsidRPr="000931C0">
              <w:rPr>
                <w:rFonts w:ascii="Times New Roman" w:hAnsi="Times New Roman"/>
                <w:vertAlign w:val="superscript"/>
              </w:rPr>
              <w:t>6</w:t>
            </w:r>
          </w:p>
        </w:tc>
        <w:tc>
          <w:tcPr>
            <w:tcW w:w="408" w:type="pct"/>
            <w:tcBorders>
              <w:top w:val="nil"/>
              <w:left w:val="nil"/>
              <w:bottom w:val="single" w:sz="4" w:space="0" w:color="auto"/>
              <w:right w:val="nil"/>
            </w:tcBorders>
          </w:tcPr>
          <w:p w14:paraId="6AAFD65F" w14:textId="77777777" w:rsidR="003D03A3" w:rsidRPr="00A71654" w:rsidRDefault="003D03A3" w:rsidP="00752DF8">
            <w:pPr>
              <w:spacing w:after="120"/>
              <w:jc w:val="center"/>
              <w:rPr>
                <w:rFonts w:ascii="Times New Roman" w:hAnsi="Times New Roman"/>
              </w:rPr>
            </w:pPr>
            <w:r w:rsidRPr="00A71654">
              <w:rPr>
                <w:rFonts w:ascii="Times New Roman" w:hAnsi="Times New Roman"/>
              </w:rPr>
              <w:t>9896</w:t>
            </w:r>
          </w:p>
        </w:tc>
        <w:tc>
          <w:tcPr>
            <w:tcW w:w="489" w:type="pct"/>
            <w:tcBorders>
              <w:top w:val="nil"/>
              <w:left w:val="nil"/>
              <w:bottom w:val="single" w:sz="4" w:space="0" w:color="auto"/>
              <w:right w:val="nil"/>
            </w:tcBorders>
          </w:tcPr>
          <w:p w14:paraId="76BFFA69" w14:textId="77777777" w:rsidR="003D03A3" w:rsidRPr="00A71654" w:rsidRDefault="003D03A3" w:rsidP="00752DF8">
            <w:pPr>
              <w:spacing w:after="120"/>
              <w:jc w:val="center"/>
              <w:rPr>
                <w:rFonts w:ascii="Times New Roman" w:hAnsi="Times New Roman"/>
              </w:rPr>
            </w:pPr>
            <w:r w:rsidRPr="00A71654">
              <w:rPr>
                <w:rFonts w:ascii="Times New Roman" w:hAnsi="Times New Roman"/>
              </w:rPr>
              <w:t>193,821.6</w:t>
            </w:r>
          </w:p>
        </w:tc>
        <w:tc>
          <w:tcPr>
            <w:tcW w:w="329" w:type="pct"/>
            <w:tcBorders>
              <w:top w:val="nil"/>
              <w:left w:val="nil"/>
              <w:bottom w:val="single" w:sz="4" w:space="0" w:color="auto"/>
              <w:right w:val="nil"/>
            </w:tcBorders>
          </w:tcPr>
          <w:p w14:paraId="3DF690AC" w14:textId="77777777" w:rsidR="003D03A3" w:rsidRPr="00A71654" w:rsidRDefault="003D03A3" w:rsidP="00752DF8">
            <w:pPr>
              <w:spacing w:after="120"/>
              <w:jc w:val="center"/>
              <w:rPr>
                <w:rFonts w:ascii="Times New Roman" w:hAnsi="Times New Roman"/>
              </w:rPr>
            </w:pPr>
            <w:r w:rsidRPr="00A71654">
              <w:rPr>
                <w:rFonts w:ascii="Times New Roman" w:hAnsi="Times New Roman"/>
              </w:rPr>
              <w:t>451</w:t>
            </w:r>
          </w:p>
        </w:tc>
        <w:tc>
          <w:tcPr>
            <w:tcW w:w="329" w:type="pct"/>
            <w:tcBorders>
              <w:top w:val="nil"/>
              <w:left w:val="nil"/>
              <w:bottom w:val="single" w:sz="4" w:space="0" w:color="auto"/>
              <w:right w:val="nil"/>
            </w:tcBorders>
          </w:tcPr>
          <w:p w14:paraId="3718DA25" w14:textId="77777777" w:rsidR="003D03A3" w:rsidRPr="00A71654" w:rsidRDefault="003D03A3" w:rsidP="00752DF8">
            <w:pPr>
              <w:spacing w:after="120"/>
              <w:jc w:val="center"/>
              <w:rPr>
                <w:rFonts w:ascii="Times New Roman" w:hAnsi="Times New Roman"/>
              </w:rPr>
            </w:pPr>
            <w:r w:rsidRPr="00A71654">
              <w:rPr>
                <w:rFonts w:ascii="Times New Roman" w:hAnsi="Times New Roman"/>
              </w:rPr>
              <w:t>515.1</w:t>
            </w:r>
          </w:p>
        </w:tc>
        <w:tc>
          <w:tcPr>
            <w:tcW w:w="329" w:type="pct"/>
            <w:tcBorders>
              <w:top w:val="nil"/>
              <w:left w:val="nil"/>
              <w:bottom w:val="single" w:sz="4" w:space="0" w:color="auto"/>
              <w:right w:val="nil"/>
            </w:tcBorders>
          </w:tcPr>
          <w:p w14:paraId="4F75981B"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0.88</w:t>
            </w:r>
          </w:p>
        </w:tc>
        <w:tc>
          <w:tcPr>
            <w:tcW w:w="542" w:type="pct"/>
            <w:tcBorders>
              <w:top w:val="nil"/>
              <w:left w:val="nil"/>
              <w:bottom w:val="single" w:sz="4" w:space="0" w:color="auto"/>
              <w:right w:val="nil"/>
            </w:tcBorders>
          </w:tcPr>
          <w:p w14:paraId="6D591567" w14:textId="77777777" w:rsidR="003D03A3" w:rsidRPr="00A71654" w:rsidRDefault="003D03A3" w:rsidP="00752DF8">
            <w:pPr>
              <w:spacing w:after="120"/>
              <w:jc w:val="center"/>
              <w:rPr>
                <w:rFonts w:ascii="Times New Roman" w:hAnsi="Times New Roman"/>
              </w:rPr>
            </w:pPr>
            <w:r w:rsidRPr="00A71654">
              <w:rPr>
                <w:rFonts w:ascii="Times New Roman" w:hAnsi="Times New Roman"/>
              </w:rPr>
              <w:t>0.80-0.96</w:t>
            </w:r>
          </w:p>
        </w:tc>
      </w:tr>
    </w:tbl>
    <w:p w14:paraId="7648E23C" w14:textId="77777777" w:rsidR="003D03A3" w:rsidRPr="000931C0" w:rsidRDefault="003D03A3" w:rsidP="003D03A3">
      <w:pPr>
        <w:spacing w:after="120"/>
        <w:rPr>
          <w:rFonts w:ascii="Times New Roman" w:hAnsi="Times New Roman"/>
        </w:rPr>
      </w:pPr>
    </w:p>
    <w:p w14:paraId="651C0989" w14:textId="77777777" w:rsidR="003D03A3" w:rsidRPr="00A71654" w:rsidRDefault="003D03A3" w:rsidP="003D03A3">
      <w:pPr>
        <w:spacing w:after="120"/>
        <w:rPr>
          <w:rFonts w:ascii="Times New Roman" w:hAnsi="Times New Roman"/>
        </w:rPr>
      </w:pPr>
      <w:r w:rsidRPr="00A71654">
        <w:rPr>
          <w:rFonts w:ascii="Times New Roman" w:hAnsi="Times New Roman"/>
        </w:rPr>
        <w:t>Abbreviations: PYAR – person-years at risk, OBS – observed number of cases, EXP – expected number of cases based on SEER rates, SIR – standardized incidence ratio, CI – confidence interval</w:t>
      </w:r>
    </w:p>
    <w:p w14:paraId="7FA6C2C7" w14:textId="77777777" w:rsidR="003D03A3" w:rsidRPr="00A71654" w:rsidRDefault="003D03A3" w:rsidP="003D03A3">
      <w:pPr>
        <w:spacing w:after="120"/>
        <w:rPr>
          <w:rFonts w:ascii="Times New Roman" w:hAnsi="Times New Roman"/>
        </w:rPr>
      </w:pPr>
      <w:r w:rsidRPr="00A71654">
        <w:rPr>
          <w:rFonts w:ascii="Times New Roman" w:hAnsi="Times New Roman"/>
        </w:rPr>
        <w:t>The primary analysis included cases identified using the nine state cancer registries (CT, NY, MA, RI, IN, CA, TX, FL, and NC); split any gaps in the residence history at the midpoint and assigned the first half of the gap to the earlier state and the second half of the gap to the later state; and limited person-time at risk to the initial risk period (i.e., person-time at risk was censored at the date the worker was first known to be living outside the catchment).</w:t>
      </w:r>
    </w:p>
    <w:p w14:paraId="3B8B4FB8" w14:textId="77777777" w:rsidR="003D03A3" w:rsidRPr="00A71654" w:rsidRDefault="003D03A3" w:rsidP="003D03A3">
      <w:pPr>
        <w:spacing w:after="120"/>
        <w:ind w:left="360" w:hanging="360"/>
        <w:rPr>
          <w:rFonts w:ascii="Times New Roman" w:hAnsi="Times New Roman"/>
        </w:rPr>
      </w:pPr>
      <w:r w:rsidRPr="00A71654">
        <w:rPr>
          <w:rFonts w:ascii="Times New Roman" w:hAnsi="Times New Roman"/>
          <w:vertAlign w:val="superscript"/>
        </w:rPr>
        <w:t>1</w:t>
      </w:r>
      <w:r w:rsidRPr="00A71654">
        <w:rPr>
          <w:rFonts w:ascii="Times New Roman" w:hAnsi="Times New Roman"/>
        </w:rPr>
        <w:tab/>
        <w:t>S1 was like the primary analysis except that it defined the catchment to be the states where the plants were located (NY, MA, and IN) and limited cases to those identified using the cancer registries affiliated with these three states.</w:t>
      </w:r>
    </w:p>
    <w:p w14:paraId="6A7E1065" w14:textId="77777777" w:rsidR="003D03A3" w:rsidRPr="00A71654" w:rsidRDefault="003D03A3" w:rsidP="003D03A3">
      <w:pPr>
        <w:spacing w:after="120"/>
        <w:ind w:left="360" w:hanging="360"/>
        <w:rPr>
          <w:rFonts w:ascii="Times New Roman" w:hAnsi="Times New Roman"/>
        </w:rPr>
      </w:pPr>
      <w:r w:rsidRPr="00A71654">
        <w:rPr>
          <w:rFonts w:ascii="Times New Roman" w:hAnsi="Times New Roman"/>
          <w:vertAlign w:val="superscript"/>
        </w:rPr>
        <w:t>2</w:t>
      </w:r>
      <w:r w:rsidRPr="00A71654">
        <w:rPr>
          <w:rFonts w:ascii="Times New Roman" w:hAnsi="Times New Roman"/>
        </w:rPr>
        <w:tab/>
        <w:t>S2 was like the primary analysis except that it additionally included cases from the nine registry states who were identified using death certificates.</w:t>
      </w:r>
    </w:p>
    <w:p w14:paraId="0147E8A2" w14:textId="77777777" w:rsidR="003D03A3" w:rsidRPr="00A71654" w:rsidRDefault="003D03A3" w:rsidP="003D03A3">
      <w:pPr>
        <w:spacing w:after="120"/>
        <w:ind w:left="360" w:hanging="360"/>
        <w:rPr>
          <w:rFonts w:ascii="Times New Roman" w:hAnsi="Times New Roman"/>
        </w:rPr>
      </w:pPr>
      <w:r w:rsidRPr="00A71654">
        <w:rPr>
          <w:rFonts w:ascii="Times New Roman" w:hAnsi="Times New Roman"/>
          <w:vertAlign w:val="superscript"/>
        </w:rPr>
        <w:t>3</w:t>
      </w:r>
      <w:r w:rsidRPr="00A71654">
        <w:rPr>
          <w:rFonts w:ascii="Times New Roman" w:hAnsi="Times New Roman"/>
        </w:rPr>
        <w:tab/>
        <w:t>S3 was like the primary analysis except that all risk periods were included (i.e., all person-time at risk in the catchment contributed to the denominator).</w:t>
      </w:r>
    </w:p>
    <w:p w14:paraId="3EB43E95" w14:textId="77777777" w:rsidR="003D03A3" w:rsidRPr="00A71654" w:rsidRDefault="003D03A3" w:rsidP="003D03A3">
      <w:pPr>
        <w:spacing w:after="120"/>
        <w:ind w:left="360" w:hanging="360"/>
        <w:rPr>
          <w:rFonts w:ascii="Times New Roman" w:hAnsi="Times New Roman"/>
        </w:rPr>
      </w:pPr>
      <w:r w:rsidRPr="00A71654">
        <w:rPr>
          <w:rFonts w:ascii="Times New Roman" w:hAnsi="Times New Roman"/>
          <w:vertAlign w:val="superscript"/>
        </w:rPr>
        <w:t>4</w:t>
      </w:r>
      <w:r w:rsidRPr="00A71654">
        <w:rPr>
          <w:rFonts w:ascii="Times New Roman" w:hAnsi="Times New Roman"/>
        </w:rPr>
        <w:tab/>
        <w:t>S4 was like the primary analysis except that gaps in the residence history were assigned to the earlier state.</w:t>
      </w:r>
    </w:p>
    <w:p w14:paraId="23D1A8A8" w14:textId="77777777" w:rsidR="003D03A3" w:rsidRPr="00A71654" w:rsidRDefault="003D03A3" w:rsidP="003D03A3">
      <w:pPr>
        <w:spacing w:after="120"/>
        <w:ind w:left="360" w:hanging="360"/>
        <w:rPr>
          <w:rFonts w:ascii="Times New Roman" w:hAnsi="Times New Roman"/>
        </w:rPr>
      </w:pPr>
      <w:r w:rsidRPr="00A71654">
        <w:rPr>
          <w:rFonts w:ascii="Times New Roman" w:hAnsi="Times New Roman"/>
          <w:vertAlign w:val="superscript"/>
        </w:rPr>
        <w:t>5</w:t>
      </w:r>
      <w:r w:rsidRPr="00A71654">
        <w:rPr>
          <w:rFonts w:ascii="Times New Roman" w:hAnsi="Times New Roman"/>
        </w:rPr>
        <w:tab/>
        <w:t>S5 was like the primary analysis except that gaps in the residence history were assigned to the later state.</w:t>
      </w:r>
    </w:p>
    <w:p w14:paraId="3D4001C2" w14:textId="77777777" w:rsidR="003D03A3" w:rsidRDefault="003D03A3" w:rsidP="003D03A3">
      <w:pPr>
        <w:spacing w:after="120"/>
        <w:ind w:left="360" w:hanging="360"/>
        <w:rPr>
          <w:rFonts w:ascii="Times New Roman" w:hAnsi="Times New Roman"/>
        </w:rPr>
      </w:pPr>
      <w:r w:rsidRPr="00A71654">
        <w:rPr>
          <w:rFonts w:ascii="Times New Roman" w:hAnsi="Times New Roman"/>
          <w:vertAlign w:val="superscript"/>
        </w:rPr>
        <w:t>6</w:t>
      </w:r>
      <w:r w:rsidRPr="00A71654">
        <w:rPr>
          <w:rFonts w:ascii="Times New Roman" w:hAnsi="Times New Roman"/>
        </w:rPr>
        <w:tab/>
        <w:t>S6 was like the primary analysis except that nine “lost and found” workers were excluded.</w:t>
      </w:r>
      <w:r>
        <w:rPr>
          <w:rFonts w:ascii="Times New Roman" w:hAnsi="Times New Roman"/>
        </w:rPr>
        <w:t>\</w:t>
      </w:r>
    </w:p>
    <w:p w14:paraId="5B904950" w14:textId="77777777" w:rsidR="003D03A3" w:rsidRDefault="003D03A3">
      <w:pPr>
        <w:spacing w:after="200" w:line="276" w:lineRule="auto"/>
        <w:rPr>
          <w:rFonts w:ascii="Times New Roman" w:hAnsi="Times New Roman"/>
          <w:b/>
        </w:rPr>
      </w:pPr>
      <w:r>
        <w:rPr>
          <w:rFonts w:ascii="Times New Roman" w:hAnsi="Times New Roman"/>
          <w:b/>
        </w:rPr>
        <w:br w:type="page"/>
      </w:r>
    </w:p>
    <w:p w14:paraId="49597A19" w14:textId="77777777" w:rsidR="003D03A3" w:rsidRPr="00DB7A43" w:rsidRDefault="003D03A3" w:rsidP="003D03A3">
      <w:pPr>
        <w:spacing w:after="200" w:line="276" w:lineRule="auto"/>
        <w:rPr>
          <w:rFonts w:ascii="Times New Roman" w:hAnsi="Times New Roman"/>
          <w:color w:val="000000" w:themeColor="text1"/>
        </w:rPr>
      </w:pPr>
      <w:r w:rsidRPr="008B2AB3">
        <w:rPr>
          <w:rFonts w:ascii="Times New Roman" w:hAnsi="Times New Roman"/>
          <w:b/>
          <w:color w:val="000000" w:themeColor="text1"/>
        </w:rPr>
        <w:lastRenderedPageBreak/>
        <w:t>Supplemental Table S</w:t>
      </w:r>
      <w:r w:rsidR="000E588F" w:rsidRPr="008B2AB3">
        <w:rPr>
          <w:rFonts w:ascii="Times New Roman" w:hAnsi="Times New Roman"/>
          <w:b/>
          <w:color w:val="000000" w:themeColor="text1"/>
        </w:rPr>
        <w:t>5</w:t>
      </w:r>
      <w:r w:rsidRPr="008B2AB3">
        <w:rPr>
          <w:rFonts w:ascii="Times New Roman" w:hAnsi="Times New Roman"/>
          <w:b/>
          <w:color w:val="000000" w:themeColor="text1"/>
        </w:rPr>
        <w:t>: Observed and expected numbers of incident prostate cancers, standardized incidence ratios, and directly standardized rate ratios, by exposure category</w:t>
      </w:r>
      <w:r w:rsidRPr="00DB7A43">
        <w:rPr>
          <w:rFonts w:ascii="Times New Roman" w:hAnsi="Times New Roman"/>
          <w:color w:val="000000" w:themeColor="text1"/>
        </w:rPr>
        <w:t xml:space="preserve"> </w:t>
      </w:r>
      <w:r w:rsidRPr="00DB7A43">
        <w:rPr>
          <w:rFonts w:ascii="Times New Roman" w:hAnsi="Times New Roman"/>
          <w:color w:val="000000" w:themeColor="text1"/>
          <w:vertAlign w:val="superscript"/>
        </w:rPr>
        <w:t>1</w:t>
      </w: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3957"/>
        <w:gridCol w:w="1185"/>
        <w:gridCol w:w="619"/>
        <w:gridCol w:w="702"/>
        <w:gridCol w:w="564"/>
        <w:gridCol w:w="1139"/>
        <w:gridCol w:w="89"/>
        <w:gridCol w:w="603"/>
        <w:gridCol w:w="1222"/>
      </w:tblGrid>
      <w:tr w:rsidR="003D03A3" w:rsidRPr="00DB7A43" w14:paraId="367086A1" w14:textId="77777777" w:rsidTr="00752DF8">
        <w:tc>
          <w:tcPr>
            <w:tcW w:w="1963" w:type="pct"/>
            <w:tcBorders>
              <w:top w:val="single" w:sz="4" w:space="0" w:color="auto"/>
              <w:left w:val="nil"/>
              <w:bottom w:val="single" w:sz="4" w:space="0" w:color="auto"/>
              <w:right w:val="nil"/>
            </w:tcBorders>
          </w:tcPr>
          <w:p w14:paraId="08ADEA7A"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Cumulative exposure category (unit-years) </w:t>
            </w:r>
            <w:r w:rsidRPr="00DB7A43">
              <w:rPr>
                <w:rFonts w:ascii="Times New Roman" w:hAnsi="Times New Roman"/>
                <w:color w:val="000000" w:themeColor="text1"/>
                <w:sz w:val="20"/>
                <w:szCs w:val="20"/>
                <w:vertAlign w:val="superscript"/>
              </w:rPr>
              <w:t>2</w:t>
            </w:r>
          </w:p>
        </w:tc>
        <w:tc>
          <w:tcPr>
            <w:tcW w:w="588" w:type="pct"/>
            <w:tcBorders>
              <w:top w:val="single" w:sz="4" w:space="0" w:color="auto"/>
              <w:left w:val="nil"/>
              <w:bottom w:val="single" w:sz="4" w:space="0" w:color="auto"/>
              <w:right w:val="nil"/>
            </w:tcBorders>
          </w:tcPr>
          <w:p w14:paraId="1308F22F"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PYAR</w:t>
            </w:r>
          </w:p>
        </w:tc>
        <w:tc>
          <w:tcPr>
            <w:tcW w:w="307" w:type="pct"/>
            <w:tcBorders>
              <w:top w:val="single" w:sz="4" w:space="0" w:color="auto"/>
              <w:left w:val="nil"/>
              <w:bottom w:val="single" w:sz="4" w:space="0" w:color="auto"/>
              <w:right w:val="nil"/>
            </w:tcBorders>
          </w:tcPr>
          <w:p w14:paraId="593FC0D3"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OBS</w:t>
            </w:r>
          </w:p>
        </w:tc>
        <w:tc>
          <w:tcPr>
            <w:tcW w:w="348" w:type="pct"/>
            <w:tcBorders>
              <w:top w:val="single" w:sz="4" w:space="0" w:color="auto"/>
              <w:left w:val="nil"/>
              <w:bottom w:val="single" w:sz="4" w:space="0" w:color="auto"/>
              <w:right w:val="nil"/>
            </w:tcBorders>
          </w:tcPr>
          <w:p w14:paraId="7DD550FD"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EXP</w:t>
            </w:r>
          </w:p>
        </w:tc>
        <w:tc>
          <w:tcPr>
            <w:tcW w:w="280" w:type="pct"/>
            <w:tcBorders>
              <w:top w:val="single" w:sz="4" w:space="0" w:color="auto"/>
              <w:left w:val="nil"/>
              <w:bottom w:val="single" w:sz="4" w:space="0" w:color="auto"/>
              <w:right w:val="nil"/>
            </w:tcBorders>
          </w:tcPr>
          <w:p w14:paraId="7B910127"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SIR</w:t>
            </w:r>
          </w:p>
        </w:tc>
        <w:tc>
          <w:tcPr>
            <w:tcW w:w="565" w:type="pct"/>
            <w:tcBorders>
              <w:top w:val="single" w:sz="4" w:space="0" w:color="auto"/>
              <w:left w:val="nil"/>
              <w:bottom w:val="single" w:sz="4" w:space="0" w:color="auto"/>
              <w:right w:val="nil"/>
            </w:tcBorders>
          </w:tcPr>
          <w:p w14:paraId="04E6302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95% CI</w:t>
            </w:r>
          </w:p>
        </w:tc>
        <w:tc>
          <w:tcPr>
            <w:tcW w:w="44" w:type="pct"/>
            <w:tcBorders>
              <w:top w:val="single" w:sz="4" w:space="0" w:color="auto"/>
              <w:left w:val="nil"/>
              <w:bottom w:val="single" w:sz="4" w:space="0" w:color="auto"/>
              <w:right w:val="nil"/>
            </w:tcBorders>
          </w:tcPr>
          <w:p w14:paraId="0DD11851"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single" w:sz="4" w:space="0" w:color="auto"/>
              <w:left w:val="nil"/>
              <w:bottom w:val="single" w:sz="4" w:space="0" w:color="auto"/>
              <w:right w:val="nil"/>
            </w:tcBorders>
          </w:tcPr>
          <w:p w14:paraId="299E82F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SRR</w:t>
            </w:r>
          </w:p>
        </w:tc>
        <w:tc>
          <w:tcPr>
            <w:tcW w:w="607" w:type="pct"/>
            <w:tcBorders>
              <w:top w:val="single" w:sz="4" w:space="0" w:color="auto"/>
              <w:left w:val="nil"/>
              <w:bottom w:val="single" w:sz="4" w:space="0" w:color="auto"/>
              <w:right w:val="nil"/>
            </w:tcBorders>
          </w:tcPr>
          <w:p w14:paraId="4113FA2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95% CI</w:t>
            </w:r>
          </w:p>
        </w:tc>
      </w:tr>
      <w:tr w:rsidR="003D03A3" w:rsidRPr="00DB7A43" w14:paraId="2FED5864" w14:textId="77777777" w:rsidTr="00752DF8">
        <w:tc>
          <w:tcPr>
            <w:tcW w:w="1963" w:type="pct"/>
            <w:tcBorders>
              <w:top w:val="nil"/>
              <w:left w:val="nil"/>
              <w:bottom w:val="nil"/>
              <w:right w:val="nil"/>
            </w:tcBorders>
          </w:tcPr>
          <w:p w14:paraId="15E9ADE0"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Unlagged</w:t>
            </w:r>
          </w:p>
        </w:tc>
        <w:tc>
          <w:tcPr>
            <w:tcW w:w="588" w:type="pct"/>
            <w:tcBorders>
              <w:top w:val="nil"/>
              <w:left w:val="nil"/>
              <w:bottom w:val="nil"/>
              <w:right w:val="nil"/>
            </w:tcBorders>
          </w:tcPr>
          <w:p w14:paraId="40C0269E" w14:textId="77777777" w:rsidR="003D03A3" w:rsidRPr="00DB7A43" w:rsidRDefault="003D03A3" w:rsidP="00752DF8">
            <w:pPr>
              <w:jc w:val="right"/>
              <w:rPr>
                <w:rFonts w:ascii="Times New Roman" w:hAnsi="Times New Roman"/>
                <w:color w:val="000000" w:themeColor="text1"/>
                <w:sz w:val="20"/>
                <w:szCs w:val="20"/>
              </w:rPr>
            </w:pPr>
          </w:p>
        </w:tc>
        <w:tc>
          <w:tcPr>
            <w:tcW w:w="307" w:type="pct"/>
            <w:tcBorders>
              <w:top w:val="nil"/>
              <w:left w:val="nil"/>
              <w:bottom w:val="nil"/>
              <w:right w:val="nil"/>
            </w:tcBorders>
          </w:tcPr>
          <w:p w14:paraId="269656BD" w14:textId="77777777" w:rsidR="003D03A3" w:rsidRPr="00DB7A43" w:rsidRDefault="003D03A3" w:rsidP="00752DF8">
            <w:pPr>
              <w:jc w:val="right"/>
              <w:rPr>
                <w:rFonts w:ascii="Times New Roman" w:hAnsi="Times New Roman"/>
                <w:color w:val="000000" w:themeColor="text1"/>
                <w:sz w:val="20"/>
                <w:szCs w:val="20"/>
              </w:rPr>
            </w:pPr>
          </w:p>
        </w:tc>
        <w:tc>
          <w:tcPr>
            <w:tcW w:w="348" w:type="pct"/>
            <w:tcBorders>
              <w:top w:val="nil"/>
              <w:left w:val="nil"/>
              <w:bottom w:val="nil"/>
              <w:right w:val="nil"/>
            </w:tcBorders>
          </w:tcPr>
          <w:p w14:paraId="708A543E" w14:textId="77777777" w:rsidR="003D03A3" w:rsidRPr="00DB7A43" w:rsidRDefault="003D03A3" w:rsidP="00752DF8">
            <w:pPr>
              <w:jc w:val="right"/>
              <w:rPr>
                <w:rFonts w:ascii="Times New Roman" w:hAnsi="Times New Roman"/>
                <w:color w:val="000000" w:themeColor="text1"/>
                <w:sz w:val="20"/>
                <w:szCs w:val="20"/>
              </w:rPr>
            </w:pPr>
          </w:p>
        </w:tc>
        <w:tc>
          <w:tcPr>
            <w:tcW w:w="280" w:type="pct"/>
            <w:tcBorders>
              <w:top w:val="nil"/>
              <w:left w:val="nil"/>
              <w:bottom w:val="nil"/>
              <w:right w:val="nil"/>
            </w:tcBorders>
          </w:tcPr>
          <w:p w14:paraId="05CEC896" w14:textId="77777777" w:rsidR="003D03A3" w:rsidRPr="00DB7A43" w:rsidRDefault="003D03A3" w:rsidP="00752DF8">
            <w:pPr>
              <w:jc w:val="right"/>
              <w:rPr>
                <w:rFonts w:ascii="Times New Roman" w:hAnsi="Times New Roman"/>
                <w:color w:val="000000" w:themeColor="text1"/>
                <w:sz w:val="20"/>
                <w:szCs w:val="20"/>
              </w:rPr>
            </w:pPr>
          </w:p>
        </w:tc>
        <w:tc>
          <w:tcPr>
            <w:tcW w:w="565" w:type="pct"/>
            <w:tcBorders>
              <w:top w:val="nil"/>
              <w:left w:val="nil"/>
              <w:bottom w:val="nil"/>
              <w:right w:val="nil"/>
            </w:tcBorders>
          </w:tcPr>
          <w:p w14:paraId="68F1D1EB" w14:textId="77777777" w:rsidR="003D03A3" w:rsidRPr="00DB7A43" w:rsidRDefault="003D03A3" w:rsidP="00752DF8">
            <w:pPr>
              <w:jc w:val="center"/>
              <w:rPr>
                <w:rFonts w:ascii="Times New Roman" w:hAnsi="Times New Roman"/>
                <w:color w:val="000000" w:themeColor="text1"/>
                <w:sz w:val="20"/>
                <w:szCs w:val="20"/>
              </w:rPr>
            </w:pPr>
          </w:p>
        </w:tc>
        <w:tc>
          <w:tcPr>
            <w:tcW w:w="44" w:type="pct"/>
            <w:tcBorders>
              <w:top w:val="nil"/>
              <w:left w:val="nil"/>
              <w:bottom w:val="nil"/>
              <w:right w:val="nil"/>
            </w:tcBorders>
          </w:tcPr>
          <w:p w14:paraId="200F23C0"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7FDB4E7E" w14:textId="77777777" w:rsidR="003D03A3" w:rsidRPr="00DB7A43" w:rsidRDefault="003D03A3" w:rsidP="00752DF8">
            <w:pPr>
              <w:jc w:val="center"/>
              <w:rPr>
                <w:rFonts w:ascii="Times New Roman" w:hAnsi="Times New Roman"/>
                <w:color w:val="000000" w:themeColor="text1"/>
                <w:sz w:val="20"/>
                <w:szCs w:val="20"/>
              </w:rPr>
            </w:pPr>
          </w:p>
        </w:tc>
        <w:tc>
          <w:tcPr>
            <w:tcW w:w="607" w:type="pct"/>
            <w:tcBorders>
              <w:top w:val="nil"/>
              <w:left w:val="nil"/>
              <w:bottom w:val="nil"/>
              <w:right w:val="nil"/>
            </w:tcBorders>
          </w:tcPr>
          <w:p w14:paraId="1B5F3E7F"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2E1999E6" w14:textId="77777777" w:rsidTr="00752DF8">
        <w:tc>
          <w:tcPr>
            <w:tcW w:w="1963" w:type="pct"/>
            <w:tcBorders>
              <w:top w:val="nil"/>
              <w:left w:val="nil"/>
              <w:bottom w:val="nil"/>
              <w:right w:val="nil"/>
            </w:tcBorders>
          </w:tcPr>
          <w:p w14:paraId="3F64CE64"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1: &lt;23</w:t>
            </w:r>
          </w:p>
        </w:tc>
        <w:tc>
          <w:tcPr>
            <w:tcW w:w="588" w:type="pct"/>
            <w:tcBorders>
              <w:top w:val="nil"/>
              <w:left w:val="nil"/>
              <w:bottom w:val="nil"/>
              <w:right w:val="nil"/>
            </w:tcBorders>
          </w:tcPr>
          <w:p w14:paraId="194EB8E8"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42,320.7</w:t>
            </w:r>
          </w:p>
        </w:tc>
        <w:tc>
          <w:tcPr>
            <w:tcW w:w="307" w:type="pct"/>
            <w:tcBorders>
              <w:top w:val="nil"/>
              <w:left w:val="nil"/>
              <w:bottom w:val="nil"/>
              <w:right w:val="nil"/>
            </w:tcBorders>
          </w:tcPr>
          <w:p w14:paraId="7C18694E"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90</w:t>
            </w:r>
          </w:p>
        </w:tc>
        <w:tc>
          <w:tcPr>
            <w:tcW w:w="348" w:type="pct"/>
            <w:tcBorders>
              <w:top w:val="nil"/>
              <w:left w:val="nil"/>
              <w:bottom w:val="nil"/>
              <w:right w:val="nil"/>
            </w:tcBorders>
          </w:tcPr>
          <w:p w14:paraId="4F8CCB0C"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102.5</w:t>
            </w:r>
          </w:p>
        </w:tc>
        <w:tc>
          <w:tcPr>
            <w:tcW w:w="280" w:type="pct"/>
            <w:tcBorders>
              <w:top w:val="nil"/>
              <w:left w:val="nil"/>
              <w:bottom w:val="nil"/>
              <w:right w:val="nil"/>
            </w:tcBorders>
          </w:tcPr>
          <w:p w14:paraId="675672FC"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0.88</w:t>
            </w:r>
          </w:p>
        </w:tc>
        <w:tc>
          <w:tcPr>
            <w:tcW w:w="565" w:type="pct"/>
            <w:tcBorders>
              <w:top w:val="nil"/>
              <w:left w:val="nil"/>
              <w:bottom w:val="nil"/>
              <w:right w:val="nil"/>
            </w:tcBorders>
          </w:tcPr>
          <w:p w14:paraId="7A860F6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0.71-1.08</w:t>
            </w:r>
          </w:p>
        </w:tc>
        <w:tc>
          <w:tcPr>
            <w:tcW w:w="44" w:type="pct"/>
            <w:tcBorders>
              <w:top w:val="nil"/>
              <w:left w:val="nil"/>
              <w:bottom w:val="nil"/>
              <w:right w:val="nil"/>
            </w:tcBorders>
          </w:tcPr>
          <w:p w14:paraId="0409C4CE"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05CFB2FC"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607" w:type="pct"/>
            <w:tcBorders>
              <w:top w:val="nil"/>
              <w:left w:val="nil"/>
              <w:bottom w:val="nil"/>
              <w:right w:val="nil"/>
            </w:tcBorders>
          </w:tcPr>
          <w:p w14:paraId="0C121E1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(referent)</w:t>
            </w:r>
          </w:p>
        </w:tc>
      </w:tr>
      <w:tr w:rsidR="003D03A3" w:rsidRPr="00DB7A43" w14:paraId="5F9434A4" w14:textId="77777777" w:rsidTr="00752DF8">
        <w:tc>
          <w:tcPr>
            <w:tcW w:w="1963" w:type="pct"/>
            <w:tcBorders>
              <w:top w:val="nil"/>
              <w:left w:val="nil"/>
              <w:bottom w:val="nil"/>
              <w:right w:val="nil"/>
            </w:tcBorders>
          </w:tcPr>
          <w:p w14:paraId="2731C6DA"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2: 23-&lt;99</w:t>
            </w:r>
          </w:p>
        </w:tc>
        <w:tc>
          <w:tcPr>
            <w:tcW w:w="588" w:type="pct"/>
            <w:tcBorders>
              <w:top w:val="nil"/>
              <w:left w:val="nil"/>
              <w:bottom w:val="nil"/>
              <w:right w:val="nil"/>
            </w:tcBorders>
          </w:tcPr>
          <w:p w14:paraId="3BA658CF"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42,019.1</w:t>
            </w:r>
          </w:p>
        </w:tc>
        <w:tc>
          <w:tcPr>
            <w:tcW w:w="307" w:type="pct"/>
            <w:tcBorders>
              <w:top w:val="nil"/>
              <w:left w:val="nil"/>
              <w:bottom w:val="nil"/>
              <w:right w:val="nil"/>
            </w:tcBorders>
          </w:tcPr>
          <w:p w14:paraId="77A9DF34"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90</w:t>
            </w:r>
          </w:p>
        </w:tc>
        <w:tc>
          <w:tcPr>
            <w:tcW w:w="348" w:type="pct"/>
            <w:tcBorders>
              <w:top w:val="nil"/>
              <w:left w:val="nil"/>
              <w:bottom w:val="nil"/>
              <w:right w:val="nil"/>
            </w:tcBorders>
          </w:tcPr>
          <w:p w14:paraId="4AE4BE35"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100.1</w:t>
            </w:r>
          </w:p>
        </w:tc>
        <w:tc>
          <w:tcPr>
            <w:tcW w:w="280" w:type="pct"/>
            <w:tcBorders>
              <w:top w:val="nil"/>
              <w:left w:val="nil"/>
              <w:bottom w:val="nil"/>
              <w:right w:val="nil"/>
            </w:tcBorders>
          </w:tcPr>
          <w:p w14:paraId="4461DBE2"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0.90</w:t>
            </w:r>
          </w:p>
        </w:tc>
        <w:tc>
          <w:tcPr>
            <w:tcW w:w="565" w:type="pct"/>
            <w:tcBorders>
              <w:top w:val="nil"/>
              <w:left w:val="nil"/>
              <w:bottom w:val="nil"/>
              <w:right w:val="nil"/>
            </w:tcBorders>
          </w:tcPr>
          <w:p w14:paraId="793D44C4"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0.72-1.11</w:t>
            </w:r>
          </w:p>
        </w:tc>
        <w:tc>
          <w:tcPr>
            <w:tcW w:w="44" w:type="pct"/>
            <w:tcBorders>
              <w:top w:val="nil"/>
              <w:left w:val="nil"/>
              <w:bottom w:val="nil"/>
              <w:right w:val="nil"/>
            </w:tcBorders>
          </w:tcPr>
          <w:p w14:paraId="3E8400F9"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69262E5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1.06</w:t>
            </w:r>
          </w:p>
        </w:tc>
        <w:tc>
          <w:tcPr>
            <w:tcW w:w="607" w:type="pct"/>
            <w:tcBorders>
              <w:top w:val="nil"/>
              <w:left w:val="nil"/>
              <w:bottom w:val="nil"/>
              <w:right w:val="nil"/>
            </w:tcBorders>
          </w:tcPr>
          <w:p w14:paraId="78CCB04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0.78-1.42</w:t>
            </w:r>
          </w:p>
        </w:tc>
      </w:tr>
      <w:tr w:rsidR="003D03A3" w:rsidRPr="00DB7A43" w14:paraId="49E06CA4" w14:textId="77777777" w:rsidTr="00752DF8">
        <w:tc>
          <w:tcPr>
            <w:tcW w:w="1963" w:type="pct"/>
            <w:tcBorders>
              <w:top w:val="nil"/>
              <w:left w:val="nil"/>
              <w:bottom w:val="nil"/>
              <w:right w:val="nil"/>
            </w:tcBorders>
          </w:tcPr>
          <w:p w14:paraId="53B45A1C"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3: 99-&lt;330</w:t>
            </w:r>
          </w:p>
        </w:tc>
        <w:tc>
          <w:tcPr>
            <w:tcW w:w="588" w:type="pct"/>
            <w:tcBorders>
              <w:top w:val="nil"/>
              <w:left w:val="nil"/>
              <w:bottom w:val="nil"/>
              <w:right w:val="nil"/>
            </w:tcBorders>
          </w:tcPr>
          <w:p w14:paraId="48F1B88A"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42,457.4</w:t>
            </w:r>
          </w:p>
        </w:tc>
        <w:tc>
          <w:tcPr>
            <w:tcW w:w="307" w:type="pct"/>
            <w:tcBorders>
              <w:top w:val="nil"/>
              <w:left w:val="nil"/>
              <w:bottom w:val="nil"/>
              <w:right w:val="nil"/>
            </w:tcBorders>
          </w:tcPr>
          <w:p w14:paraId="7C417433"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90</w:t>
            </w:r>
          </w:p>
        </w:tc>
        <w:tc>
          <w:tcPr>
            <w:tcW w:w="348" w:type="pct"/>
            <w:tcBorders>
              <w:top w:val="nil"/>
              <w:left w:val="nil"/>
              <w:bottom w:val="nil"/>
              <w:right w:val="nil"/>
            </w:tcBorders>
          </w:tcPr>
          <w:p w14:paraId="7613C235"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104.9</w:t>
            </w:r>
          </w:p>
        </w:tc>
        <w:tc>
          <w:tcPr>
            <w:tcW w:w="280" w:type="pct"/>
            <w:tcBorders>
              <w:top w:val="nil"/>
              <w:left w:val="nil"/>
              <w:bottom w:val="nil"/>
              <w:right w:val="nil"/>
            </w:tcBorders>
          </w:tcPr>
          <w:p w14:paraId="6F0E6ADB"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0.86</w:t>
            </w:r>
          </w:p>
        </w:tc>
        <w:tc>
          <w:tcPr>
            <w:tcW w:w="565" w:type="pct"/>
            <w:tcBorders>
              <w:top w:val="nil"/>
              <w:left w:val="nil"/>
              <w:bottom w:val="nil"/>
              <w:right w:val="nil"/>
            </w:tcBorders>
          </w:tcPr>
          <w:p w14:paraId="17263A4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0.69-1.05</w:t>
            </w:r>
          </w:p>
        </w:tc>
        <w:tc>
          <w:tcPr>
            <w:tcW w:w="44" w:type="pct"/>
            <w:tcBorders>
              <w:top w:val="nil"/>
              <w:left w:val="nil"/>
              <w:bottom w:val="nil"/>
              <w:right w:val="nil"/>
            </w:tcBorders>
          </w:tcPr>
          <w:p w14:paraId="3096DD8F"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26BE850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1.03</w:t>
            </w:r>
          </w:p>
        </w:tc>
        <w:tc>
          <w:tcPr>
            <w:tcW w:w="607" w:type="pct"/>
            <w:tcBorders>
              <w:top w:val="nil"/>
              <w:left w:val="nil"/>
              <w:bottom w:val="nil"/>
              <w:right w:val="nil"/>
            </w:tcBorders>
          </w:tcPr>
          <w:p w14:paraId="76021B5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0.76-1.38</w:t>
            </w:r>
          </w:p>
        </w:tc>
      </w:tr>
      <w:tr w:rsidR="003D03A3" w:rsidRPr="00DB7A43" w14:paraId="5A125901" w14:textId="77777777" w:rsidTr="00752DF8">
        <w:tc>
          <w:tcPr>
            <w:tcW w:w="1963" w:type="pct"/>
            <w:tcBorders>
              <w:top w:val="nil"/>
              <w:left w:val="nil"/>
              <w:bottom w:val="nil"/>
              <w:right w:val="nil"/>
            </w:tcBorders>
          </w:tcPr>
          <w:p w14:paraId="41B4AFB6"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4: 330-&lt;1100</w:t>
            </w:r>
          </w:p>
        </w:tc>
        <w:tc>
          <w:tcPr>
            <w:tcW w:w="588" w:type="pct"/>
            <w:tcBorders>
              <w:top w:val="nil"/>
              <w:left w:val="nil"/>
              <w:bottom w:val="nil"/>
              <w:right w:val="nil"/>
            </w:tcBorders>
          </w:tcPr>
          <w:p w14:paraId="4BC5B4AE"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35,085.5</w:t>
            </w:r>
          </w:p>
        </w:tc>
        <w:tc>
          <w:tcPr>
            <w:tcW w:w="307" w:type="pct"/>
            <w:tcBorders>
              <w:top w:val="nil"/>
              <w:left w:val="nil"/>
              <w:bottom w:val="nil"/>
              <w:right w:val="nil"/>
            </w:tcBorders>
          </w:tcPr>
          <w:p w14:paraId="7AB14FB3"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89</w:t>
            </w:r>
          </w:p>
        </w:tc>
        <w:tc>
          <w:tcPr>
            <w:tcW w:w="348" w:type="pct"/>
            <w:tcBorders>
              <w:top w:val="nil"/>
              <w:left w:val="nil"/>
              <w:bottom w:val="nil"/>
              <w:right w:val="nil"/>
            </w:tcBorders>
          </w:tcPr>
          <w:p w14:paraId="7F4B73B8"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90.7</w:t>
            </w:r>
          </w:p>
        </w:tc>
        <w:tc>
          <w:tcPr>
            <w:tcW w:w="280" w:type="pct"/>
            <w:tcBorders>
              <w:top w:val="nil"/>
              <w:left w:val="nil"/>
              <w:bottom w:val="nil"/>
              <w:right w:val="nil"/>
            </w:tcBorders>
          </w:tcPr>
          <w:p w14:paraId="0CA3570D"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0.98</w:t>
            </w:r>
          </w:p>
        </w:tc>
        <w:tc>
          <w:tcPr>
            <w:tcW w:w="565" w:type="pct"/>
            <w:tcBorders>
              <w:top w:val="nil"/>
              <w:left w:val="nil"/>
              <w:bottom w:val="nil"/>
              <w:right w:val="nil"/>
            </w:tcBorders>
          </w:tcPr>
          <w:p w14:paraId="714F554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0.79-1.21</w:t>
            </w:r>
          </w:p>
        </w:tc>
        <w:tc>
          <w:tcPr>
            <w:tcW w:w="44" w:type="pct"/>
            <w:tcBorders>
              <w:top w:val="nil"/>
              <w:left w:val="nil"/>
              <w:bottom w:val="nil"/>
              <w:right w:val="nil"/>
            </w:tcBorders>
          </w:tcPr>
          <w:p w14:paraId="0B87708B"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65F53FC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1.16</w:t>
            </w:r>
          </w:p>
        </w:tc>
        <w:tc>
          <w:tcPr>
            <w:tcW w:w="607" w:type="pct"/>
            <w:tcBorders>
              <w:top w:val="nil"/>
              <w:left w:val="nil"/>
              <w:bottom w:val="nil"/>
              <w:right w:val="nil"/>
            </w:tcBorders>
          </w:tcPr>
          <w:p w14:paraId="0C9C0FAF"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0.86-1.56</w:t>
            </w:r>
          </w:p>
        </w:tc>
      </w:tr>
      <w:tr w:rsidR="003D03A3" w:rsidRPr="00DB7A43" w14:paraId="09C60C3F" w14:textId="77777777" w:rsidTr="00752DF8">
        <w:tc>
          <w:tcPr>
            <w:tcW w:w="1963" w:type="pct"/>
            <w:tcBorders>
              <w:top w:val="nil"/>
              <w:left w:val="nil"/>
              <w:bottom w:val="nil"/>
              <w:right w:val="nil"/>
            </w:tcBorders>
          </w:tcPr>
          <w:p w14:paraId="0CED708E"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5: 1100+</w:t>
            </w:r>
          </w:p>
        </w:tc>
        <w:tc>
          <w:tcPr>
            <w:tcW w:w="588" w:type="pct"/>
            <w:tcBorders>
              <w:top w:val="nil"/>
              <w:left w:val="nil"/>
              <w:bottom w:val="nil"/>
              <w:right w:val="nil"/>
            </w:tcBorders>
          </w:tcPr>
          <w:p w14:paraId="0C03AE5D"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30,220.4</w:t>
            </w:r>
          </w:p>
        </w:tc>
        <w:tc>
          <w:tcPr>
            <w:tcW w:w="307" w:type="pct"/>
            <w:tcBorders>
              <w:top w:val="nil"/>
              <w:left w:val="nil"/>
              <w:bottom w:val="nil"/>
              <w:right w:val="nil"/>
            </w:tcBorders>
          </w:tcPr>
          <w:p w14:paraId="0444D0CC"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88</w:t>
            </w:r>
          </w:p>
        </w:tc>
        <w:tc>
          <w:tcPr>
            <w:tcW w:w="348" w:type="pct"/>
            <w:tcBorders>
              <w:top w:val="nil"/>
              <w:left w:val="nil"/>
              <w:bottom w:val="nil"/>
              <w:right w:val="nil"/>
            </w:tcBorders>
          </w:tcPr>
          <w:p w14:paraId="5F0ADFA0"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108.8</w:t>
            </w:r>
          </w:p>
        </w:tc>
        <w:tc>
          <w:tcPr>
            <w:tcW w:w="280" w:type="pct"/>
            <w:tcBorders>
              <w:top w:val="nil"/>
              <w:left w:val="nil"/>
              <w:bottom w:val="nil"/>
              <w:right w:val="nil"/>
            </w:tcBorders>
          </w:tcPr>
          <w:p w14:paraId="3F31DBD6"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0.81</w:t>
            </w:r>
          </w:p>
        </w:tc>
        <w:tc>
          <w:tcPr>
            <w:tcW w:w="565" w:type="pct"/>
            <w:tcBorders>
              <w:top w:val="nil"/>
              <w:left w:val="nil"/>
              <w:bottom w:val="nil"/>
              <w:right w:val="nil"/>
            </w:tcBorders>
          </w:tcPr>
          <w:p w14:paraId="76CB6AF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0.65-0.997</w:t>
            </w:r>
          </w:p>
        </w:tc>
        <w:tc>
          <w:tcPr>
            <w:tcW w:w="44" w:type="pct"/>
            <w:tcBorders>
              <w:top w:val="nil"/>
              <w:left w:val="nil"/>
              <w:bottom w:val="nil"/>
              <w:right w:val="nil"/>
            </w:tcBorders>
          </w:tcPr>
          <w:p w14:paraId="74D492B3"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1A0CC3C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1.00</w:t>
            </w:r>
          </w:p>
        </w:tc>
        <w:tc>
          <w:tcPr>
            <w:tcW w:w="607" w:type="pct"/>
            <w:tcBorders>
              <w:top w:val="nil"/>
              <w:left w:val="nil"/>
              <w:bottom w:val="nil"/>
              <w:right w:val="nil"/>
            </w:tcBorders>
          </w:tcPr>
          <w:p w14:paraId="76BE9E2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0.73-1.38</w:t>
            </w:r>
          </w:p>
        </w:tc>
      </w:tr>
      <w:tr w:rsidR="003D03A3" w:rsidRPr="00DB7A43" w14:paraId="46F952ED" w14:textId="77777777" w:rsidTr="00752DF8">
        <w:tc>
          <w:tcPr>
            <w:tcW w:w="1963" w:type="pct"/>
            <w:tcBorders>
              <w:top w:val="nil"/>
              <w:left w:val="nil"/>
              <w:bottom w:val="nil"/>
              <w:right w:val="nil"/>
            </w:tcBorders>
          </w:tcPr>
          <w:p w14:paraId="0DD08ADB" w14:textId="77777777" w:rsidR="003D03A3" w:rsidRPr="00DB7A43" w:rsidRDefault="003D03A3" w:rsidP="00752DF8">
            <w:pPr>
              <w:ind w:left="180"/>
              <w:rPr>
                <w:rFonts w:ascii="Times New Roman" w:hAnsi="Times New Roman"/>
                <w:color w:val="000000" w:themeColor="text1"/>
                <w:sz w:val="20"/>
                <w:szCs w:val="20"/>
              </w:rPr>
            </w:pPr>
          </w:p>
        </w:tc>
        <w:tc>
          <w:tcPr>
            <w:tcW w:w="588" w:type="pct"/>
            <w:tcBorders>
              <w:top w:val="nil"/>
              <w:left w:val="nil"/>
              <w:bottom w:val="nil"/>
              <w:right w:val="nil"/>
            </w:tcBorders>
          </w:tcPr>
          <w:p w14:paraId="146BAF5B" w14:textId="77777777" w:rsidR="003D03A3" w:rsidRPr="00DB7A43" w:rsidRDefault="003D03A3" w:rsidP="00752DF8">
            <w:pPr>
              <w:jc w:val="right"/>
              <w:rPr>
                <w:rFonts w:ascii="Times New Roman" w:hAnsi="Times New Roman"/>
                <w:color w:val="000000" w:themeColor="text1"/>
                <w:sz w:val="20"/>
                <w:szCs w:val="20"/>
              </w:rPr>
            </w:pPr>
          </w:p>
        </w:tc>
        <w:tc>
          <w:tcPr>
            <w:tcW w:w="307" w:type="pct"/>
            <w:tcBorders>
              <w:top w:val="nil"/>
              <w:left w:val="nil"/>
              <w:bottom w:val="nil"/>
              <w:right w:val="nil"/>
            </w:tcBorders>
          </w:tcPr>
          <w:p w14:paraId="0232E797" w14:textId="77777777" w:rsidR="003D03A3" w:rsidRPr="00DB7A43" w:rsidRDefault="003D03A3" w:rsidP="00752DF8">
            <w:pPr>
              <w:jc w:val="right"/>
              <w:rPr>
                <w:rFonts w:ascii="Times New Roman" w:hAnsi="Times New Roman"/>
                <w:color w:val="000000" w:themeColor="text1"/>
                <w:sz w:val="20"/>
                <w:szCs w:val="20"/>
              </w:rPr>
            </w:pPr>
          </w:p>
        </w:tc>
        <w:tc>
          <w:tcPr>
            <w:tcW w:w="348" w:type="pct"/>
            <w:tcBorders>
              <w:top w:val="nil"/>
              <w:left w:val="nil"/>
              <w:bottom w:val="nil"/>
              <w:right w:val="nil"/>
            </w:tcBorders>
          </w:tcPr>
          <w:p w14:paraId="75EB41CD" w14:textId="77777777" w:rsidR="003D03A3" w:rsidRPr="00DB7A43" w:rsidRDefault="003D03A3" w:rsidP="00752DF8">
            <w:pPr>
              <w:jc w:val="right"/>
              <w:rPr>
                <w:rFonts w:ascii="Times New Roman" w:hAnsi="Times New Roman"/>
                <w:color w:val="000000" w:themeColor="text1"/>
                <w:sz w:val="20"/>
                <w:szCs w:val="20"/>
              </w:rPr>
            </w:pPr>
          </w:p>
        </w:tc>
        <w:tc>
          <w:tcPr>
            <w:tcW w:w="280" w:type="pct"/>
            <w:tcBorders>
              <w:top w:val="nil"/>
              <w:left w:val="nil"/>
              <w:bottom w:val="nil"/>
              <w:right w:val="nil"/>
            </w:tcBorders>
          </w:tcPr>
          <w:p w14:paraId="5D484D49" w14:textId="77777777" w:rsidR="003D03A3" w:rsidRPr="00DB7A43" w:rsidRDefault="003D03A3" w:rsidP="00752DF8">
            <w:pPr>
              <w:jc w:val="right"/>
              <w:rPr>
                <w:rFonts w:ascii="Times New Roman" w:hAnsi="Times New Roman"/>
                <w:color w:val="000000" w:themeColor="text1"/>
                <w:sz w:val="20"/>
                <w:szCs w:val="20"/>
              </w:rPr>
            </w:pPr>
          </w:p>
        </w:tc>
        <w:tc>
          <w:tcPr>
            <w:tcW w:w="565" w:type="pct"/>
            <w:tcBorders>
              <w:top w:val="nil"/>
              <w:left w:val="nil"/>
              <w:bottom w:val="nil"/>
              <w:right w:val="nil"/>
            </w:tcBorders>
          </w:tcPr>
          <w:p w14:paraId="39C9C502" w14:textId="77777777" w:rsidR="003D03A3" w:rsidRPr="00DB7A43" w:rsidRDefault="003D03A3" w:rsidP="00752DF8">
            <w:pPr>
              <w:jc w:val="center"/>
              <w:rPr>
                <w:rFonts w:ascii="Times New Roman" w:hAnsi="Times New Roman"/>
                <w:color w:val="000000" w:themeColor="text1"/>
                <w:sz w:val="20"/>
                <w:szCs w:val="20"/>
              </w:rPr>
            </w:pPr>
          </w:p>
        </w:tc>
        <w:tc>
          <w:tcPr>
            <w:tcW w:w="44" w:type="pct"/>
            <w:tcBorders>
              <w:top w:val="nil"/>
              <w:left w:val="nil"/>
              <w:bottom w:val="nil"/>
              <w:right w:val="nil"/>
            </w:tcBorders>
          </w:tcPr>
          <w:p w14:paraId="0C97AF41"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322AF5B4" w14:textId="77777777" w:rsidR="003D03A3" w:rsidRPr="00DB7A43" w:rsidRDefault="003D03A3" w:rsidP="00752DF8">
            <w:pPr>
              <w:jc w:val="center"/>
              <w:rPr>
                <w:rFonts w:ascii="Times New Roman" w:hAnsi="Times New Roman"/>
                <w:color w:val="000000" w:themeColor="text1"/>
                <w:sz w:val="20"/>
                <w:szCs w:val="20"/>
              </w:rPr>
            </w:pPr>
          </w:p>
        </w:tc>
        <w:tc>
          <w:tcPr>
            <w:tcW w:w="607" w:type="pct"/>
            <w:tcBorders>
              <w:top w:val="nil"/>
              <w:left w:val="nil"/>
              <w:bottom w:val="nil"/>
              <w:right w:val="nil"/>
            </w:tcBorders>
          </w:tcPr>
          <w:p w14:paraId="3520D0DC" w14:textId="77777777" w:rsidR="003D03A3" w:rsidRPr="00DB7A43" w:rsidRDefault="003D03A3" w:rsidP="00752DF8">
            <w:pPr>
              <w:jc w:val="center"/>
              <w:rPr>
                <w:rFonts w:ascii="Times New Roman" w:hAnsi="Times New Roman"/>
                <w:color w:val="000000" w:themeColor="text1"/>
                <w:sz w:val="20"/>
                <w:szCs w:val="20"/>
              </w:rPr>
            </w:pPr>
            <w:proofErr w:type="spellStart"/>
            <w:r w:rsidRPr="00DB7A43">
              <w:rPr>
                <w:rFonts w:ascii="Times New Roman" w:hAnsi="Times New Roman"/>
                <w:color w:val="000000" w:themeColor="text1"/>
                <w:sz w:val="20"/>
                <w:szCs w:val="20"/>
              </w:rPr>
              <w:t>p</w:t>
            </w:r>
            <w:r w:rsidRPr="00DB7A43">
              <w:rPr>
                <w:rFonts w:ascii="Times New Roman" w:hAnsi="Times New Roman"/>
                <w:color w:val="000000" w:themeColor="text1"/>
                <w:sz w:val="20"/>
                <w:szCs w:val="20"/>
                <w:vertAlign w:val="subscript"/>
              </w:rPr>
              <w:t>trend</w:t>
            </w:r>
            <w:proofErr w:type="spellEnd"/>
            <w:r w:rsidRPr="00DB7A43">
              <w:rPr>
                <w:rFonts w:ascii="Times New Roman" w:hAnsi="Times New Roman"/>
                <w:color w:val="000000" w:themeColor="text1"/>
                <w:sz w:val="20"/>
                <w:szCs w:val="20"/>
              </w:rPr>
              <w:t>=0.99</w:t>
            </w:r>
          </w:p>
        </w:tc>
      </w:tr>
      <w:tr w:rsidR="003D03A3" w:rsidRPr="00DB7A43" w14:paraId="4FC9A59A" w14:textId="77777777" w:rsidTr="00752DF8">
        <w:tc>
          <w:tcPr>
            <w:tcW w:w="1963" w:type="pct"/>
            <w:tcBorders>
              <w:top w:val="nil"/>
              <w:left w:val="nil"/>
              <w:bottom w:val="nil"/>
              <w:right w:val="nil"/>
            </w:tcBorders>
          </w:tcPr>
          <w:p w14:paraId="65EF211E"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20 year lag</w:t>
            </w:r>
          </w:p>
        </w:tc>
        <w:tc>
          <w:tcPr>
            <w:tcW w:w="588" w:type="pct"/>
            <w:tcBorders>
              <w:top w:val="nil"/>
              <w:left w:val="nil"/>
              <w:bottom w:val="nil"/>
              <w:right w:val="nil"/>
            </w:tcBorders>
          </w:tcPr>
          <w:p w14:paraId="21D65FA1" w14:textId="77777777" w:rsidR="003D03A3" w:rsidRPr="00DB7A43" w:rsidRDefault="003D03A3" w:rsidP="00752DF8">
            <w:pPr>
              <w:jc w:val="right"/>
              <w:rPr>
                <w:rFonts w:ascii="Times New Roman" w:hAnsi="Times New Roman"/>
                <w:color w:val="000000" w:themeColor="text1"/>
                <w:sz w:val="20"/>
                <w:szCs w:val="20"/>
              </w:rPr>
            </w:pPr>
          </w:p>
        </w:tc>
        <w:tc>
          <w:tcPr>
            <w:tcW w:w="307" w:type="pct"/>
            <w:tcBorders>
              <w:top w:val="nil"/>
              <w:left w:val="nil"/>
              <w:bottom w:val="nil"/>
              <w:right w:val="nil"/>
            </w:tcBorders>
          </w:tcPr>
          <w:p w14:paraId="381F7443" w14:textId="77777777" w:rsidR="003D03A3" w:rsidRPr="00DB7A43" w:rsidRDefault="003D03A3" w:rsidP="00752DF8">
            <w:pPr>
              <w:jc w:val="right"/>
              <w:rPr>
                <w:rFonts w:ascii="Times New Roman" w:hAnsi="Times New Roman"/>
                <w:color w:val="000000" w:themeColor="text1"/>
                <w:sz w:val="20"/>
                <w:szCs w:val="20"/>
              </w:rPr>
            </w:pPr>
          </w:p>
        </w:tc>
        <w:tc>
          <w:tcPr>
            <w:tcW w:w="348" w:type="pct"/>
            <w:tcBorders>
              <w:top w:val="nil"/>
              <w:left w:val="nil"/>
              <w:bottom w:val="nil"/>
              <w:right w:val="nil"/>
            </w:tcBorders>
          </w:tcPr>
          <w:p w14:paraId="29BC00D6" w14:textId="77777777" w:rsidR="003D03A3" w:rsidRPr="00DB7A43" w:rsidRDefault="003D03A3" w:rsidP="00752DF8">
            <w:pPr>
              <w:jc w:val="right"/>
              <w:rPr>
                <w:rFonts w:ascii="Times New Roman" w:hAnsi="Times New Roman"/>
                <w:color w:val="000000" w:themeColor="text1"/>
                <w:sz w:val="20"/>
                <w:szCs w:val="20"/>
              </w:rPr>
            </w:pPr>
          </w:p>
        </w:tc>
        <w:tc>
          <w:tcPr>
            <w:tcW w:w="280" w:type="pct"/>
            <w:tcBorders>
              <w:top w:val="nil"/>
              <w:left w:val="nil"/>
              <w:bottom w:val="nil"/>
              <w:right w:val="nil"/>
            </w:tcBorders>
          </w:tcPr>
          <w:p w14:paraId="2C78EB0F" w14:textId="77777777" w:rsidR="003D03A3" w:rsidRPr="00DB7A43" w:rsidRDefault="003D03A3" w:rsidP="00752DF8">
            <w:pPr>
              <w:jc w:val="right"/>
              <w:rPr>
                <w:rFonts w:ascii="Times New Roman" w:hAnsi="Times New Roman"/>
                <w:color w:val="000000" w:themeColor="text1"/>
                <w:sz w:val="20"/>
                <w:szCs w:val="20"/>
              </w:rPr>
            </w:pPr>
          </w:p>
        </w:tc>
        <w:tc>
          <w:tcPr>
            <w:tcW w:w="565" w:type="pct"/>
            <w:tcBorders>
              <w:top w:val="nil"/>
              <w:left w:val="nil"/>
              <w:bottom w:val="nil"/>
              <w:right w:val="nil"/>
            </w:tcBorders>
          </w:tcPr>
          <w:p w14:paraId="35DE65B5" w14:textId="77777777" w:rsidR="003D03A3" w:rsidRPr="00DB7A43" w:rsidRDefault="003D03A3" w:rsidP="00752DF8">
            <w:pPr>
              <w:jc w:val="center"/>
              <w:rPr>
                <w:rFonts w:ascii="Times New Roman" w:hAnsi="Times New Roman"/>
                <w:color w:val="000000" w:themeColor="text1"/>
                <w:sz w:val="20"/>
                <w:szCs w:val="20"/>
              </w:rPr>
            </w:pPr>
          </w:p>
        </w:tc>
        <w:tc>
          <w:tcPr>
            <w:tcW w:w="44" w:type="pct"/>
            <w:tcBorders>
              <w:top w:val="nil"/>
              <w:left w:val="nil"/>
              <w:bottom w:val="nil"/>
              <w:right w:val="nil"/>
            </w:tcBorders>
          </w:tcPr>
          <w:p w14:paraId="2FF0A0A1"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3D4F0C17" w14:textId="77777777" w:rsidR="003D03A3" w:rsidRPr="00DB7A43" w:rsidRDefault="003D03A3" w:rsidP="00752DF8">
            <w:pPr>
              <w:jc w:val="center"/>
              <w:rPr>
                <w:rFonts w:ascii="Times New Roman" w:hAnsi="Times New Roman"/>
                <w:color w:val="000000" w:themeColor="text1"/>
                <w:sz w:val="20"/>
                <w:szCs w:val="20"/>
              </w:rPr>
            </w:pPr>
          </w:p>
        </w:tc>
        <w:tc>
          <w:tcPr>
            <w:tcW w:w="607" w:type="pct"/>
            <w:tcBorders>
              <w:top w:val="nil"/>
              <w:left w:val="nil"/>
              <w:bottom w:val="nil"/>
              <w:right w:val="nil"/>
            </w:tcBorders>
          </w:tcPr>
          <w:p w14:paraId="1C8FB2C3"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5403C250" w14:textId="77777777" w:rsidTr="00752DF8">
        <w:tc>
          <w:tcPr>
            <w:tcW w:w="1963" w:type="pct"/>
            <w:tcBorders>
              <w:top w:val="nil"/>
              <w:left w:val="nil"/>
              <w:bottom w:val="nil"/>
              <w:right w:val="nil"/>
            </w:tcBorders>
          </w:tcPr>
          <w:p w14:paraId="05E2D8B8"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1: &lt;23</w:t>
            </w:r>
          </w:p>
        </w:tc>
        <w:tc>
          <w:tcPr>
            <w:tcW w:w="588" w:type="pct"/>
            <w:tcBorders>
              <w:top w:val="nil"/>
              <w:left w:val="nil"/>
              <w:bottom w:val="nil"/>
              <w:right w:val="nil"/>
            </w:tcBorders>
          </w:tcPr>
          <w:p w14:paraId="6AA0C12A"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74,696.8</w:t>
            </w:r>
          </w:p>
        </w:tc>
        <w:tc>
          <w:tcPr>
            <w:tcW w:w="307" w:type="pct"/>
            <w:tcBorders>
              <w:top w:val="nil"/>
              <w:left w:val="nil"/>
              <w:bottom w:val="nil"/>
              <w:right w:val="nil"/>
            </w:tcBorders>
          </w:tcPr>
          <w:p w14:paraId="341F5C8C"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90</w:t>
            </w:r>
          </w:p>
        </w:tc>
        <w:tc>
          <w:tcPr>
            <w:tcW w:w="348" w:type="pct"/>
            <w:tcBorders>
              <w:top w:val="nil"/>
              <w:left w:val="nil"/>
              <w:bottom w:val="nil"/>
              <w:right w:val="nil"/>
            </w:tcBorders>
          </w:tcPr>
          <w:p w14:paraId="322E3D1A"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107.9</w:t>
            </w:r>
          </w:p>
        </w:tc>
        <w:tc>
          <w:tcPr>
            <w:tcW w:w="280" w:type="pct"/>
            <w:tcBorders>
              <w:top w:val="nil"/>
              <w:left w:val="nil"/>
              <w:bottom w:val="nil"/>
              <w:right w:val="nil"/>
            </w:tcBorders>
          </w:tcPr>
          <w:p w14:paraId="32EAEAE8"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0.83</w:t>
            </w:r>
          </w:p>
        </w:tc>
        <w:tc>
          <w:tcPr>
            <w:tcW w:w="565" w:type="pct"/>
            <w:tcBorders>
              <w:top w:val="nil"/>
              <w:left w:val="nil"/>
              <w:bottom w:val="nil"/>
              <w:right w:val="nil"/>
            </w:tcBorders>
          </w:tcPr>
          <w:p w14:paraId="7942A5A9"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0.67-1.02</w:t>
            </w:r>
          </w:p>
        </w:tc>
        <w:tc>
          <w:tcPr>
            <w:tcW w:w="44" w:type="pct"/>
            <w:tcBorders>
              <w:top w:val="nil"/>
              <w:left w:val="nil"/>
              <w:bottom w:val="nil"/>
              <w:right w:val="nil"/>
            </w:tcBorders>
          </w:tcPr>
          <w:p w14:paraId="0CDA4D5E"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2DD6C42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607" w:type="pct"/>
            <w:tcBorders>
              <w:top w:val="nil"/>
              <w:left w:val="nil"/>
              <w:bottom w:val="nil"/>
              <w:right w:val="nil"/>
            </w:tcBorders>
          </w:tcPr>
          <w:p w14:paraId="232EC33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(referent)</w:t>
            </w:r>
          </w:p>
        </w:tc>
      </w:tr>
      <w:tr w:rsidR="003D03A3" w:rsidRPr="00DB7A43" w14:paraId="037D0F53" w14:textId="77777777" w:rsidTr="00752DF8">
        <w:tc>
          <w:tcPr>
            <w:tcW w:w="1963" w:type="pct"/>
            <w:tcBorders>
              <w:top w:val="nil"/>
              <w:left w:val="nil"/>
              <w:bottom w:val="nil"/>
              <w:right w:val="nil"/>
            </w:tcBorders>
          </w:tcPr>
          <w:p w14:paraId="2F424CC8"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2: 23-&lt;86</w:t>
            </w:r>
          </w:p>
        </w:tc>
        <w:tc>
          <w:tcPr>
            <w:tcW w:w="588" w:type="pct"/>
            <w:tcBorders>
              <w:top w:val="nil"/>
              <w:left w:val="nil"/>
              <w:bottom w:val="nil"/>
              <w:right w:val="nil"/>
            </w:tcBorders>
          </w:tcPr>
          <w:p w14:paraId="1D8866B5"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30,924.1</w:t>
            </w:r>
          </w:p>
        </w:tc>
        <w:tc>
          <w:tcPr>
            <w:tcW w:w="307" w:type="pct"/>
            <w:tcBorders>
              <w:top w:val="nil"/>
              <w:left w:val="nil"/>
              <w:bottom w:val="nil"/>
              <w:right w:val="nil"/>
            </w:tcBorders>
          </w:tcPr>
          <w:p w14:paraId="14D8DD43"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91</w:t>
            </w:r>
          </w:p>
        </w:tc>
        <w:tc>
          <w:tcPr>
            <w:tcW w:w="348" w:type="pct"/>
            <w:tcBorders>
              <w:top w:val="nil"/>
              <w:left w:val="nil"/>
              <w:bottom w:val="nil"/>
              <w:right w:val="nil"/>
            </w:tcBorders>
          </w:tcPr>
          <w:p w14:paraId="5EAD0CF5"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89.9</w:t>
            </w:r>
          </w:p>
        </w:tc>
        <w:tc>
          <w:tcPr>
            <w:tcW w:w="280" w:type="pct"/>
            <w:tcBorders>
              <w:top w:val="nil"/>
              <w:left w:val="nil"/>
              <w:bottom w:val="nil"/>
              <w:right w:val="nil"/>
            </w:tcBorders>
          </w:tcPr>
          <w:p w14:paraId="2FD706FF"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1.01</w:t>
            </w:r>
          </w:p>
        </w:tc>
        <w:tc>
          <w:tcPr>
            <w:tcW w:w="565" w:type="pct"/>
            <w:tcBorders>
              <w:top w:val="nil"/>
              <w:left w:val="nil"/>
              <w:bottom w:val="nil"/>
              <w:right w:val="nil"/>
            </w:tcBorders>
          </w:tcPr>
          <w:p w14:paraId="67341F0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0.82-1.24</w:t>
            </w:r>
          </w:p>
        </w:tc>
        <w:tc>
          <w:tcPr>
            <w:tcW w:w="44" w:type="pct"/>
            <w:tcBorders>
              <w:top w:val="nil"/>
              <w:left w:val="nil"/>
              <w:bottom w:val="nil"/>
              <w:right w:val="nil"/>
            </w:tcBorders>
          </w:tcPr>
          <w:p w14:paraId="5596564F"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0379F29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1.25</w:t>
            </w:r>
          </w:p>
        </w:tc>
        <w:tc>
          <w:tcPr>
            <w:tcW w:w="607" w:type="pct"/>
            <w:tcBorders>
              <w:top w:val="nil"/>
              <w:left w:val="nil"/>
              <w:bottom w:val="nil"/>
              <w:right w:val="nil"/>
            </w:tcBorders>
          </w:tcPr>
          <w:p w14:paraId="785C2ED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0.93-1.68</w:t>
            </w:r>
          </w:p>
        </w:tc>
      </w:tr>
      <w:tr w:rsidR="003D03A3" w:rsidRPr="00DB7A43" w14:paraId="10270656" w14:textId="77777777" w:rsidTr="00752DF8">
        <w:tc>
          <w:tcPr>
            <w:tcW w:w="1963" w:type="pct"/>
            <w:tcBorders>
              <w:top w:val="nil"/>
              <w:left w:val="nil"/>
              <w:bottom w:val="nil"/>
              <w:right w:val="nil"/>
            </w:tcBorders>
          </w:tcPr>
          <w:p w14:paraId="6FC19F51"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3: 86-&lt;320</w:t>
            </w:r>
          </w:p>
        </w:tc>
        <w:tc>
          <w:tcPr>
            <w:tcW w:w="588" w:type="pct"/>
            <w:tcBorders>
              <w:top w:val="nil"/>
              <w:left w:val="nil"/>
              <w:bottom w:val="nil"/>
              <w:right w:val="nil"/>
            </w:tcBorders>
          </w:tcPr>
          <w:p w14:paraId="7209E128"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36,098.5</w:t>
            </w:r>
          </w:p>
        </w:tc>
        <w:tc>
          <w:tcPr>
            <w:tcW w:w="307" w:type="pct"/>
            <w:tcBorders>
              <w:top w:val="nil"/>
              <w:left w:val="nil"/>
              <w:bottom w:val="nil"/>
              <w:right w:val="nil"/>
            </w:tcBorders>
          </w:tcPr>
          <w:p w14:paraId="000FA9C1"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90</w:t>
            </w:r>
          </w:p>
        </w:tc>
        <w:tc>
          <w:tcPr>
            <w:tcW w:w="348" w:type="pct"/>
            <w:tcBorders>
              <w:top w:val="nil"/>
              <w:left w:val="nil"/>
              <w:bottom w:val="nil"/>
              <w:right w:val="nil"/>
            </w:tcBorders>
          </w:tcPr>
          <w:p w14:paraId="73F00C14"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111.6</w:t>
            </w:r>
          </w:p>
        </w:tc>
        <w:tc>
          <w:tcPr>
            <w:tcW w:w="280" w:type="pct"/>
            <w:tcBorders>
              <w:top w:val="nil"/>
              <w:left w:val="nil"/>
              <w:bottom w:val="nil"/>
              <w:right w:val="nil"/>
            </w:tcBorders>
          </w:tcPr>
          <w:p w14:paraId="5B0C5998"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0.81</w:t>
            </w:r>
          </w:p>
        </w:tc>
        <w:tc>
          <w:tcPr>
            <w:tcW w:w="565" w:type="pct"/>
            <w:tcBorders>
              <w:top w:val="nil"/>
              <w:left w:val="nil"/>
              <w:bottom w:val="nil"/>
              <w:right w:val="nil"/>
            </w:tcBorders>
          </w:tcPr>
          <w:p w14:paraId="03D60D4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0.65-0.99</w:t>
            </w:r>
          </w:p>
        </w:tc>
        <w:tc>
          <w:tcPr>
            <w:tcW w:w="44" w:type="pct"/>
            <w:tcBorders>
              <w:top w:val="nil"/>
              <w:left w:val="nil"/>
              <w:bottom w:val="nil"/>
              <w:right w:val="nil"/>
            </w:tcBorders>
          </w:tcPr>
          <w:p w14:paraId="45C88708"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38F10BC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1.02</w:t>
            </w:r>
          </w:p>
        </w:tc>
        <w:tc>
          <w:tcPr>
            <w:tcW w:w="607" w:type="pct"/>
            <w:tcBorders>
              <w:top w:val="nil"/>
              <w:left w:val="nil"/>
              <w:bottom w:val="nil"/>
              <w:right w:val="nil"/>
            </w:tcBorders>
          </w:tcPr>
          <w:p w14:paraId="125CE0C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0.76-1.37</w:t>
            </w:r>
          </w:p>
        </w:tc>
      </w:tr>
      <w:tr w:rsidR="003D03A3" w:rsidRPr="00DB7A43" w14:paraId="7F400F86" w14:textId="77777777" w:rsidTr="00752DF8">
        <w:tc>
          <w:tcPr>
            <w:tcW w:w="1963" w:type="pct"/>
            <w:tcBorders>
              <w:top w:val="nil"/>
              <w:left w:val="nil"/>
              <w:bottom w:val="nil"/>
              <w:right w:val="nil"/>
            </w:tcBorders>
          </w:tcPr>
          <w:p w14:paraId="442AC9E3"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4: 320-&lt;1100</w:t>
            </w:r>
          </w:p>
        </w:tc>
        <w:tc>
          <w:tcPr>
            <w:tcW w:w="588" w:type="pct"/>
            <w:tcBorders>
              <w:top w:val="nil"/>
              <w:left w:val="nil"/>
              <w:bottom w:val="nil"/>
              <w:right w:val="nil"/>
            </w:tcBorders>
          </w:tcPr>
          <w:p w14:paraId="388FEF98"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27,792.0</w:t>
            </w:r>
          </w:p>
        </w:tc>
        <w:tc>
          <w:tcPr>
            <w:tcW w:w="307" w:type="pct"/>
            <w:tcBorders>
              <w:top w:val="nil"/>
              <w:left w:val="nil"/>
              <w:bottom w:val="nil"/>
              <w:right w:val="nil"/>
            </w:tcBorders>
          </w:tcPr>
          <w:p w14:paraId="04E763CD"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89</w:t>
            </w:r>
          </w:p>
        </w:tc>
        <w:tc>
          <w:tcPr>
            <w:tcW w:w="348" w:type="pct"/>
            <w:tcBorders>
              <w:top w:val="nil"/>
              <w:left w:val="nil"/>
              <w:bottom w:val="nil"/>
              <w:right w:val="nil"/>
            </w:tcBorders>
          </w:tcPr>
          <w:p w14:paraId="3BEC712F"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92.0</w:t>
            </w:r>
          </w:p>
        </w:tc>
        <w:tc>
          <w:tcPr>
            <w:tcW w:w="280" w:type="pct"/>
            <w:tcBorders>
              <w:top w:val="nil"/>
              <w:left w:val="nil"/>
              <w:bottom w:val="nil"/>
              <w:right w:val="nil"/>
            </w:tcBorders>
          </w:tcPr>
          <w:p w14:paraId="78BEFD60"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0.97</w:t>
            </w:r>
          </w:p>
        </w:tc>
        <w:tc>
          <w:tcPr>
            <w:tcW w:w="565" w:type="pct"/>
            <w:tcBorders>
              <w:top w:val="nil"/>
              <w:left w:val="nil"/>
              <w:bottom w:val="nil"/>
              <w:right w:val="nil"/>
            </w:tcBorders>
          </w:tcPr>
          <w:p w14:paraId="520B3BE4"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0.78-1.19</w:t>
            </w:r>
          </w:p>
        </w:tc>
        <w:tc>
          <w:tcPr>
            <w:tcW w:w="44" w:type="pct"/>
            <w:tcBorders>
              <w:top w:val="nil"/>
              <w:left w:val="nil"/>
              <w:bottom w:val="nil"/>
              <w:right w:val="nil"/>
            </w:tcBorders>
          </w:tcPr>
          <w:p w14:paraId="140588F3"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3363941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1.18</w:t>
            </w:r>
          </w:p>
        </w:tc>
        <w:tc>
          <w:tcPr>
            <w:tcW w:w="607" w:type="pct"/>
            <w:tcBorders>
              <w:top w:val="nil"/>
              <w:left w:val="nil"/>
              <w:bottom w:val="nil"/>
              <w:right w:val="nil"/>
            </w:tcBorders>
          </w:tcPr>
          <w:p w14:paraId="0E34161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0.88-1.58</w:t>
            </w:r>
          </w:p>
        </w:tc>
      </w:tr>
      <w:tr w:rsidR="003D03A3" w:rsidRPr="00DB7A43" w14:paraId="5AD51C3D" w14:textId="77777777" w:rsidTr="00752DF8">
        <w:tc>
          <w:tcPr>
            <w:tcW w:w="1963" w:type="pct"/>
            <w:tcBorders>
              <w:top w:val="nil"/>
              <w:left w:val="nil"/>
              <w:bottom w:val="nil"/>
              <w:right w:val="nil"/>
            </w:tcBorders>
          </w:tcPr>
          <w:p w14:paraId="57A07719"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5: 1100+</w:t>
            </w:r>
          </w:p>
        </w:tc>
        <w:tc>
          <w:tcPr>
            <w:tcW w:w="588" w:type="pct"/>
            <w:tcBorders>
              <w:top w:val="nil"/>
              <w:left w:val="nil"/>
              <w:bottom w:val="nil"/>
              <w:right w:val="nil"/>
            </w:tcBorders>
          </w:tcPr>
          <w:p w14:paraId="4205D7D1"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22,591.9</w:t>
            </w:r>
          </w:p>
        </w:tc>
        <w:tc>
          <w:tcPr>
            <w:tcW w:w="307" w:type="pct"/>
            <w:tcBorders>
              <w:top w:val="nil"/>
              <w:left w:val="nil"/>
              <w:bottom w:val="nil"/>
              <w:right w:val="nil"/>
            </w:tcBorders>
          </w:tcPr>
          <w:p w14:paraId="75354FAE"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87</w:t>
            </w:r>
          </w:p>
        </w:tc>
        <w:tc>
          <w:tcPr>
            <w:tcW w:w="348" w:type="pct"/>
            <w:tcBorders>
              <w:top w:val="nil"/>
              <w:left w:val="nil"/>
              <w:bottom w:val="nil"/>
              <w:right w:val="nil"/>
            </w:tcBorders>
          </w:tcPr>
          <w:p w14:paraId="193EAF7D"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105.6</w:t>
            </w:r>
          </w:p>
        </w:tc>
        <w:tc>
          <w:tcPr>
            <w:tcW w:w="280" w:type="pct"/>
            <w:tcBorders>
              <w:top w:val="nil"/>
              <w:left w:val="nil"/>
              <w:bottom w:val="nil"/>
              <w:right w:val="nil"/>
            </w:tcBorders>
          </w:tcPr>
          <w:p w14:paraId="14DF09D5" w14:textId="77777777" w:rsidR="003D03A3" w:rsidRPr="00DB7A43" w:rsidRDefault="003D03A3" w:rsidP="00752DF8">
            <w:pPr>
              <w:jc w:val="right"/>
              <w:rPr>
                <w:rFonts w:ascii="Times New Roman" w:hAnsi="Times New Roman"/>
                <w:color w:val="000000" w:themeColor="text1"/>
                <w:sz w:val="20"/>
                <w:szCs w:val="20"/>
              </w:rPr>
            </w:pPr>
            <w:r w:rsidRPr="00DB7A43">
              <w:rPr>
                <w:rFonts w:ascii="Times New Roman" w:hAnsi="Times New Roman"/>
                <w:color w:val="000000" w:themeColor="text1"/>
                <w:sz w:val="20"/>
                <w:szCs w:val="20"/>
              </w:rPr>
              <w:t>0.82</w:t>
            </w:r>
          </w:p>
        </w:tc>
        <w:tc>
          <w:tcPr>
            <w:tcW w:w="565" w:type="pct"/>
            <w:tcBorders>
              <w:top w:val="nil"/>
              <w:left w:val="nil"/>
              <w:bottom w:val="nil"/>
              <w:right w:val="nil"/>
            </w:tcBorders>
          </w:tcPr>
          <w:p w14:paraId="4B88E56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0.66-1.02</w:t>
            </w:r>
          </w:p>
        </w:tc>
        <w:tc>
          <w:tcPr>
            <w:tcW w:w="44" w:type="pct"/>
            <w:tcBorders>
              <w:top w:val="nil"/>
              <w:left w:val="nil"/>
              <w:bottom w:val="nil"/>
              <w:right w:val="nil"/>
            </w:tcBorders>
          </w:tcPr>
          <w:p w14:paraId="5DD67783"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nil"/>
              <w:right w:val="nil"/>
            </w:tcBorders>
          </w:tcPr>
          <w:p w14:paraId="07B3D28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1.07</w:t>
            </w:r>
          </w:p>
        </w:tc>
        <w:tc>
          <w:tcPr>
            <w:tcW w:w="607" w:type="pct"/>
            <w:tcBorders>
              <w:top w:val="nil"/>
              <w:left w:val="nil"/>
              <w:bottom w:val="nil"/>
              <w:right w:val="nil"/>
            </w:tcBorders>
          </w:tcPr>
          <w:p w14:paraId="18A05B2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0.78-1.47</w:t>
            </w:r>
          </w:p>
        </w:tc>
      </w:tr>
      <w:tr w:rsidR="003D03A3" w:rsidRPr="00DB7A43" w14:paraId="51A2CE3A" w14:textId="77777777" w:rsidTr="00752DF8">
        <w:tc>
          <w:tcPr>
            <w:tcW w:w="1963" w:type="pct"/>
            <w:tcBorders>
              <w:top w:val="nil"/>
              <w:left w:val="nil"/>
              <w:bottom w:val="single" w:sz="4" w:space="0" w:color="auto"/>
              <w:right w:val="nil"/>
            </w:tcBorders>
          </w:tcPr>
          <w:p w14:paraId="3CA937C9" w14:textId="77777777" w:rsidR="003D03A3" w:rsidRPr="00DB7A43" w:rsidRDefault="003D03A3" w:rsidP="00752DF8">
            <w:pPr>
              <w:ind w:left="180"/>
              <w:rPr>
                <w:rFonts w:ascii="Times New Roman" w:hAnsi="Times New Roman"/>
                <w:color w:val="000000" w:themeColor="text1"/>
                <w:sz w:val="20"/>
                <w:szCs w:val="20"/>
              </w:rPr>
            </w:pPr>
          </w:p>
        </w:tc>
        <w:tc>
          <w:tcPr>
            <w:tcW w:w="588" w:type="pct"/>
            <w:tcBorders>
              <w:top w:val="nil"/>
              <w:left w:val="nil"/>
              <w:bottom w:val="single" w:sz="4" w:space="0" w:color="auto"/>
              <w:right w:val="nil"/>
            </w:tcBorders>
          </w:tcPr>
          <w:p w14:paraId="42CDFBE0" w14:textId="77777777" w:rsidR="003D03A3" w:rsidRPr="00DB7A43" w:rsidRDefault="003D03A3" w:rsidP="00752DF8">
            <w:pPr>
              <w:jc w:val="right"/>
              <w:rPr>
                <w:rFonts w:ascii="Times New Roman" w:hAnsi="Times New Roman"/>
                <w:color w:val="000000" w:themeColor="text1"/>
                <w:sz w:val="20"/>
                <w:szCs w:val="20"/>
              </w:rPr>
            </w:pPr>
          </w:p>
        </w:tc>
        <w:tc>
          <w:tcPr>
            <w:tcW w:w="307" w:type="pct"/>
            <w:tcBorders>
              <w:top w:val="nil"/>
              <w:left w:val="nil"/>
              <w:bottom w:val="single" w:sz="4" w:space="0" w:color="auto"/>
              <w:right w:val="nil"/>
            </w:tcBorders>
          </w:tcPr>
          <w:p w14:paraId="7344A2C1" w14:textId="77777777" w:rsidR="003D03A3" w:rsidRPr="00DB7A43" w:rsidRDefault="003D03A3" w:rsidP="00752DF8">
            <w:pPr>
              <w:jc w:val="right"/>
              <w:rPr>
                <w:rFonts w:ascii="Times New Roman" w:hAnsi="Times New Roman"/>
                <w:color w:val="000000" w:themeColor="text1"/>
                <w:sz w:val="20"/>
                <w:szCs w:val="20"/>
              </w:rPr>
            </w:pPr>
          </w:p>
        </w:tc>
        <w:tc>
          <w:tcPr>
            <w:tcW w:w="348" w:type="pct"/>
            <w:tcBorders>
              <w:top w:val="nil"/>
              <w:left w:val="nil"/>
              <w:bottom w:val="single" w:sz="4" w:space="0" w:color="auto"/>
              <w:right w:val="nil"/>
            </w:tcBorders>
          </w:tcPr>
          <w:p w14:paraId="2B24B2E9" w14:textId="77777777" w:rsidR="003D03A3" w:rsidRPr="00DB7A43" w:rsidRDefault="003D03A3" w:rsidP="00752DF8">
            <w:pPr>
              <w:jc w:val="right"/>
              <w:rPr>
                <w:rFonts w:ascii="Times New Roman" w:hAnsi="Times New Roman"/>
                <w:color w:val="000000" w:themeColor="text1"/>
                <w:sz w:val="20"/>
                <w:szCs w:val="20"/>
              </w:rPr>
            </w:pPr>
          </w:p>
        </w:tc>
        <w:tc>
          <w:tcPr>
            <w:tcW w:w="280" w:type="pct"/>
            <w:tcBorders>
              <w:top w:val="nil"/>
              <w:left w:val="nil"/>
              <w:bottom w:val="single" w:sz="4" w:space="0" w:color="auto"/>
              <w:right w:val="nil"/>
            </w:tcBorders>
          </w:tcPr>
          <w:p w14:paraId="39F06498" w14:textId="77777777" w:rsidR="003D03A3" w:rsidRPr="00DB7A43" w:rsidRDefault="003D03A3" w:rsidP="00752DF8">
            <w:pPr>
              <w:jc w:val="right"/>
              <w:rPr>
                <w:rFonts w:ascii="Times New Roman" w:hAnsi="Times New Roman"/>
                <w:color w:val="000000" w:themeColor="text1"/>
                <w:sz w:val="20"/>
                <w:szCs w:val="20"/>
              </w:rPr>
            </w:pPr>
          </w:p>
        </w:tc>
        <w:tc>
          <w:tcPr>
            <w:tcW w:w="565" w:type="pct"/>
            <w:tcBorders>
              <w:top w:val="nil"/>
              <w:left w:val="nil"/>
              <w:bottom w:val="single" w:sz="4" w:space="0" w:color="auto"/>
              <w:right w:val="nil"/>
            </w:tcBorders>
          </w:tcPr>
          <w:p w14:paraId="564FEDCA" w14:textId="77777777" w:rsidR="003D03A3" w:rsidRPr="00DB7A43" w:rsidRDefault="003D03A3" w:rsidP="00752DF8">
            <w:pPr>
              <w:jc w:val="center"/>
              <w:rPr>
                <w:rFonts w:ascii="Times New Roman" w:hAnsi="Times New Roman"/>
                <w:color w:val="000000" w:themeColor="text1"/>
                <w:sz w:val="20"/>
                <w:szCs w:val="20"/>
              </w:rPr>
            </w:pPr>
          </w:p>
        </w:tc>
        <w:tc>
          <w:tcPr>
            <w:tcW w:w="44" w:type="pct"/>
            <w:tcBorders>
              <w:top w:val="nil"/>
              <w:left w:val="nil"/>
              <w:bottom w:val="single" w:sz="4" w:space="0" w:color="auto"/>
              <w:right w:val="nil"/>
            </w:tcBorders>
          </w:tcPr>
          <w:p w14:paraId="53623EAA" w14:textId="77777777" w:rsidR="003D03A3" w:rsidRPr="00DB7A43" w:rsidRDefault="003D03A3" w:rsidP="00752DF8">
            <w:pPr>
              <w:jc w:val="center"/>
              <w:rPr>
                <w:rFonts w:ascii="Times New Roman" w:hAnsi="Times New Roman"/>
                <w:color w:val="000000" w:themeColor="text1"/>
                <w:sz w:val="20"/>
                <w:szCs w:val="20"/>
              </w:rPr>
            </w:pPr>
          </w:p>
        </w:tc>
        <w:tc>
          <w:tcPr>
            <w:tcW w:w="299" w:type="pct"/>
            <w:tcBorders>
              <w:top w:val="nil"/>
              <w:left w:val="nil"/>
              <w:bottom w:val="single" w:sz="4" w:space="0" w:color="auto"/>
              <w:right w:val="nil"/>
            </w:tcBorders>
          </w:tcPr>
          <w:p w14:paraId="7B0AE941" w14:textId="77777777" w:rsidR="003D03A3" w:rsidRPr="00DB7A43" w:rsidRDefault="003D03A3" w:rsidP="00752DF8">
            <w:pPr>
              <w:jc w:val="center"/>
              <w:rPr>
                <w:rFonts w:ascii="Times New Roman" w:hAnsi="Times New Roman"/>
                <w:color w:val="000000" w:themeColor="text1"/>
                <w:sz w:val="20"/>
                <w:szCs w:val="20"/>
              </w:rPr>
            </w:pPr>
          </w:p>
        </w:tc>
        <w:tc>
          <w:tcPr>
            <w:tcW w:w="607" w:type="pct"/>
            <w:tcBorders>
              <w:top w:val="nil"/>
              <w:left w:val="nil"/>
              <w:bottom w:val="single" w:sz="4" w:space="0" w:color="auto"/>
              <w:right w:val="nil"/>
            </w:tcBorders>
          </w:tcPr>
          <w:p w14:paraId="6CA35939" w14:textId="77777777" w:rsidR="003D03A3" w:rsidRPr="00DB7A43" w:rsidRDefault="003D03A3" w:rsidP="00752DF8">
            <w:pPr>
              <w:jc w:val="center"/>
              <w:rPr>
                <w:rFonts w:ascii="Times New Roman" w:hAnsi="Times New Roman"/>
                <w:color w:val="000000" w:themeColor="text1"/>
                <w:sz w:val="20"/>
                <w:szCs w:val="20"/>
              </w:rPr>
            </w:pPr>
            <w:proofErr w:type="spellStart"/>
            <w:r w:rsidRPr="00DB7A43">
              <w:rPr>
                <w:rFonts w:ascii="Times New Roman" w:hAnsi="Times New Roman"/>
                <w:color w:val="000000" w:themeColor="text1"/>
                <w:sz w:val="20"/>
                <w:szCs w:val="20"/>
              </w:rPr>
              <w:t>p</w:t>
            </w:r>
            <w:r w:rsidRPr="00DB7A43">
              <w:rPr>
                <w:rFonts w:ascii="Times New Roman" w:hAnsi="Times New Roman"/>
                <w:color w:val="000000" w:themeColor="text1"/>
                <w:sz w:val="20"/>
                <w:szCs w:val="20"/>
                <w:vertAlign w:val="subscript"/>
              </w:rPr>
              <w:t>trend</w:t>
            </w:r>
            <w:proofErr w:type="spellEnd"/>
            <w:r w:rsidRPr="00DB7A43">
              <w:rPr>
                <w:rFonts w:ascii="Times New Roman" w:hAnsi="Times New Roman"/>
                <w:color w:val="000000" w:themeColor="text1"/>
                <w:sz w:val="20"/>
                <w:szCs w:val="20"/>
              </w:rPr>
              <w:t>=0.90</w:t>
            </w:r>
          </w:p>
        </w:tc>
      </w:tr>
    </w:tbl>
    <w:p w14:paraId="6DCE5DE9" w14:textId="77777777" w:rsidR="003D03A3" w:rsidRPr="00DB7A43" w:rsidRDefault="003D03A3" w:rsidP="003D03A3">
      <w:pPr>
        <w:rPr>
          <w:rFonts w:ascii="Times New Roman" w:hAnsi="Times New Roman"/>
          <w:color w:val="000000" w:themeColor="text1"/>
        </w:rPr>
      </w:pPr>
    </w:p>
    <w:p w14:paraId="20F5A17E" w14:textId="77777777" w:rsidR="003D03A3" w:rsidRPr="00DB7A43" w:rsidRDefault="003D03A3" w:rsidP="003D03A3">
      <w:pPr>
        <w:rPr>
          <w:rFonts w:ascii="Times New Roman" w:hAnsi="Times New Roman"/>
          <w:color w:val="000000" w:themeColor="text1"/>
        </w:rPr>
      </w:pPr>
      <w:r w:rsidRPr="00DB7A43">
        <w:rPr>
          <w:rFonts w:ascii="Times New Roman" w:hAnsi="Times New Roman"/>
          <w:color w:val="000000" w:themeColor="text1"/>
        </w:rPr>
        <w:t xml:space="preserve">Abbreviations: PYAR – person-years at risk, OBS – observed number of cases, EXP – expected number of cases based on SEER rates, SIR – standardized incidence ratio, CI – confidence interval, SRR – standardized rate ratio, </w:t>
      </w:r>
      <w:proofErr w:type="spellStart"/>
      <w:r w:rsidRPr="00DB7A43">
        <w:rPr>
          <w:rFonts w:ascii="Times New Roman" w:hAnsi="Times New Roman"/>
          <w:color w:val="000000" w:themeColor="text1"/>
        </w:rPr>
        <w:t>p</w:t>
      </w:r>
      <w:r w:rsidRPr="00DB7A43">
        <w:rPr>
          <w:rFonts w:ascii="Times New Roman" w:hAnsi="Times New Roman"/>
          <w:color w:val="000000" w:themeColor="text1"/>
          <w:vertAlign w:val="subscript"/>
        </w:rPr>
        <w:t>trend</w:t>
      </w:r>
      <w:proofErr w:type="spellEnd"/>
      <w:r w:rsidRPr="00DB7A43">
        <w:rPr>
          <w:rFonts w:ascii="Times New Roman" w:hAnsi="Times New Roman"/>
          <w:color w:val="000000" w:themeColor="text1"/>
        </w:rPr>
        <w:t xml:space="preserve"> – p-value for linear trend test</w:t>
      </w:r>
    </w:p>
    <w:p w14:paraId="0A411D58" w14:textId="77777777" w:rsidR="003D03A3" w:rsidRPr="00DB7A43" w:rsidRDefault="003D03A3" w:rsidP="003D03A3">
      <w:pPr>
        <w:rPr>
          <w:rFonts w:ascii="Times New Roman" w:hAnsi="Times New Roman"/>
          <w:color w:val="000000" w:themeColor="text1"/>
        </w:rPr>
      </w:pPr>
    </w:p>
    <w:p w14:paraId="7F0F5FC7" w14:textId="77777777" w:rsidR="003D03A3" w:rsidRPr="00DB7A43" w:rsidRDefault="003D03A3" w:rsidP="003D03A3">
      <w:pPr>
        <w:ind w:left="360" w:hanging="360"/>
        <w:rPr>
          <w:rFonts w:ascii="Times New Roman" w:hAnsi="Times New Roman"/>
          <w:color w:val="000000" w:themeColor="text1"/>
        </w:rPr>
      </w:pPr>
      <w:r w:rsidRPr="00DB7A43">
        <w:rPr>
          <w:rFonts w:ascii="Times New Roman" w:hAnsi="Times New Roman"/>
          <w:color w:val="000000" w:themeColor="text1"/>
          <w:vertAlign w:val="superscript"/>
        </w:rPr>
        <w:t>1</w:t>
      </w:r>
      <w:r w:rsidRPr="00DB7A43">
        <w:rPr>
          <w:rFonts w:ascii="Times New Roman" w:hAnsi="Times New Roman"/>
          <w:color w:val="000000" w:themeColor="text1"/>
        </w:rPr>
        <w:tab/>
        <w:t>Results exclude seven cases and 1857 PYAR with unknown cumulative exposure.</w:t>
      </w:r>
    </w:p>
    <w:p w14:paraId="0BDA58F2" w14:textId="77777777" w:rsidR="003D03A3" w:rsidRDefault="003D03A3" w:rsidP="003D03A3">
      <w:pPr>
        <w:ind w:left="360" w:hanging="360"/>
        <w:rPr>
          <w:rFonts w:ascii="Times New Roman" w:hAnsi="Times New Roman"/>
          <w:color w:val="000000" w:themeColor="text1"/>
        </w:rPr>
      </w:pPr>
      <w:r w:rsidRPr="00DB7A43">
        <w:rPr>
          <w:rFonts w:ascii="Times New Roman" w:hAnsi="Times New Roman"/>
          <w:color w:val="000000" w:themeColor="text1"/>
          <w:vertAlign w:val="superscript"/>
        </w:rPr>
        <w:t>2</w:t>
      </w:r>
      <w:r w:rsidRPr="00DB7A43">
        <w:rPr>
          <w:rFonts w:ascii="Times New Roman" w:hAnsi="Times New Roman"/>
          <w:color w:val="000000" w:themeColor="text1"/>
        </w:rPr>
        <w:tab/>
        <w:t>Categories of cumulative exposure based on the quintiles of the lag-specific case distribution.</w:t>
      </w:r>
    </w:p>
    <w:p w14:paraId="5292F4EF" w14:textId="77777777" w:rsidR="003D03A3" w:rsidRDefault="003D03A3">
      <w:pPr>
        <w:spacing w:after="200" w:line="276" w:lineRule="auto"/>
        <w:rPr>
          <w:rFonts w:ascii="Times New Roman" w:hAnsi="Times New Roman"/>
          <w:b/>
        </w:rPr>
      </w:pPr>
      <w:r>
        <w:rPr>
          <w:rFonts w:ascii="Times New Roman" w:hAnsi="Times New Roman"/>
          <w:b/>
        </w:rPr>
        <w:br w:type="page"/>
      </w:r>
    </w:p>
    <w:p w14:paraId="6ACB576D" w14:textId="77777777" w:rsidR="003D03A3" w:rsidRPr="008B2AB3" w:rsidRDefault="003D03A3" w:rsidP="003D03A3">
      <w:pPr>
        <w:rPr>
          <w:rFonts w:ascii="Times New Roman" w:hAnsi="Times New Roman"/>
          <w:b/>
          <w:color w:val="000000" w:themeColor="text1"/>
        </w:rPr>
      </w:pPr>
      <w:r w:rsidRPr="008B2AB3">
        <w:rPr>
          <w:rFonts w:ascii="Times New Roman" w:hAnsi="Times New Roman"/>
          <w:b/>
          <w:color w:val="000000" w:themeColor="text1"/>
        </w:rPr>
        <w:lastRenderedPageBreak/>
        <w:t>Supplemental Table S</w:t>
      </w:r>
      <w:r w:rsidR="000E588F" w:rsidRPr="008B2AB3">
        <w:rPr>
          <w:rFonts w:ascii="Times New Roman" w:hAnsi="Times New Roman"/>
          <w:b/>
          <w:color w:val="000000" w:themeColor="text1"/>
        </w:rPr>
        <w:t>6</w:t>
      </w:r>
      <w:r w:rsidRPr="008B2AB3">
        <w:rPr>
          <w:rFonts w:ascii="Times New Roman" w:hAnsi="Times New Roman"/>
          <w:b/>
          <w:color w:val="000000" w:themeColor="text1"/>
        </w:rPr>
        <w:t xml:space="preserve">: Cox regression models for prostate cancer incidence with estimated cumulative exposure (lagged by 20 years) </w:t>
      </w:r>
      <w:r w:rsidRPr="008B2AB3">
        <w:rPr>
          <w:rFonts w:ascii="Times New Roman" w:hAnsi="Times New Roman"/>
          <w:b/>
          <w:color w:val="000000" w:themeColor="text1"/>
          <w:vertAlign w:val="superscript"/>
        </w:rPr>
        <w:t>1</w:t>
      </w:r>
    </w:p>
    <w:p w14:paraId="15E5F24D" w14:textId="77777777" w:rsidR="003D03A3" w:rsidRPr="00DB7A43" w:rsidRDefault="003D03A3" w:rsidP="003D03A3">
      <w:pPr>
        <w:rPr>
          <w:rFonts w:ascii="Times New Roman" w:hAnsi="Times New Roman"/>
          <w:color w:val="000000" w:themeColor="text1"/>
        </w:rPr>
      </w:pP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3176"/>
        <w:gridCol w:w="590"/>
        <w:gridCol w:w="1189"/>
        <w:gridCol w:w="75"/>
        <w:gridCol w:w="591"/>
        <w:gridCol w:w="1189"/>
        <w:gridCol w:w="75"/>
        <w:gridCol w:w="474"/>
        <w:gridCol w:w="1087"/>
        <w:gridCol w:w="75"/>
        <w:gridCol w:w="474"/>
        <w:gridCol w:w="1085"/>
      </w:tblGrid>
      <w:tr w:rsidR="003D03A3" w:rsidRPr="00DB7A43" w14:paraId="63795FF3" w14:textId="77777777" w:rsidTr="00752DF8">
        <w:tc>
          <w:tcPr>
            <w:tcW w:w="1576" w:type="pct"/>
            <w:vMerge w:val="restart"/>
            <w:tcBorders>
              <w:top w:val="single" w:sz="4" w:space="0" w:color="auto"/>
              <w:left w:val="nil"/>
              <w:right w:val="nil"/>
            </w:tcBorders>
            <w:vAlign w:val="bottom"/>
          </w:tcPr>
          <w:p w14:paraId="318D37A2"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Model term</w:t>
            </w:r>
          </w:p>
        </w:tc>
        <w:tc>
          <w:tcPr>
            <w:tcW w:w="883" w:type="pct"/>
            <w:gridSpan w:val="2"/>
            <w:tcBorders>
              <w:top w:val="single" w:sz="4" w:space="0" w:color="auto"/>
              <w:left w:val="nil"/>
              <w:bottom w:val="single" w:sz="4" w:space="0" w:color="auto"/>
              <w:right w:val="nil"/>
            </w:tcBorders>
          </w:tcPr>
          <w:p w14:paraId="119C1C8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Model 1</w:t>
            </w:r>
          </w:p>
        </w:tc>
        <w:tc>
          <w:tcPr>
            <w:tcW w:w="37" w:type="pct"/>
            <w:vMerge w:val="restart"/>
            <w:tcBorders>
              <w:top w:val="single" w:sz="4" w:space="0" w:color="auto"/>
              <w:left w:val="nil"/>
              <w:right w:val="nil"/>
            </w:tcBorders>
          </w:tcPr>
          <w:p w14:paraId="2CFEC58D" w14:textId="77777777" w:rsidR="003D03A3" w:rsidRPr="00DB7A43" w:rsidRDefault="003D03A3" w:rsidP="00752DF8">
            <w:pPr>
              <w:jc w:val="center"/>
              <w:rPr>
                <w:rFonts w:ascii="Times New Roman" w:hAnsi="Times New Roman"/>
                <w:color w:val="000000" w:themeColor="text1"/>
                <w:sz w:val="20"/>
                <w:szCs w:val="20"/>
              </w:rPr>
            </w:pPr>
          </w:p>
        </w:tc>
        <w:tc>
          <w:tcPr>
            <w:tcW w:w="883" w:type="pct"/>
            <w:gridSpan w:val="2"/>
            <w:tcBorders>
              <w:top w:val="single" w:sz="4" w:space="0" w:color="auto"/>
              <w:left w:val="nil"/>
              <w:bottom w:val="single" w:sz="4" w:space="0" w:color="auto"/>
              <w:right w:val="nil"/>
            </w:tcBorders>
          </w:tcPr>
          <w:p w14:paraId="44ED84A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Model 2</w:t>
            </w:r>
          </w:p>
        </w:tc>
        <w:tc>
          <w:tcPr>
            <w:tcW w:w="37" w:type="pct"/>
            <w:vMerge w:val="restart"/>
            <w:tcBorders>
              <w:top w:val="single" w:sz="4" w:space="0" w:color="auto"/>
              <w:left w:val="nil"/>
              <w:right w:val="nil"/>
            </w:tcBorders>
          </w:tcPr>
          <w:p w14:paraId="67068049"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single" w:sz="4" w:space="0" w:color="auto"/>
              <w:left w:val="nil"/>
              <w:bottom w:val="single" w:sz="4" w:space="0" w:color="auto"/>
              <w:right w:val="nil"/>
            </w:tcBorders>
          </w:tcPr>
          <w:p w14:paraId="7F74624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Model 3</w:t>
            </w:r>
          </w:p>
        </w:tc>
        <w:tc>
          <w:tcPr>
            <w:tcW w:w="37" w:type="pct"/>
            <w:vMerge w:val="restart"/>
            <w:tcBorders>
              <w:top w:val="single" w:sz="4" w:space="0" w:color="auto"/>
              <w:left w:val="nil"/>
              <w:right w:val="nil"/>
            </w:tcBorders>
          </w:tcPr>
          <w:p w14:paraId="2EEA73D7"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single" w:sz="4" w:space="0" w:color="auto"/>
              <w:left w:val="nil"/>
              <w:bottom w:val="single" w:sz="4" w:space="0" w:color="auto"/>
              <w:right w:val="nil"/>
            </w:tcBorders>
          </w:tcPr>
          <w:p w14:paraId="736ACE4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Model 4</w:t>
            </w:r>
          </w:p>
        </w:tc>
      </w:tr>
      <w:tr w:rsidR="003D03A3" w:rsidRPr="00DB7A43" w14:paraId="245E90B4" w14:textId="77777777" w:rsidTr="00752DF8">
        <w:tc>
          <w:tcPr>
            <w:tcW w:w="1576" w:type="pct"/>
            <w:vMerge/>
            <w:tcBorders>
              <w:left w:val="nil"/>
              <w:bottom w:val="single" w:sz="4" w:space="0" w:color="auto"/>
              <w:right w:val="nil"/>
            </w:tcBorders>
          </w:tcPr>
          <w:p w14:paraId="4262D068" w14:textId="77777777" w:rsidR="003D03A3" w:rsidRPr="00DB7A43" w:rsidRDefault="003D03A3" w:rsidP="00752DF8">
            <w:pPr>
              <w:rPr>
                <w:rFonts w:ascii="Times New Roman" w:hAnsi="Times New Roman"/>
                <w:color w:val="000000" w:themeColor="text1"/>
                <w:sz w:val="20"/>
                <w:szCs w:val="20"/>
              </w:rPr>
            </w:pPr>
          </w:p>
        </w:tc>
        <w:tc>
          <w:tcPr>
            <w:tcW w:w="293" w:type="pct"/>
            <w:tcBorders>
              <w:top w:val="single" w:sz="4" w:space="0" w:color="auto"/>
              <w:left w:val="nil"/>
              <w:bottom w:val="single" w:sz="4" w:space="0" w:color="auto"/>
              <w:right w:val="nil"/>
            </w:tcBorders>
          </w:tcPr>
          <w:p w14:paraId="63E20B8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HR</w:t>
            </w:r>
          </w:p>
        </w:tc>
        <w:tc>
          <w:tcPr>
            <w:tcW w:w="590" w:type="pct"/>
            <w:tcBorders>
              <w:top w:val="single" w:sz="4" w:space="0" w:color="auto"/>
              <w:left w:val="nil"/>
              <w:bottom w:val="single" w:sz="4" w:space="0" w:color="auto"/>
              <w:right w:val="nil"/>
            </w:tcBorders>
          </w:tcPr>
          <w:p w14:paraId="71E153D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95% CI</w:t>
            </w:r>
          </w:p>
        </w:tc>
        <w:tc>
          <w:tcPr>
            <w:tcW w:w="37" w:type="pct"/>
            <w:vMerge/>
            <w:tcBorders>
              <w:left w:val="nil"/>
              <w:bottom w:val="single" w:sz="4" w:space="0" w:color="auto"/>
              <w:right w:val="nil"/>
            </w:tcBorders>
          </w:tcPr>
          <w:p w14:paraId="6C5B6854"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single" w:sz="4" w:space="0" w:color="auto"/>
              <w:left w:val="nil"/>
              <w:bottom w:val="single" w:sz="4" w:space="0" w:color="auto"/>
              <w:right w:val="nil"/>
            </w:tcBorders>
          </w:tcPr>
          <w:p w14:paraId="09BE41F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HR</w:t>
            </w:r>
          </w:p>
        </w:tc>
        <w:tc>
          <w:tcPr>
            <w:tcW w:w="590" w:type="pct"/>
            <w:tcBorders>
              <w:top w:val="single" w:sz="4" w:space="0" w:color="auto"/>
              <w:left w:val="nil"/>
              <w:bottom w:val="single" w:sz="4" w:space="0" w:color="auto"/>
              <w:right w:val="nil"/>
            </w:tcBorders>
          </w:tcPr>
          <w:p w14:paraId="62F4BC4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95% CI</w:t>
            </w:r>
          </w:p>
        </w:tc>
        <w:tc>
          <w:tcPr>
            <w:tcW w:w="37" w:type="pct"/>
            <w:vMerge/>
            <w:tcBorders>
              <w:left w:val="nil"/>
              <w:bottom w:val="single" w:sz="4" w:space="0" w:color="auto"/>
              <w:right w:val="nil"/>
            </w:tcBorders>
          </w:tcPr>
          <w:p w14:paraId="61E6CD32"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single" w:sz="4" w:space="0" w:color="auto"/>
              <w:left w:val="nil"/>
              <w:bottom w:val="single" w:sz="4" w:space="0" w:color="auto"/>
              <w:right w:val="nil"/>
            </w:tcBorders>
          </w:tcPr>
          <w:p w14:paraId="6E5AF13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HR</w:t>
            </w:r>
          </w:p>
        </w:tc>
        <w:tc>
          <w:tcPr>
            <w:tcW w:w="539" w:type="pct"/>
            <w:tcBorders>
              <w:top w:val="single" w:sz="4" w:space="0" w:color="auto"/>
              <w:left w:val="nil"/>
              <w:bottom w:val="single" w:sz="4" w:space="0" w:color="auto"/>
              <w:right w:val="nil"/>
            </w:tcBorders>
          </w:tcPr>
          <w:p w14:paraId="31E4ED6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95% CI</w:t>
            </w:r>
          </w:p>
        </w:tc>
        <w:tc>
          <w:tcPr>
            <w:tcW w:w="37" w:type="pct"/>
            <w:vMerge/>
            <w:tcBorders>
              <w:left w:val="nil"/>
              <w:bottom w:val="single" w:sz="4" w:space="0" w:color="auto"/>
              <w:right w:val="nil"/>
            </w:tcBorders>
          </w:tcPr>
          <w:p w14:paraId="367540A5"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single" w:sz="4" w:space="0" w:color="auto"/>
              <w:left w:val="nil"/>
              <w:bottom w:val="single" w:sz="4" w:space="0" w:color="auto"/>
              <w:right w:val="nil"/>
            </w:tcBorders>
          </w:tcPr>
          <w:p w14:paraId="4B3DCFCF"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HR</w:t>
            </w:r>
          </w:p>
        </w:tc>
        <w:tc>
          <w:tcPr>
            <w:tcW w:w="539" w:type="pct"/>
            <w:tcBorders>
              <w:top w:val="single" w:sz="4" w:space="0" w:color="auto"/>
              <w:left w:val="nil"/>
              <w:bottom w:val="single" w:sz="4" w:space="0" w:color="auto"/>
              <w:right w:val="nil"/>
            </w:tcBorders>
          </w:tcPr>
          <w:p w14:paraId="1D5A182F"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95% CI</w:t>
            </w:r>
          </w:p>
        </w:tc>
      </w:tr>
      <w:tr w:rsidR="003D03A3" w:rsidRPr="00DB7A43" w14:paraId="3F987DB4" w14:textId="77777777" w:rsidTr="00752DF8">
        <w:tc>
          <w:tcPr>
            <w:tcW w:w="1576" w:type="pct"/>
            <w:tcBorders>
              <w:top w:val="nil"/>
              <w:left w:val="nil"/>
              <w:bottom w:val="nil"/>
              <w:right w:val="nil"/>
            </w:tcBorders>
          </w:tcPr>
          <w:p w14:paraId="5AE203C2"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Cumulative exposure</w:t>
            </w:r>
          </w:p>
        </w:tc>
        <w:tc>
          <w:tcPr>
            <w:tcW w:w="293" w:type="pct"/>
            <w:tcBorders>
              <w:top w:val="nil"/>
              <w:left w:val="nil"/>
              <w:bottom w:val="nil"/>
              <w:right w:val="nil"/>
            </w:tcBorders>
          </w:tcPr>
          <w:p w14:paraId="2BB7166D"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29E40B1F"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2C8B6E98"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7C1E77E2"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37EA21EC"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2C242849"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22A524A"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2CA38539"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183AB939"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1FE07E33"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025630BD"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40EED8FE" w14:textId="77777777" w:rsidTr="00752DF8">
        <w:tc>
          <w:tcPr>
            <w:tcW w:w="1576" w:type="pct"/>
            <w:tcBorders>
              <w:top w:val="nil"/>
              <w:left w:val="nil"/>
              <w:bottom w:val="nil"/>
              <w:right w:val="nil"/>
            </w:tcBorders>
          </w:tcPr>
          <w:p w14:paraId="581B4153"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At 1000 unit-years</w:t>
            </w:r>
          </w:p>
        </w:tc>
        <w:tc>
          <w:tcPr>
            <w:tcW w:w="293" w:type="pct"/>
            <w:tcBorders>
              <w:top w:val="nil"/>
              <w:left w:val="nil"/>
              <w:bottom w:val="nil"/>
              <w:right w:val="nil"/>
            </w:tcBorders>
          </w:tcPr>
          <w:p w14:paraId="28A60351"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0.965</w:t>
            </w:r>
          </w:p>
        </w:tc>
        <w:tc>
          <w:tcPr>
            <w:tcW w:w="590" w:type="pct"/>
            <w:tcBorders>
              <w:top w:val="nil"/>
              <w:left w:val="nil"/>
              <w:bottom w:val="nil"/>
              <w:right w:val="nil"/>
            </w:tcBorders>
          </w:tcPr>
          <w:p w14:paraId="03D9FF1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0.913-1.013</w:t>
            </w:r>
          </w:p>
        </w:tc>
        <w:tc>
          <w:tcPr>
            <w:tcW w:w="37" w:type="pct"/>
            <w:tcBorders>
              <w:top w:val="nil"/>
              <w:left w:val="nil"/>
              <w:bottom w:val="nil"/>
              <w:right w:val="nil"/>
            </w:tcBorders>
          </w:tcPr>
          <w:p w14:paraId="5D1ACAF9"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67E99B34"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0.980</w:t>
            </w:r>
          </w:p>
        </w:tc>
        <w:tc>
          <w:tcPr>
            <w:tcW w:w="590" w:type="pct"/>
            <w:tcBorders>
              <w:top w:val="nil"/>
              <w:left w:val="nil"/>
              <w:bottom w:val="nil"/>
              <w:right w:val="nil"/>
            </w:tcBorders>
          </w:tcPr>
          <w:p w14:paraId="07F4178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0.929-1.028</w:t>
            </w:r>
          </w:p>
        </w:tc>
        <w:tc>
          <w:tcPr>
            <w:tcW w:w="37" w:type="pct"/>
            <w:tcBorders>
              <w:top w:val="nil"/>
              <w:left w:val="nil"/>
              <w:bottom w:val="nil"/>
              <w:right w:val="nil"/>
            </w:tcBorders>
          </w:tcPr>
          <w:p w14:paraId="3A3820CA"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164EB170"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63F9D72C"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02C0A9C0"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343CDA68"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1D938F58"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711084AE" w14:textId="77777777" w:rsidTr="00752DF8">
        <w:tc>
          <w:tcPr>
            <w:tcW w:w="1576" w:type="pct"/>
            <w:tcBorders>
              <w:top w:val="nil"/>
              <w:left w:val="nil"/>
              <w:bottom w:val="nil"/>
              <w:right w:val="nil"/>
            </w:tcBorders>
          </w:tcPr>
          <w:p w14:paraId="260760B1"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Category (unit-years)</w:t>
            </w:r>
          </w:p>
        </w:tc>
        <w:tc>
          <w:tcPr>
            <w:tcW w:w="293" w:type="pct"/>
            <w:tcBorders>
              <w:top w:val="nil"/>
              <w:left w:val="nil"/>
              <w:bottom w:val="nil"/>
              <w:right w:val="nil"/>
            </w:tcBorders>
          </w:tcPr>
          <w:p w14:paraId="041526AB"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3A7922B9"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5435DA50"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3105175D"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2B5E1EA2"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54C9EA24"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6128573E"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63A7E281"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3AA947CE"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B34749E"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766A8F83"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2C94A68C" w14:textId="77777777" w:rsidTr="00752DF8">
        <w:tc>
          <w:tcPr>
            <w:tcW w:w="1576" w:type="pct"/>
            <w:tcBorders>
              <w:top w:val="nil"/>
              <w:left w:val="nil"/>
              <w:bottom w:val="nil"/>
              <w:right w:val="nil"/>
            </w:tcBorders>
          </w:tcPr>
          <w:p w14:paraId="21BEFD3A"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1: &lt;23</w:t>
            </w:r>
          </w:p>
        </w:tc>
        <w:tc>
          <w:tcPr>
            <w:tcW w:w="293" w:type="pct"/>
            <w:tcBorders>
              <w:top w:val="nil"/>
              <w:left w:val="nil"/>
              <w:bottom w:val="nil"/>
              <w:right w:val="nil"/>
            </w:tcBorders>
          </w:tcPr>
          <w:p w14:paraId="370550D8"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61FB3FD7"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7ECCFEFB"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195EE842"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6900F63A"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64F30F7F"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5BA661B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539" w:type="pct"/>
            <w:tcBorders>
              <w:top w:val="nil"/>
              <w:left w:val="nil"/>
              <w:bottom w:val="nil"/>
              <w:right w:val="nil"/>
            </w:tcBorders>
          </w:tcPr>
          <w:p w14:paraId="18FF768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(reference)</w:t>
            </w:r>
          </w:p>
        </w:tc>
        <w:tc>
          <w:tcPr>
            <w:tcW w:w="37" w:type="pct"/>
            <w:tcBorders>
              <w:top w:val="nil"/>
              <w:left w:val="nil"/>
              <w:bottom w:val="nil"/>
              <w:right w:val="nil"/>
            </w:tcBorders>
          </w:tcPr>
          <w:p w14:paraId="1B722894"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58B76F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539" w:type="pct"/>
            <w:tcBorders>
              <w:top w:val="nil"/>
              <w:left w:val="nil"/>
              <w:bottom w:val="nil"/>
              <w:right w:val="nil"/>
            </w:tcBorders>
          </w:tcPr>
          <w:p w14:paraId="525F498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(reference)</w:t>
            </w:r>
          </w:p>
        </w:tc>
      </w:tr>
      <w:tr w:rsidR="003D03A3" w:rsidRPr="00DB7A43" w14:paraId="38E3EBB1" w14:textId="77777777" w:rsidTr="00752DF8">
        <w:tc>
          <w:tcPr>
            <w:tcW w:w="1576" w:type="pct"/>
            <w:tcBorders>
              <w:top w:val="nil"/>
              <w:left w:val="nil"/>
              <w:bottom w:val="nil"/>
              <w:right w:val="nil"/>
            </w:tcBorders>
          </w:tcPr>
          <w:p w14:paraId="5DC60EEA"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2: 23-&lt;86 </w:t>
            </w:r>
          </w:p>
        </w:tc>
        <w:tc>
          <w:tcPr>
            <w:tcW w:w="293" w:type="pct"/>
            <w:tcBorders>
              <w:top w:val="nil"/>
              <w:left w:val="nil"/>
              <w:bottom w:val="nil"/>
              <w:right w:val="nil"/>
            </w:tcBorders>
          </w:tcPr>
          <w:p w14:paraId="123720D8"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67F3BF48"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0CFE0B92"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090E8E6C"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0E7A896C"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0DF6B2F4"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4C3BEF64"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1.23</w:t>
            </w:r>
          </w:p>
        </w:tc>
        <w:tc>
          <w:tcPr>
            <w:tcW w:w="539" w:type="pct"/>
            <w:tcBorders>
              <w:top w:val="nil"/>
              <w:left w:val="nil"/>
              <w:bottom w:val="nil"/>
              <w:right w:val="nil"/>
            </w:tcBorders>
          </w:tcPr>
          <w:p w14:paraId="325BA45F"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0.92-1.65</w:t>
            </w:r>
          </w:p>
        </w:tc>
        <w:tc>
          <w:tcPr>
            <w:tcW w:w="37" w:type="pct"/>
            <w:tcBorders>
              <w:top w:val="nil"/>
              <w:left w:val="nil"/>
              <w:bottom w:val="nil"/>
              <w:right w:val="nil"/>
            </w:tcBorders>
          </w:tcPr>
          <w:p w14:paraId="00BDB093"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82BA5A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1.20</w:t>
            </w:r>
          </w:p>
        </w:tc>
        <w:tc>
          <w:tcPr>
            <w:tcW w:w="539" w:type="pct"/>
            <w:tcBorders>
              <w:top w:val="nil"/>
              <w:left w:val="nil"/>
              <w:bottom w:val="nil"/>
              <w:right w:val="nil"/>
            </w:tcBorders>
          </w:tcPr>
          <w:p w14:paraId="0D7E147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0.90-1.62</w:t>
            </w:r>
          </w:p>
        </w:tc>
      </w:tr>
      <w:tr w:rsidR="003D03A3" w:rsidRPr="00DB7A43" w14:paraId="330DC90B" w14:textId="77777777" w:rsidTr="00752DF8">
        <w:tc>
          <w:tcPr>
            <w:tcW w:w="1576" w:type="pct"/>
            <w:tcBorders>
              <w:top w:val="nil"/>
              <w:left w:val="nil"/>
              <w:bottom w:val="nil"/>
              <w:right w:val="nil"/>
            </w:tcBorders>
          </w:tcPr>
          <w:p w14:paraId="1AD5A7F4"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3: 86-&lt;320</w:t>
            </w:r>
          </w:p>
        </w:tc>
        <w:tc>
          <w:tcPr>
            <w:tcW w:w="293" w:type="pct"/>
            <w:tcBorders>
              <w:top w:val="nil"/>
              <w:left w:val="nil"/>
              <w:bottom w:val="nil"/>
              <w:right w:val="nil"/>
            </w:tcBorders>
          </w:tcPr>
          <w:p w14:paraId="1198F1BE"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337EBF0C"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2073EB9B"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1A224E49"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31220A1B"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01EA8182"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1C77079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1.00</w:t>
            </w:r>
          </w:p>
        </w:tc>
        <w:tc>
          <w:tcPr>
            <w:tcW w:w="539" w:type="pct"/>
            <w:tcBorders>
              <w:top w:val="nil"/>
              <w:left w:val="nil"/>
              <w:bottom w:val="nil"/>
              <w:right w:val="nil"/>
            </w:tcBorders>
          </w:tcPr>
          <w:p w14:paraId="1D6AB12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0.74-1.33</w:t>
            </w:r>
          </w:p>
        </w:tc>
        <w:tc>
          <w:tcPr>
            <w:tcW w:w="37" w:type="pct"/>
            <w:tcBorders>
              <w:top w:val="nil"/>
              <w:left w:val="nil"/>
              <w:bottom w:val="nil"/>
              <w:right w:val="nil"/>
            </w:tcBorders>
          </w:tcPr>
          <w:p w14:paraId="211BF838"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490E534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1.00</w:t>
            </w:r>
          </w:p>
        </w:tc>
        <w:tc>
          <w:tcPr>
            <w:tcW w:w="539" w:type="pct"/>
            <w:tcBorders>
              <w:top w:val="nil"/>
              <w:left w:val="nil"/>
              <w:bottom w:val="nil"/>
              <w:right w:val="nil"/>
            </w:tcBorders>
          </w:tcPr>
          <w:p w14:paraId="459CFFC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0.74-1.34</w:t>
            </w:r>
          </w:p>
        </w:tc>
      </w:tr>
      <w:tr w:rsidR="003D03A3" w:rsidRPr="00DB7A43" w14:paraId="20C9EA9E" w14:textId="77777777" w:rsidTr="00752DF8">
        <w:tc>
          <w:tcPr>
            <w:tcW w:w="1576" w:type="pct"/>
            <w:tcBorders>
              <w:top w:val="nil"/>
              <w:left w:val="nil"/>
              <w:bottom w:val="nil"/>
              <w:right w:val="nil"/>
            </w:tcBorders>
          </w:tcPr>
          <w:p w14:paraId="32E66A9D"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4: 320-&lt;1100 </w:t>
            </w:r>
          </w:p>
        </w:tc>
        <w:tc>
          <w:tcPr>
            <w:tcW w:w="293" w:type="pct"/>
            <w:tcBorders>
              <w:top w:val="nil"/>
              <w:left w:val="nil"/>
              <w:bottom w:val="nil"/>
              <w:right w:val="nil"/>
            </w:tcBorders>
          </w:tcPr>
          <w:p w14:paraId="4C94C4AD"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024A112B"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6E815CCF"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73D26843"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69F6B4DE"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3885A375"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79DC8E2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1.16</w:t>
            </w:r>
          </w:p>
        </w:tc>
        <w:tc>
          <w:tcPr>
            <w:tcW w:w="539" w:type="pct"/>
            <w:tcBorders>
              <w:top w:val="nil"/>
              <w:left w:val="nil"/>
              <w:bottom w:val="nil"/>
              <w:right w:val="nil"/>
            </w:tcBorders>
          </w:tcPr>
          <w:p w14:paraId="1D4749E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0.86-1.56</w:t>
            </w:r>
          </w:p>
        </w:tc>
        <w:tc>
          <w:tcPr>
            <w:tcW w:w="37" w:type="pct"/>
            <w:tcBorders>
              <w:top w:val="nil"/>
              <w:left w:val="nil"/>
              <w:bottom w:val="nil"/>
              <w:right w:val="nil"/>
            </w:tcBorders>
          </w:tcPr>
          <w:p w14:paraId="52EB4955"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27692BF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1.14</w:t>
            </w:r>
          </w:p>
        </w:tc>
        <w:tc>
          <w:tcPr>
            <w:tcW w:w="539" w:type="pct"/>
            <w:tcBorders>
              <w:top w:val="nil"/>
              <w:left w:val="nil"/>
              <w:bottom w:val="nil"/>
              <w:right w:val="nil"/>
            </w:tcBorders>
          </w:tcPr>
          <w:p w14:paraId="08C8F77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0.85-1.54</w:t>
            </w:r>
          </w:p>
        </w:tc>
      </w:tr>
      <w:tr w:rsidR="003D03A3" w:rsidRPr="00DB7A43" w14:paraId="6A4C0DAB" w14:textId="77777777" w:rsidTr="00752DF8">
        <w:tc>
          <w:tcPr>
            <w:tcW w:w="1576" w:type="pct"/>
            <w:tcBorders>
              <w:top w:val="nil"/>
              <w:left w:val="nil"/>
              <w:bottom w:val="nil"/>
              <w:right w:val="nil"/>
            </w:tcBorders>
          </w:tcPr>
          <w:p w14:paraId="7D3A8231" w14:textId="77777777" w:rsidR="003D03A3" w:rsidRPr="00DB7A43" w:rsidRDefault="003D03A3" w:rsidP="00752DF8">
            <w:pPr>
              <w:ind w:left="360"/>
              <w:rPr>
                <w:rFonts w:ascii="Times New Roman" w:hAnsi="Times New Roman"/>
                <w:color w:val="000000" w:themeColor="text1"/>
                <w:sz w:val="20"/>
                <w:szCs w:val="20"/>
              </w:rPr>
            </w:pPr>
            <w:r w:rsidRPr="00DB7A43">
              <w:rPr>
                <w:rFonts w:ascii="Times New Roman" w:hAnsi="Times New Roman"/>
                <w:color w:val="000000" w:themeColor="text1"/>
                <w:sz w:val="20"/>
                <w:szCs w:val="20"/>
              </w:rPr>
              <w:t xml:space="preserve">5: 1100+ </w:t>
            </w:r>
          </w:p>
        </w:tc>
        <w:tc>
          <w:tcPr>
            <w:tcW w:w="293" w:type="pct"/>
            <w:tcBorders>
              <w:top w:val="nil"/>
              <w:left w:val="nil"/>
              <w:bottom w:val="nil"/>
              <w:right w:val="nil"/>
            </w:tcBorders>
          </w:tcPr>
          <w:p w14:paraId="48A186FD"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77C4750B"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46CB1EBB"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7966CFF6"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7844FD03"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09AB449E"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A7423D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0.95</w:t>
            </w:r>
          </w:p>
        </w:tc>
        <w:tc>
          <w:tcPr>
            <w:tcW w:w="539" w:type="pct"/>
            <w:tcBorders>
              <w:top w:val="nil"/>
              <w:left w:val="nil"/>
              <w:bottom w:val="nil"/>
              <w:right w:val="nil"/>
            </w:tcBorders>
          </w:tcPr>
          <w:p w14:paraId="24908D2F"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0.70-1.27</w:t>
            </w:r>
          </w:p>
        </w:tc>
        <w:tc>
          <w:tcPr>
            <w:tcW w:w="37" w:type="pct"/>
            <w:tcBorders>
              <w:top w:val="nil"/>
              <w:left w:val="nil"/>
              <w:bottom w:val="nil"/>
              <w:right w:val="nil"/>
            </w:tcBorders>
          </w:tcPr>
          <w:p w14:paraId="58850AE1"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2FF4C8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1.04</w:t>
            </w:r>
          </w:p>
        </w:tc>
        <w:tc>
          <w:tcPr>
            <w:tcW w:w="539" w:type="pct"/>
            <w:tcBorders>
              <w:top w:val="nil"/>
              <w:left w:val="nil"/>
              <w:bottom w:val="nil"/>
              <w:right w:val="nil"/>
            </w:tcBorders>
          </w:tcPr>
          <w:p w14:paraId="1727BB6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0.77-1.40</w:t>
            </w:r>
          </w:p>
        </w:tc>
      </w:tr>
      <w:tr w:rsidR="003D03A3" w:rsidRPr="00DB7A43" w14:paraId="49DDF500" w14:textId="77777777" w:rsidTr="00752DF8">
        <w:tc>
          <w:tcPr>
            <w:tcW w:w="1576" w:type="pct"/>
            <w:tcBorders>
              <w:top w:val="nil"/>
              <w:left w:val="nil"/>
              <w:bottom w:val="nil"/>
              <w:right w:val="nil"/>
            </w:tcBorders>
          </w:tcPr>
          <w:p w14:paraId="02B54805"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Calendar year</w:t>
            </w:r>
          </w:p>
        </w:tc>
        <w:tc>
          <w:tcPr>
            <w:tcW w:w="293" w:type="pct"/>
            <w:tcBorders>
              <w:top w:val="nil"/>
              <w:left w:val="nil"/>
              <w:bottom w:val="nil"/>
              <w:right w:val="nil"/>
            </w:tcBorders>
          </w:tcPr>
          <w:p w14:paraId="7F9894B2"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1B8D694E"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1B0D8A76"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7185A263"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2EB3A1C8"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3C524C33"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3C421280"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4DCC8766"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3A733829"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713E4A25"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7DAF51B1"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346DCAF7" w14:textId="77777777" w:rsidTr="00752DF8">
        <w:tc>
          <w:tcPr>
            <w:tcW w:w="1576" w:type="pct"/>
            <w:tcBorders>
              <w:top w:val="nil"/>
              <w:left w:val="nil"/>
              <w:bottom w:val="nil"/>
              <w:right w:val="nil"/>
            </w:tcBorders>
          </w:tcPr>
          <w:p w14:paraId="630CEB06"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&lt;1990</w:t>
            </w:r>
          </w:p>
        </w:tc>
        <w:tc>
          <w:tcPr>
            <w:tcW w:w="293" w:type="pct"/>
            <w:tcBorders>
              <w:top w:val="nil"/>
              <w:left w:val="nil"/>
              <w:bottom w:val="nil"/>
              <w:right w:val="nil"/>
            </w:tcBorders>
          </w:tcPr>
          <w:p w14:paraId="01A11FD9"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1D4F7311"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0BFE259A"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2FF53C6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590" w:type="pct"/>
            <w:tcBorders>
              <w:top w:val="nil"/>
              <w:left w:val="nil"/>
              <w:bottom w:val="nil"/>
              <w:right w:val="nil"/>
            </w:tcBorders>
          </w:tcPr>
          <w:p w14:paraId="6E1C21FC"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(reference)</w:t>
            </w:r>
          </w:p>
        </w:tc>
        <w:tc>
          <w:tcPr>
            <w:tcW w:w="37" w:type="pct"/>
            <w:tcBorders>
              <w:top w:val="nil"/>
              <w:left w:val="nil"/>
              <w:bottom w:val="nil"/>
              <w:right w:val="nil"/>
            </w:tcBorders>
          </w:tcPr>
          <w:p w14:paraId="4850B6D2"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5B8278AB"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375C24EB"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65011B51"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7681EB5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539" w:type="pct"/>
            <w:tcBorders>
              <w:top w:val="nil"/>
              <w:left w:val="nil"/>
              <w:bottom w:val="nil"/>
              <w:right w:val="nil"/>
            </w:tcBorders>
          </w:tcPr>
          <w:p w14:paraId="712F08B4"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(reference)</w:t>
            </w:r>
          </w:p>
        </w:tc>
      </w:tr>
      <w:tr w:rsidR="003D03A3" w:rsidRPr="00DB7A43" w14:paraId="75595B18" w14:textId="77777777" w:rsidTr="00752DF8">
        <w:tc>
          <w:tcPr>
            <w:tcW w:w="1576" w:type="pct"/>
            <w:tcBorders>
              <w:top w:val="nil"/>
              <w:left w:val="nil"/>
              <w:bottom w:val="nil"/>
              <w:right w:val="nil"/>
            </w:tcBorders>
          </w:tcPr>
          <w:p w14:paraId="73103D05"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1990-1994</w:t>
            </w:r>
          </w:p>
        </w:tc>
        <w:tc>
          <w:tcPr>
            <w:tcW w:w="293" w:type="pct"/>
            <w:tcBorders>
              <w:top w:val="nil"/>
              <w:left w:val="nil"/>
              <w:bottom w:val="nil"/>
              <w:right w:val="nil"/>
            </w:tcBorders>
          </w:tcPr>
          <w:p w14:paraId="5101DA1B"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4F193039"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145BE290"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240F5859"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2.73</w:t>
            </w:r>
          </w:p>
        </w:tc>
        <w:tc>
          <w:tcPr>
            <w:tcW w:w="590" w:type="pct"/>
            <w:tcBorders>
              <w:top w:val="nil"/>
              <w:left w:val="nil"/>
              <w:bottom w:val="nil"/>
              <w:right w:val="nil"/>
            </w:tcBorders>
          </w:tcPr>
          <w:p w14:paraId="7BBD2459"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1.79-4.26</w:t>
            </w:r>
          </w:p>
        </w:tc>
        <w:tc>
          <w:tcPr>
            <w:tcW w:w="37" w:type="pct"/>
            <w:tcBorders>
              <w:top w:val="nil"/>
              <w:left w:val="nil"/>
              <w:bottom w:val="nil"/>
              <w:right w:val="nil"/>
            </w:tcBorders>
          </w:tcPr>
          <w:p w14:paraId="22285841"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0CE7B13"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0C5449FE"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18A750B2"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65CF7D3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2.71</w:t>
            </w:r>
          </w:p>
        </w:tc>
        <w:tc>
          <w:tcPr>
            <w:tcW w:w="539" w:type="pct"/>
            <w:tcBorders>
              <w:top w:val="nil"/>
              <w:left w:val="nil"/>
              <w:bottom w:val="nil"/>
              <w:right w:val="nil"/>
            </w:tcBorders>
          </w:tcPr>
          <w:p w14:paraId="6403802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1.77-4.23</w:t>
            </w:r>
          </w:p>
        </w:tc>
      </w:tr>
      <w:tr w:rsidR="003D03A3" w:rsidRPr="00DB7A43" w14:paraId="13C68B02" w14:textId="77777777" w:rsidTr="00752DF8">
        <w:tc>
          <w:tcPr>
            <w:tcW w:w="1576" w:type="pct"/>
            <w:tcBorders>
              <w:top w:val="nil"/>
              <w:left w:val="nil"/>
              <w:bottom w:val="nil"/>
              <w:right w:val="nil"/>
            </w:tcBorders>
          </w:tcPr>
          <w:p w14:paraId="0008A7A0"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1995-1999</w:t>
            </w:r>
          </w:p>
        </w:tc>
        <w:tc>
          <w:tcPr>
            <w:tcW w:w="293" w:type="pct"/>
            <w:tcBorders>
              <w:top w:val="nil"/>
              <w:left w:val="nil"/>
              <w:bottom w:val="nil"/>
              <w:right w:val="nil"/>
            </w:tcBorders>
          </w:tcPr>
          <w:p w14:paraId="67135AFF"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6C96D97A"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722219EC"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214975A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3.42</w:t>
            </w:r>
          </w:p>
        </w:tc>
        <w:tc>
          <w:tcPr>
            <w:tcW w:w="590" w:type="pct"/>
            <w:tcBorders>
              <w:top w:val="nil"/>
              <w:left w:val="nil"/>
              <w:bottom w:val="nil"/>
              <w:right w:val="nil"/>
            </w:tcBorders>
          </w:tcPr>
          <w:p w14:paraId="1A32AE4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2.32-5.21</w:t>
            </w:r>
          </w:p>
        </w:tc>
        <w:tc>
          <w:tcPr>
            <w:tcW w:w="37" w:type="pct"/>
            <w:tcBorders>
              <w:top w:val="nil"/>
              <w:left w:val="nil"/>
              <w:bottom w:val="nil"/>
              <w:right w:val="nil"/>
            </w:tcBorders>
          </w:tcPr>
          <w:p w14:paraId="2554BF3F"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3F39AB7A"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22744E20"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62E5DD31"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27638A2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3.41</w:t>
            </w:r>
          </w:p>
        </w:tc>
        <w:tc>
          <w:tcPr>
            <w:tcW w:w="539" w:type="pct"/>
            <w:tcBorders>
              <w:top w:val="nil"/>
              <w:left w:val="nil"/>
              <w:bottom w:val="nil"/>
              <w:right w:val="nil"/>
            </w:tcBorders>
          </w:tcPr>
          <w:p w14:paraId="30B7BC7B"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2.31-5.20</w:t>
            </w:r>
          </w:p>
        </w:tc>
      </w:tr>
      <w:tr w:rsidR="003D03A3" w:rsidRPr="00DB7A43" w14:paraId="69D3AB2B" w14:textId="77777777" w:rsidTr="00752DF8">
        <w:tc>
          <w:tcPr>
            <w:tcW w:w="1576" w:type="pct"/>
            <w:tcBorders>
              <w:top w:val="nil"/>
              <w:left w:val="nil"/>
              <w:bottom w:val="nil"/>
              <w:right w:val="nil"/>
            </w:tcBorders>
          </w:tcPr>
          <w:p w14:paraId="42CF9AC7"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2000+</w:t>
            </w:r>
          </w:p>
        </w:tc>
        <w:tc>
          <w:tcPr>
            <w:tcW w:w="293" w:type="pct"/>
            <w:tcBorders>
              <w:top w:val="nil"/>
              <w:left w:val="nil"/>
              <w:bottom w:val="nil"/>
              <w:right w:val="nil"/>
            </w:tcBorders>
          </w:tcPr>
          <w:p w14:paraId="31718FF9"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6CAD0877"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452AA23C"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0F9EABF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3.42</w:t>
            </w:r>
          </w:p>
        </w:tc>
        <w:tc>
          <w:tcPr>
            <w:tcW w:w="590" w:type="pct"/>
            <w:tcBorders>
              <w:top w:val="nil"/>
              <w:left w:val="nil"/>
              <w:bottom w:val="nil"/>
              <w:right w:val="nil"/>
            </w:tcBorders>
          </w:tcPr>
          <w:p w14:paraId="553715B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2.38-5.12</w:t>
            </w:r>
          </w:p>
        </w:tc>
        <w:tc>
          <w:tcPr>
            <w:tcW w:w="37" w:type="pct"/>
            <w:tcBorders>
              <w:top w:val="nil"/>
              <w:left w:val="nil"/>
              <w:bottom w:val="nil"/>
              <w:right w:val="nil"/>
            </w:tcBorders>
          </w:tcPr>
          <w:p w14:paraId="3D48ED2A"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31BF3C60"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107BF9BB"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7F284004"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462CC56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3.43</w:t>
            </w:r>
          </w:p>
        </w:tc>
        <w:tc>
          <w:tcPr>
            <w:tcW w:w="539" w:type="pct"/>
            <w:tcBorders>
              <w:top w:val="nil"/>
              <w:left w:val="nil"/>
              <w:bottom w:val="nil"/>
              <w:right w:val="nil"/>
            </w:tcBorders>
          </w:tcPr>
          <w:p w14:paraId="3E9EB6B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2.38-5.12</w:t>
            </w:r>
          </w:p>
        </w:tc>
      </w:tr>
      <w:tr w:rsidR="003D03A3" w:rsidRPr="00DB7A43" w14:paraId="3F9AC491" w14:textId="77777777" w:rsidTr="00752DF8">
        <w:tc>
          <w:tcPr>
            <w:tcW w:w="1576" w:type="pct"/>
            <w:tcBorders>
              <w:top w:val="nil"/>
              <w:left w:val="nil"/>
              <w:bottom w:val="nil"/>
              <w:right w:val="nil"/>
            </w:tcBorders>
          </w:tcPr>
          <w:p w14:paraId="785A8F06" w14:textId="77777777" w:rsidR="003D03A3" w:rsidRPr="00DB7A43" w:rsidRDefault="003D03A3" w:rsidP="00752DF8">
            <w:pPr>
              <w:ind w:left="180"/>
              <w:rPr>
                <w:rFonts w:ascii="Times New Roman" w:hAnsi="Times New Roman"/>
                <w:color w:val="000000" w:themeColor="text1"/>
                <w:sz w:val="20"/>
                <w:szCs w:val="20"/>
              </w:rPr>
            </w:pPr>
          </w:p>
        </w:tc>
        <w:tc>
          <w:tcPr>
            <w:tcW w:w="293" w:type="pct"/>
            <w:tcBorders>
              <w:top w:val="nil"/>
              <w:left w:val="nil"/>
              <w:bottom w:val="nil"/>
              <w:right w:val="nil"/>
            </w:tcBorders>
          </w:tcPr>
          <w:p w14:paraId="452DC36E"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07AF1C52"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63DE2298"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5BE212E2"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0AFB5700"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674547E1"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67E37B5F"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1D00D649"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44298224"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07726DD5"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4BEC342F"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0DA30A92" w14:textId="77777777" w:rsidTr="00752DF8">
        <w:tc>
          <w:tcPr>
            <w:tcW w:w="1576" w:type="pct"/>
            <w:tcBorders>
              <w:top w:val="nil"/>
              <w:left w:val="nil"/>
              <w:bottom w:val="nil"/>
              <w:right w:val="nil"/>
            </w:tcBorders>
          </w:tcPr>
          <w:p w14:paraId="2F73D22F"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Likelihood ratio test for exposure</w:t>
            </w:r>
          </w:p>
        </w:tc>
        <w:tc>
          <w:tcPr>
            <w:tcW w:w="293" w:type="pct"/>
            <w:tcBorders>
              <w:top w:val="nil"/>
              <w:left w:val="nil"/>
              <w:bottom w:val="nil"/>
              <w:right w:val="nil"/>
            </w:tcBorders>
          </w:tcPr>
          <w:p w14:paraId="095310F2"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52BDCC69"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5657B056"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7D14A50F"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1C0D3E24"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4315B123"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32395F30"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5E057540"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126FF6AA"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6C568623"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4E64D743"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0033A667" w14:textId="77777777" w:rsidTr="00752DF8">
        <w:tc>
          <w:tcPr>
            <w:tcW w:w="1576" w:type="pct"/>
            <w:tcBorders>
              <w:top w:val="nil"/>
              <w:left w:val="nil"/>
              <w:bottom w:val="nil"/>
              <w:right w:val="nil"/>
            </w:tcBorders>
          </w:tcPr>
          <w:p w14:paraId="42D945BA"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Degrees of freedom</w:t>
            </w:r>
          </w:p>
        </w:tc>
        <w:tc>
          <w:tcPr>
            <w:tcW w:w="883" w:type="pct"/>
            <w:gridSpan w:val="2"/>
            <w:tcBorders>
              <w:top w:val="nil"/>
              <w:left w:val="nil"/>
              <w:bottom w:val="nil"/>
              <w:right w:val="nil"/>
            </w:tcBorders>
          </w:tcPr>
          <w:p w14:paraId="2454BD6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37" w:type="pct"/>
            <w:tcBorders>
              <w:top w:val="nil"/>
              <w:left w:val="nil"/>
              <w:bottom w:val="nil"/>
              <w:right w:val="nil"/>
            </w:tcBorders>
          </w:tcPr>
          <w:p w14:paraId="61F1C651" w14:textId="77777777" w:rsidR="003D03A3" w:rsidRPr="00DB7A43" w:rsidRDefault="003D03A3" w:rsidP="00752DF8">
            <w:pPr>
              <w:jc w:val="center"/>
              <w:rPr>
                <w:rFonts w:ascii="Times New Roman" w:hAnsi="Times New Roman"/>
                <w:color w:val="000000" w:themeColor="text1"/>
                <w:sz w:val="20"/>
                <w:szCs w:val="20"/>
              </w:rPr>
            </w:pPr>
          </w:p>
        </w:tc>
        <w:tc>
          <w:tcPr>
            <w:tcW w:w="883" w:type="pct"/>
            <w:gridSpan w:val="2"/>
            <w:tcBorders>
              <w:top w:val="nil"/>
              <w:left w:val="nil"/>
              <w:bottom w:val="nil"/>
              <w:right w:val="nil"/>
            </w:tcBorders>
          </w:tcPr>
          <w:p w14:paraId="1352055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w:t>
            </w:r>
          </w:p>
        </w:tc>
        <w:tc>
          <w:tcPr>
            <w:tcW w:w="37" w:type="pct"/>
            <w:tcBorders>
              <w:top w:val="nil"/>
              <w:left w:val="nil"/>
              <w:bottom w:val="nil"/>
              <w:right w:val="nil"/>
            </w:tcBorders>
          </w:tcPr>
          <w:p w14:paraId="4CA3B45E"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3F4B6B3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4</w:t>
            </w:r>
          </w:p>
        </w:tc>
        <w:tc>
          <w:tcPr>
            <w:tcW w:w="37" w:type="pct"/>
            <w:tcBorders>
              <w:top w:val="nil"/>
              <w:left w:val="nil"/>
              <w:bottom w:val="nil"/>
              <w:right w:val="nil"/>
            </w:tcBorders>
          </w:tcPr>
          <w:p w14:paraId="4B5CFA7E"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490281A0"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4</w:t>
            </w:r>
          </w:p>
        </w:tc>
      </w:tr>
      <w:tr w:rsidR="003D03A3" w:rsidRPr="00DB7A43" w14:paraId="5ACBE40D" w14:textId="77777777" w:rsidTr="00752DF8">
        <w:tc>
          <w:tcPr>
            <w:tcW w:w="1576" w:type="pct"/>
            <w:tcBorders>
              <w:top w:val="nil"/>
              <w:left w:val="nil"/>
              <w:bottom w:val="nil"/>
              <w:right w:val="nil"/>
            </w:tcBorders>
          </w:tcPr>
          <w:p w14:paraId="588377A3"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Chi</w:t>
            </w:r>
            <w:r w:rsidRPr="00DB7A43">
              <w:rPr>
                <w:rFonts w:ascii="Times New Roman" w:hAnsi="Times New Roman"/>
                <w:color w:val="000000" w:themeColor="text1"/>
                <w:sz w:val="20"/>
                <w:szCs w:val="20"/>
              </w:rPr>
              <w:noBreakHyphen/>
              <w:t>square</w:t>
            </w:r>
          </w:p>
        </w:tc>
        <w:tc>
          <w:tcPr>
            <w:tcW w:w="883" w:type="pct"/>
            <w:gridSpan w:val="2"/>
            <w:tcBorders>
              <w:top w:val="nil"/>
              <w:left w:val="nil"/>
              <w:bottom w:val="nil"/>
              <w:right w:val="nil"/>
            </w:tcBorders>
          </w:tcPr>
          <w:p w14:paraId="4691873A"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1.98</w:t>
            </w:r>
          </w:p>
        </w:tc>
        <w:tc>
          <w:tcPr>
            <w:tcW w:w="37" w:type="pct"/>
            <w:tcBorders>
              <w:top w:val="nil"/>
              <w:left w:val="nil"/>
              <w:bottom w:val="nil"/>
              <w:right w:val="nil"/>
            </w:tcBorders>
          </w:tcPr>
          <w:p w14:paraId="57FD8A38" w14:textId="77777777" w:rsidR="003D03A3" w:rsidRPr="00DB7A43" w:rsidRDefault="003D03A3" w:rsidP="00752DF8">
            <w:pPr>
              <w:jc w:val="center"/>
              <w:rPr>
                <w:rFonts w:ascii="Times New Roman" w:hAnsi="Times New Roman"/>
                <w:color w:val="000000" w:themeColor="text1"/>
                <w:sz w:val="20"/>
                <w:szCs w:val="20"/>
              </w:rPr>
            </w:pPr>
          </w:p>
        </w:tc>
        <w:tc>
          <w:tcPr>
            <w:tcW w:w="883" w:type="pct"/>
            <w:gridSpan w:val="2"/>
            <w:tcBorders>
              <w:top w:val="nil"/>
              <w:left w:val="nil"/>
              <w:bottom w:val="nil"/>
              <w:right w:val="nil"/>
            </w:tcBorders>
          </w:tcPr>
          <w:p w14:paraId="34AC717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0.62</w:t>
            </w:r>
          </w:p>
        </w:tc>
        <w:tc>
          <w:tcPr>
            <w:tcW w:w="37" w:type="pct"/>
            <w:tcBorders>
              <w:top w:val="nil"/>
              <w:left w:val="nil"/>
              <w:bottom w:val="nil"/>
              <w:right w:val="nil"/>
            </w:tcBorders>
          </w:tcPr>
          <w:p w14:paraId="568ABEDF"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23C9518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4.40</w:t>
            </w:r>
          </w:p>
        </w:tc>
        <w:tc>
          <w:tcPr>
            <w:tcW w:w="37" w:type="pct"/>
            <w:tcBorders>
              <w:top w:val="nil"/>
              <w:left w:val="nil"/>
              <w:bottom w:val="nil"/>
              <w:right w:val="nil"/>
            </w:tcBorders>
          </w:tcPr>
          <w:p w14:paraId="7D49335B"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7C44144E"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2.56</w:t>
            </w:r>
          </w:p>
        </w:tc>
      </w:tr>
      <w:tr w:rsidR="003D03A3" w:rsidRPr="00DB7A43" w14:paraId="07CDD945" w14:textId="77777777" w:rsidTr="00752DF8">
        <w:tc>
          <w:tcPr>
            <w:tcW w:w="1576" w:type="pct"/>
            <w:tcBorders>
              <w:top w:val="nil"/>
              <w:left w:val="nil"/>
              <w:bottom w:val="nil"/>
              <w:right w:val="nil"/>
            </w:tcBorders>
          </w:tcPr>
          <w:p w14:paraId="5AF8C054"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P-value</w:t>
            </w:r>
          </w:p>
        </w:tc>
        <w:tc>
          <w:tcPr>
            <w:tcW w:w="883" w:type="pct"/>
            <w:gridSpan w:val="2"/>
            <w:tcBorders>
              <w:top w:val="nil"/>
              <w:left w:val="nil"/>
              <w:bottom w:val="nil"/>
              <w:right w:val="nil"/>
            </w:tcBorders>
          </w:tcPr>
          <w:p w14:paraId="13F74F27"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0.16</w:t>
            </w:r>
          </w:p>
        </w:tc>
        <w:tc>
          <w:tcPr>
            <w:tcW w:w="37" w:type="pct"/>
            <w:tcBorders>
              <w:top w:val="nil"/>
              <w:left w:val="nil"/>
              <w:bottom w:val="nil"/>
              <w:right w:val="nil"/>
            </w:tcBorders>
          </w:tcPr>
          <w:p w14:paraId="11A44F95" w14:textId="77777777" w:rsidR="003D03A3" w:rsidRPr="00DB7A43" w:rsidRDefault="003D03A3" w:rsidP="00752DF8">
            <w:pPr>
              <w:jc w:val="center"/>
              <w:rPr>
                <w:rFonts w:ascii="Times New Roman" w:hAnsi="Times New Roman"/>
                <w:color w:val="000000" w:themeColor="text1"/>
                <w:sz w:val="20"/>
                <w:szCs w:val="20"/>
              </w:rPr>
            </w:pPr>
          </w:p>
        </w:tc>
        <w:tc>
          <w:tcPr>
            <w:tcW w:w="883" w:type="pct"/>
            <w:gridSpan w:val="2"/>
            <w:tcBorders>
              <w:top w:val="nil"/>
              <w:left w:val="nil"/>
              <w:bottom w:val="nil"/>
              <w:right w:val="nil"/>
            </w:tcBorders>
          </w:tcPr>
          <w:p w14:paraId="678DB46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0.43</w:t>
            </w:r>
          </w:p>
        </w:tc>
        <w:tc>
          <w:tcPr>
            <w:tcW w:w="37" w:type="pct"/>
            <w:tcBorders>
              <w:top w:val="nil"/>
              <w:left w:val="nil"/>
              <w:bottom w:val="nil"/>
              <w:right w:val="nil"/>
            </w:tcBorders>
          </w:tcPr>
          <w:p w14:paraId="424E08B7"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46B12AA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0.35</w:t>
            </w:r>
          </w:p>
        </w:tc>
        <w:tc>
          <w:tcPr>
            <w:tcW w:w="37" w:type="pct"/>
            <w:tcBorders>
              <w:top w:val="nil"/>
              <w:left w:val="nil"/>
              <w:bottom w:val="nil"/>
              <w:right w:val="nil"/>
            </w:tcBorders>
          </w:tcPr>
          <w:p w14:paraId="15BDF7CD"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33D8309D"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0.63</w:t>
            </w:r>
          </w:p>
        </w:tc>
      </w:tr>
      <w:tr w:rsidR="003D03A3" w:rsidRPr="00DB7A43" w14:paraId="3886B404" w14:textId="77777777" w:rsidTr="00752DF8">
        <w:tc>
          <w:tcPr>
            <w:tcW w:w="1576" w:type="pct"/>
            <w:tcBorders>
              <w:top w:val="nil"/>
              <w:left w:val="nil"/>
              <w:bottom w:val="nil"/>
              <w:right w:val="nil"/>
            </w:tcBorders>
          </w:tcPr>
          <w:p w14:paraId="7F14E48F" w14:textId="77777777" w:rsidR="003D03A3" w:rsidRPr="00DB7A43" w:rsidRDefault="003D03A3" w:rsidP="00752DF8">
            <w:pPr>
              <w:ind w:left="180"/>
              <w:rPr>
                <w:rFonts w:ascii="Times New Roman" w:hAnsi="Times New Roman"/>
                <w:color w:val="000000" w:themeColor="text1"/>
                <w:sz w:val="20"/>
                <w:szCs w:val="20"/>
              </w:rPr>
            </w:pPr>
          </w:p>
        </w:tc>
        <w:tc>
          <w:tcPr>
            <w:tcW w:w="293" w:type="pct"/>
            <w:tcBorders>
              <w:top w:val="nil"/>
              <w:left w:val="nil"/>
              <w:bottom w:val="nil"/>
              <w:right w:val="nil"/>
            </w:tcBorders>
          </w:tcPr>
          <w:p w14:paraId="5F914080"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626466C2"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40C70EC5"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2F8E83CB"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0962CFA0"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2EC3EE8A"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2DA2ED90"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5E808773"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03D93454"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3EB91D0F"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5E9C982C"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072FBBDB" w14:textId="77777777" w:rsidTr="00752DF8">
        <w:tc>
          <w:tcPr>
            <w:tcW w:w="1576" w:type="pct"/>
            <w:tcBorders>
              <w:top w:val="nil"/>
              <w:left w:val="nil"/>
              <w:bottom w:val="nil"/>
              <w:right w:val="nil"/>
            </w:tcBorders>
          </w:tcPr>
          <w:p w14:paraId="22B4C3BD" w14:textId="77777777" w:rsidR="003D03A3" w:rsidRPr="00DB7A43" w:rsidRDefault="003D03A3" w:rsidP="00752DF8">
            <w:pPr>
              <w:rPr>
                <w:rFonts w:ascii="Times New Roman" w:hAnsi="Times New Roman"/>
                <w:color w:val="000000" w:themeColor="text1"/>
                <w:sz w:val="20"/>
                <w:szCs w:val="20"/>
              </w:rPr>
            </w:pPr>
            <w:r w:rsidRPr="00DB7A43">
              <w:rPr>
                <w:rFonts w:ascii="Times New Roman" w:hAnsi="Times New Roman"/>
                <w:color w:val="000000" w:themeColor="text1"/>
                <w:sz w:val="20"/>
                <w:szCs w:val="20"/>
              </w:rPr>
              <w:t>Model fit</w:t>
            </w:r>
          </w:p>
        </w:tc>
        <w:tc>
          <w:tcPr>
            <w:tcW w:w="293" w:type="pct"/>
            <w:tcBorders>
              <w:top w:val="nil"/>
              <w:left w:val="nil"/>
              <w:bottom w:val="nil"/>
              <w:right w:val="nil"/>
            </w:tcBorders>
          </w:tcPr>
          <w:p w14:paraId="0BC5EBAD"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42EF004C"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65EB4324"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nil"/>
              <w:right w:val="nil"/>
            </w:tcBorders>
          </w:tcPr>
          <w:p w14:paraId="0D7BACA0"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nil"/>
              <w:right w:val="nil"/>
            </w:tcBorders>
          </w:tcPr>
          <w:p w14:paraId="5C9A22DB"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20381642"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22BAAEA1"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6ECA295B"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nil"/>
              <w:right w:val="nil"/>
            </w:tcBorders>
          </w:tcPr>
          <w:p w14:paraId="5CA18437"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nil"/>
              <w:right w:val="nil"/>
            </w:tcBorders>
          </w:tcPr>
          <w:p w14:paraId="3B5A0B12"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nil"/>
              <w:right w:val="nil"/>
            </w:tcBorders>
          </w:tcPr>
          <w:p w14:paraId="08678A42" w14:textId="77777777" w:rsidR="003D03A3" w:rsidRPr="00DB7A43" w:rsidRDefault="003D03A3" w:rsidP="00752DF8">
            <w:pPr>
              <w:jc w:val="center"/>
              <w:rPr>
                <w:rFonts w:ascii="Times New Roman" w:hAnsi="Times New Roman"/>
                <w:color w:val="000000" w:themeColor="text1"/>
                <w:sz w:val="20"/>
                <w:szCs w:val="20"/>
              </w:rPr>
            </w:pPr>
          </w:p>
        </w:tc>
      </w:tr>
      <w:tr w:rsidR="003D03A3" w:rsidRPr="00DB7A43" w14:paraId="6B9F28E5" w14:textId="77777777" w:rsidTr="00752DF8">
        <w:tc>
          <w:tcPr>
            <w:tcW w:w="1576" w:type="pct"/>
            <w:tcBorders>
              <w:top w:val="nil"/>
              <w:left w:val="nil"/>
              <w:bottom w:val="nil"/>
              <w:right w:val="nil"/>
            </w:tcBorders>
          </w:tcPr>
          <w:p w14:paraId="4D4664AC" w14:textId="77777777" w:rsidR="003D03A3" w:rsidRPr="00DB7A43" w:rsidRDefault="003D03A3" w:rsidP="00752DF8">
            <w:pPr>
              <w:ind w:left="180"/>
              <w:rPr>
                <w:rFonts w:ascii="Times New Roman" w:hAnsi="Times New Roman"/>
                <w:color w:val="000000" w:themeColor="text1"/>
                <w:sz w:val="20"/>
                <w:szCs w:val="20"/>
              </w:rPr>
            </w:pPr>
            <w:r w:rsidRPr="00DB7A43">
              <w:rPr>
                <w:rFonts w:ascii="Times New Roman" w:hAnsi="Times New Roman"/>
                <w:color w:val="000000" w:themeColor="text1"/>
                <w:sz w:val="20"/>
                <w:szCs w:val="20"/>
              </w:rPr>
              <w:t>-2 log likelihood</w:t>
            </w:r>
          </w:p>
        </w:tc>
        <w:tc>
          <w:tcPr>
            <w:tcW w:w="883" w:type="pct"/>
            <w:gridSpan w:val="2"/>
            <w:tcBorders>
              <w:top w:val="nil"/>
              <w:left w:val="nil"/>
              <w:bottom w:val="nil"/>
              <w:right w:val="nil"/>
            </w:tcBorders>
          </w:tcPr>
          <w:p w14:paraId="2091097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7036.58</w:t>
            </w:r>
          </w:p>
        </w:tc>
        <w:tc>
          <w:tcPr>
            <w:tcW w:w="37" w:type="pct"/>
            <w:tcBorders>
              <w:top w:val="nil"/>
              <w:left w:val="nil"/>
              <w:bottom w:val="nil"/>
              <w:right w:val="nil"/>
            </w:tcBorders>
          </w:tcPr>
          <w:p w14:paraId="7724815A" w14:textId="77777777" w:rsidR="003D03A3" w:rsidRPr="00DB7A43" w:rsidRDefault="003D03A3" w:rsidP="00752DF8">
            <w:pPr>
              <w:jc w:val="center"/>
              <w:rPr>
                <w:rFonts w:ascii="Times New Roman" w:hAnsi="Times New Roman"/>
                <w:color w:val="000000" w:themeColor="text1"/>
                <w:sz w:val="20"/>
                <w:szCs w:val="20"/>
              </w:rPr>
            </w:pPr>
          </w:p>
        </w:tc>
        <w:tc>
          <w:tcPr>
            <w:tcW w:w="883" w:type="pct"/>
            <w:gridSpan w:val="2"/>
            <w:tcBorders>
              <w:top w:val="nil"/>
              <w:left w:val="nil"/>
              <w:bottom w:val="nil"/>
              <w:right w:val="nil"/>
            </w:tcBorders>
          </w:tcPr>
          <w:p w14:paraId="4E834E35"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6977.98</w:t>
            </w:r>
          </w:p>
        </w:tc>
        <w:tc>
          <w:tcPr>
            <w:tcW w:w="37" w:type="pct"/>
            <w:tcBorders>
              <w:top w:val="nil"/>
              <w:left w:val="nil"/>
              <w:bottom w:val="nil"/>
              <w:right w:val="nil"/>
            </w:tcBorders>
          </w:tcPr>
          <w:p w14:paraId="1E5C327B"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52094963"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7034.16</w:t>
            </w:r>
          </w:p>
        </w:tc>
        <w:tc>
          <w:tcPr>
            <w:tcW w:w="37" w:type="pct"/>
            <w:tcBorders>
              <w:top w:val="nil"/>
              <w:left w:val="nil"/>
              <w:bottom w:val="nil"/>
              <w:right w:val="nil"/>
            </w:tcBorders>
          </w:tcPr>
          <w:p w14:paraId="4951375A"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4BC5501C"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6796.04</w:t>
            </w:r>
          </w:p>
        </w:tc>
      </w:tr>
      <w:tr w:rsidR="003D03A3" w:rsidRPr="00DB7A43" w14:paraId="429E85C2" w14:textId="77777777" w:rsidTr="00752DF8">
        <w:tc>
          <w:tcPr>
            <w:tcW w:w="1576" w:type="pct"/>
            <w:tcBorders>
              <w:top w:val="nil"/>
              <w:left w:val="nil"/>
              <w:bottom w:val="nil"/>
              <w:right w:val="nil"/>
            </w:tcBorders>
          </w:tcPr>
          <w:p w14:paraId="53F0DA84" w14:textId="77777777" w:rsidR="003D03A3" w:rsidRPr="00DB7A43" w:rsidRDefault="003D03A3" w:rsidP="00752DF8">
            <w:pPr>
              <w:ind w:left="180"/>
              <w:rPr>
                <w:rFonts w:ascii="Times New Roman" w:hAnsi="Times New Roman"/>
                <w:color w:val="000000" w:themeColor="text1"/>
                <w:sz w:val="20"/>
                <w:szCs w:val="20"/>
              </w:rPr>
            </w:pPr>
            <w:proofErr w:type="spellStart"/>
            <w:r w:rsidRPr="00DB7A43">
              <w:rPr>
                <w:rFonts w:ascii="Times New Roman" w:hAnsi="Times New Roman"/>
                <w:color w:val="000000" w:themeColor="text1"/>
                <w:sz w:val="20"/>
                <w:szCs w:val="20"/>
              </w:rPr>
              <w:t>Akaike’s</w:t>
            </w:r>
            <w:proofErr w:type="spellEnd"/>
            <w:r w:rsidRPr="00DB7A43">
              <w:rPr>
                <w:rFonts w:ascii="Times New Roman" w:hAnsi="Times New Roman"/>
                <w:color w:val="000000" w:themeColor="text1"/>
                <w:sz w:val="20"/>
                <w:szCs w:val="20"/>
              </w:rPr>
              <w:t xml:space="preserve"> information criterion</w:t>
            </w:r>
          </w:p>
        </w:tc>
        <w:tc>
          <w:tcPr>
            <w:tcW w:w="883" w:type="pct"/>
            <w:gridSpan w:val="2"/>
            <w:tcBorders>
              <w:top w:val="nil"/>
              <w:left w:val="nil"/>
              <w:bottom w:val="nil"/>
              <w:right w:val="nil"/>
            </w:tcBorders>
          </w:tcPr>
          <w:p w14:paraId="59FBE792"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7038.58</w:t>
            </w:r>
          </w:p>
        </w:tc>
        <w:tc>
          <w:tcPr>
            <w:tcW w:w="37" w:type="pct"/>
            <w:tcBorders>
              <w:top w:val="nil"/>
              <w:left w:val="nil"/>
              <w:bottom w:val="nil"/>
              <w:right w:val="nil"/>
            </w:tcBorders>
          </w:tcPr>
          <w:p w14:paraId="2FEFC247" w14:textId="77777777" w:rsidR="003D03A3" w:rsidRPr="00DB7A43" w:rsidRDefault="003D03A3" w:rsidP="00752DF8">
            <w:pPr>
              <w:jc w:val="center"/>
              <w:rPr>
                <w:rFonts w:ascii="Times New Roman" w:hAnsi="Times New Roman"/>
                <w:color w:val="000000" w:themeColor="text1"/>
                <w:sz w:val="20"/>
                <w:szCs w:val="20"/>
              </w:rPr>
            </w:pPr>
          </w:p>
        </w:tc>
        <w:tc>
          <w:tcPr>
            <w:tcW w:w="883" w:type="pct"/>
            <w:gridSpan w:val="2"/>
            <w:tcBorders>
              <w:top w:val="nil"/>
              <w:left w:val="nil"/>
              <w:bottom w:val="nil"/>
              <w:right w:val="nil"/>
            </w:tcBorders>
          </w:tcPr>
          <w:p w14:paraId="1BFCE966"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6985.98</w:t>
            </w:r>
          </w:p>
        </w:tc>
        <w:tc>
          <w:tcPr>
            <w:tcW w:w="37" w:type="pct"/>
            <w:tcBorders>
              <w:top w:val="nil"/>
              <w:left w:val="nil"/>
              <w:bottom w:val="nil"/>
              <w:right w:val="nil"/>
            </w:tcBorders>
          </w:tcPr>
          <w:p w14:paraId="5092AC18"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25E0FDD8"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7042.16</w:t>
            </w:r>
          </w:p>
        </w:tc>
        <w:tc>
          <w:tcPr>
            <w:tcW w:w="37" w:type="pct"/>
            <w:tcBorders>
              <w:top w:val="nil"/>
              <w:left w:val="nil"/>
              <w:bottom w:val="nil"/>
              <w:right w:val="nil"/>
            </w:tcBorders>
          </w:tcPr>
          <w:p w14:paraId="43771B3D" w14:textId="77777777" w:rsidR="003D03A3" w:rsidRPr="00DB7A43" w:rsidRDefault="003D03A3" w:rsidP="00752DF8">
            <w:pPr>
              <w:jc w:val="center"/>
              <w:rPr>
                <w:rFonts w:ascii="Times New Roman" w:hAnsi="Times New Roman"/>
                <w:color w:val="000000" w:themeColor="text1"/>
                <w:sz w:val="20"/>
                <w:szCs w:val="20"/>
              </w:rPr>
            </w:pPr>
          </w:p>
        </w:tc>
        <w:tc>
          <w:tcPr>
            <w:tcW w:w="774" w:type="pct"/>
            <w:gridSpan w:val="2"/>
            <w:tcBorders>
              <w:top w:val="nil"/>
              <w:left w:val="nil"/>
              <w:bottom w:val="nil"/>
              <w:right w:val="nil"/>
            </w:tcBorders>
          </w:tcPr>
          <w:p w14:paraId="4B5CCFD9" w14:textId="77777777" w:rsidR="003D03A3" w:rsidRPr="00DB7A43" w:rsidRDefault="003D03A3" w:rsidP="00752DF8">
            <w:pPr>
              <w:jc w:val="center"/>
              <w:rPr>
                <w:rFonts w:ascii="Times New Roman" w:hAnsi="Times New Roman"/>
                <w:color w:val="000000" w:themeColor="text1"/>
                <w:sz w:val="20"/>
                <w:szCs w:val="20"/>
              </w:rPr>
            </w:pPr>
            <w:r w:rsidRPr="00DB7A43">
              <w:rPr>
                <w:rFonts w:ascii="Times New Roman" w:hAnsi="Times New Roman"/>
                <w:color w:val="000000" w:themeColor="text1"/>
                <w:sz w:val="20"/>
                <w:szCs w:val="20"/>
              </w:rPr>
              <w:t>6990.04</w:t>
            </w:r>
          </w:p>
        </w:tc>
      </w:tr>
      <w:tr w:rsidR="003D03A3" w:rsidRPr="00DB7A43" w14:paraId="77DECAFF" w14:textId="77777777" w:rsidTr="00752DF8">
        <w:tc>
          <w:tcPr>
            <w:tcW w:w="1576" w:type="pct"/>
            <w:tcBorders>
              <w:top w:val="nil"/>
              <w:left w:val="nil"/>
              <w:bottom w:val="single" w:sz="4" w:space="0" w:color="auto"/>
              <w:right w:val="nil"/>
            </w:tcBorders>
          </w:tcPr>
          <w:p w14:paraId="567E39B8" w14:textId="77777777" w:rsidR="003D03A3" w:rsidRPr="00DB7A43" w:rsidRDefault="003D03A3" w:rsidP="00752DF8">
            <w:pPr>
              <w:rPr>
                <w:rFonts w:ascii="Times New Roman" w:hAnsi="Times New Roman"/>
                <w:color w:val="000000" w:themeColor="text1"/>
                <w:sz w:val="20"/>
                <w:szCs w:val="20"/>
              </w:rPr>
            </w:pPr>
          </w:p>
        </w:tc>
        <w:tc>
          <w:tcPr>
            <w:tcW w:w="293" w:type="pct"/>
            <w:tcBorders>
              <w:top w:val="nil"/>
              <w:left w:val="nil"/>
              <w:bottom w:val="single" w:sz="4" w:space="0" w:color="auto"/>
              <w:right w:val="nil"/>
            </w:tcBorders>
          </w:tcPr>
          <w:p w14:paraId="4379244E"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single" w:sz="4" w:space="0" w:color="auto"/>
              <w:right w:val="nil"/>
            </w:tcBorders>
          </w:tcPr>
          <w:p w14:paraId="1972A3B9"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single" w:sz="4" w:space="0" w:color="auto"/>
              <w:right w:val="nil"/>
            </w:tcBorders>
          </w:tcPr>
          <w:p w14:paraId="5DFFAC73" w14:textId="77777777" w:rsidR="003D03A3" w:rsidRPr="00DB7A43" w:rsidRDefault="003D03A3" w:rsidP="00752DF8">
            <w:pPr>
              <w:jc w:val="center"/>
              <w:rPr>
                <w:rFonts w:ascii="Times New Roman" w:hAnsi="Times New Roman"/>
                <w:color w:val="000000" w:themeColor="text1"/>
                <w:sz w:val="20"/>
                <w:szCs w:val="20"/>
              </w:rPr>
            </w:pPr>
          </w:p>
        </w:tc>
        <w:tc>
          <w:tcPr>
            <w:tcW w:w="293" w:type="pct"/>
            <w:tcBorders>
              <w:top w:val="nil"/>
              <w:left w:val="nil"/>
              <w:bottom w:val="single" w:sz="4" w:space="0" w:color="auto"/>
              <w:right w:val="nil"/>
            </w:tcBorders>
          </w:tcPr>
          <w:p w14:paraId="3487931E" w14:textId="77777777" w:rsidR="003D03A3" w:rsidRPr="00DB7A43" w:rsidRDefault="003D03A3" w:rsidP="00752DF8">
            <w:pPr>
              <w:jc w:val="center"/>
              <w:rPr>
                <w:rFonts w:ascii="Times New Roman" w:hAnsi="Times New Roman"/>
                <w:color w:val="000000" w:themeColor="text1"/>
                <w:sz w:val="20"/>
                <w:szCs w:val="20"/>
              </w:rPr>
            </w:pPr>
          </w:p>
        </w:tc>
        <w:tc>
          <w:tcPr>
            <w:tcW w:w="590" w:type="pct"/>
            <w:tcBorders>
              <w:top w:val="nil"/>
              <w:left w:val="nil"/>
              <w:bottom w:val="single" w:sz="4" w:space="0" w:color="auto"/>
              <w:right w:val="nil"/>
            </w:tcBorders>
          </w:tcPr>
          <w:p w14:paraId="5023A97C"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single" w:sz="4" w:space="0" w:color="auto"/>
              <w:right w:val="nil"/>
            </w:tcBorders>
          </w:tcPr>
          <w:p w14:paraId="0329CDBF"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single" w:sz="4" w:space="0" w:color="auto"/>
              <w:right w:val="nil"/>
            </w:tcBorders>
          </w:tcPr>
          <w:p w14:paraId="75C6C7BD"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single" w:sz="4" w:space="0" w:color="auto"/>
              <w:right w:val="nil"/>
            </w:tcBorders>
          </w:tcPr>
          <w:p w14:paraId="65E99612" w14:textId="77777777" w:rsidR="003D03A3" w:rsidRPr="00DB7A43" w:rsidRDefault="003D03A3" w:rsidP="00752DF8">
            <w:pPr>
              <w:jc w:val="center"/>
              <w:rPr>
                <w:rFonts w:ascii="Times New Roman" w:hAnsi="Times New Roman"/>
                <w:color w:val="000000" w:themeColor="text1"/>
                <w:sz w:val="20"/>
                <w:szCs w:val="20"/>
              </w:rPr>
            </w:pPr>
          </w:p>
        </w:tc>
        <w:tc>
          <w:tcPr>
            <w:tcW w:w="37" w:type="pct"/>
            <w:tcBorders>
              <w:top w:val="nil"/>
              <w:left w:val="nil"/>
              <w:bottom w:val="single" w:sz="4" w:space="0" w:color="auto"/>
              <w:right w:val="nil"/>
            </w:tcBorders>
          </w:tcPr>
          <w:p w14:paraId="4D2F1D69" w14:textId="77777777" w:rsidR="003D03A3" w:rsidRPr="00DB7A43" w:rsidRDefault="003D03A3" w:rsidP="00752DF8">
            <w:pPr>
              <w:jc w:val="center"/>
              <w:rPr>
                <w:rFonts w:ascii="Times New Roman" w:hAnsi="Times New Roman"/>
                <w:color w:val="000000" w:themeColor="text1"/>
                <w:sz w:val="20"/>
                <w:szCs w:val="20"/>
              </w:rPr>
            </w:pPr>
          </w:p>
        </w:tc>
        <w:tc>
          <w:tcPr>
            <w:tcW w:w="235" w:type="pct"/>
            <w:tcBorders>
              <w:top w:val="nil"/>
              <w:left w:val="nil"/>
              <w:bottom w:val="single" w:sz="4" w:space="0" w:color="auto"/>
              <w:right w:val="nil"/>
            </w:tcBorders>
          </w:tcPr>
          <w:p w14:paraId="23881C10" w14:textId="77777777" w:rsidR="003D03A3" w:rsidRPr="00DB7A43" w:rsidRDefault="003D03A3" w:rsidP="00752DF8">
            <w:pPr>
              <w:jc w:val="center"/>
              <w:rPr>
                <w:rFonts w:ascii="Times New Roman" w:hAnsi="Times New Roman"/>
                <w:color w:val="000000" w:themeColor="text1"/>
                <w:sz w:val="20"/>
                <w:szCs w:val="20"/>
              </w:rPr>
            </w:pPr>
          </w:p>
        </w:tc>
        <w:tc>
          <w:tcPr>
            <w:tcW w:w="539" w:type="pct"/>
            <w:tcBorders>
              <w:top w:val="nil"/>
              <w:left w:val="nil"/>
              <w:bottom w:val="single" w:sz="4" w:space="0" w:color="auto"/>
              <w:right w:val="nil"/>
            </w:tcBorders>
          </w:tcPr>
          <w:p w14:paraId="37A96043" w14:textId="77777777" w:rsidR="003D03A3" w:rsidRPr="00DB7A43" w:rsidRDefault="003D03A3" w:rsidP="00752DF8">
            <w:pPr>
              <w:jc w:val="center"/>
              <w:rPr>
                <w:rFonts w:ascii="Times New Roman" w:hAnsi="Times New Roman"/>
                <w:color w:val="000000" w:themeColor="text1"/>
                <w:sz w:val="20"/>
                <w:szCs w:val="20"/>
              </w:rPr>
            </w:pPr>
          </w:p>
        </w:tc>
      </w:tr>
    </w:tbl>
    <w:p w14:paraId="391E7E9D" w14:textId="77777777" w:rsidR="003D03A3" w:rsidRPr="00DB7A43" w:rsidRDefault="003D03A3" w:rsidP="003D03A3">
      <w:pPr>
        <w:rPr>
          <w:rFonts w:ascii="Times New Roman" w:hAnsi="Times New Roman"/>
          <w:color w:val="000000" w:themeColor="text1"/>
        </w:rPr>
      </w:pPr>
    </w:p>
    <w:p w14:paraId="61EC2F1D" w14:textId="77777777" w:rsidR="003D03A3" w:rsidRPr="00DB7A43" w:rsidRDefault="003D03A3" w:rsidP="003D03A3">
      <w:pPr>
        <w:spacing w:line="276" w:lineRule="auto"/>
        <w:rPr>
          <w:rFonts w:ascii="Times New Roman" w:hAnsi="Times New Roman"/>
          <w:color w:val="000000" w:themeColor="text1"/>
        </w:rPr>
      </w:pPr>
      <w:r w:rsidRPr="00DB7A43">
        <w:rPr>
          <w:rFonts w:ascii="Times New Roman" w:hAnsi="Times New Roman"/>
          <w:color w:val="000000" w:themeColor="text1"/>
        </w:rPr>
        <w:t>Abbreviations: HR – hazard ratio, CI – profile likelihood based confidence interval</w:t>
      </w:r>
    </w:p>
    <w:p w14:paraId="3CD862D2" w14:textId="77777777" w:rsidR="003D03A3" w:rsidRPr="00DB7A43" w:rsidRDefault="003D03A3" w:rsidP="003D03A3">
      <w:pPr>
        <w:spacing w:line="276" w:lineRule="auto"/>
        <w:rPr>
          <w:rFonts w:ascii="Times New Roman" w:hAnsi="Times New Roman"/>
          <w:color w:val="000000" w:themeColor="text1"/>
        </w:rPr>
      </w:pPr>
    </w:p>
    <w:p w14:paraId="5453F2B9" w14:textId="77777777" w:rsidR="003D03A3" w:rsidRDefault="003D03A3" w:rsidP="003D03A3">
      <w:pPr>
        <w:spacing w:line="276" w:lineRule="auto"/>
        <w:ind w:left="360" w:hanging="360"/>
        <w:rPr>
          <w:rFonts w:ascii="Times New Roman" w:hAnsi="Times New Roman"/>
          <w:color w:val="000000" w:themeColor="text1"/>
        </w:rPr>
      </w:pPr>
      <w:r w:rsidRPr="00DB7A43">
        <w:rPr>
          <w:rFonts w:ascii="Times New Roman" w:hAnsi="Times New Roman"/>
          <w:color w:val="000000" w:themeColor="text1"/>
          <w:vertAlign w:val="superscript"/>
        </w:rPr>
        <w:t>1</w:t>
      </w:r>
      <w:r w:rsidRPr="00DB7A43">
        <w:rPr>
          <w:rFonts w:ascii="Times New Roman" w:hAnsi="Times New Roman"/>
          <w:color w:val="000000" w:themeColor="text1"/>
        </w:rPr>
        <w:tab/>
        <w:t xml:space="preserve">For all models, controls were matched to cases within risk sets on race in addition to attained age and all eligible controls were included. Cumulative exposure (lagged by 20 years) was evaluated within risk sets at the case’s failure age and treated as a continuous variable in models 1 and 2 and as a categorical variable in models 3 and 4. The effect of cumulative exposure is adjusted for age at diagnosis in models 1 and 3 and for age at diagnosis and calendar year in models 2 and 4. </w:t>
      </w:r>
    </w:p>
    <w:p w14:paraId="33937448" w14:textId="77777777" w:rsidR="003D03A3" w:rsidRDefault="003D03A3">
      <w:pPr>
        <w:spacing w:after="200" w:line="276" w:lineRule="auto"/>
        <w:rPr>
          <w:rFonts w:ascii="Times New Roman" w:hAnsi="Times New Roman"/>
          <w:b/>
        </w:rPr>
      </w:pPr>
      <w:r>
        <w:rPr>
          <w:rFonts w:ascii="Times New Roman" w:hAnsi="Times New Roman"/>
          <w:b/>
        </w:rPr>
        <w:br w:type="page"/>
      </w:r>
    </w:p>
    <w:p w14:paraId="3AE0B62A" w14:textId="10DDCB24" w:rsidR="00D15BEA" w:rsidRPr="008B2AB3" w:rsidRDefault="008F1530" w:rsidP="00D15BEA">
      <w:pPr>
        <w:spacing w:after="200" w:line="276" w:lineRule="auto"/>
        <w:rPr>
          <w:rFonts w:ascii="Times New Roman" w:hAnsi="Times New Roman"/>
          <w:b/>
        </w:rPr>
      </w:pPr>
      <w:r w:rsidRPr="008B2AB3">
        <w:rPr>
          <w:rFonts w:ascii="Times New Roman" w:hAnsi="Times New Roman"/>
          <w:b/>
        </w:rPr>
        <w:lastRenderedPageBreak/>
        <w:t>SUPPLEMENTAL REFERENCES</w:t>
      </w:r>
    </w:p>
    <w:p w14:paraId="77A09EC5" w14:textId="77777777" w:rsidR="00CC7066" w:rsidRPr="008B2AB3" w:rsidRDefault="00CC7066" w:rsidP="00752DF8">
      <w:pPr>
        <w:pStyle w:val="EndNoteBibliography"/>
        <w:rPr>
          <w:rFonts w:ascii="Times New Roman" w:hAnsi="Times New Roman"/>
        </w:rPr>
      </w:pPr>
      <w:r w:rsidRPr="008B2AB3">
        <w:rPr>
          <w:rFonts w:ascii="Times New Roman" w:hAnsi="Times New Roman"/>
        </w:rPr>
        <w:fldChar w:fldCharType="begin"/>
      </w:r>
      <w:r w:rsidRPr="008B2AB3">
        <w:rPr>
          <w:rFonts w:ascii="Times New Roman" w:hAnsi="Times New Roman"/>
        </w:rPr>
        <w:instrText xml:space="preserve"> ADDIN EN.REFLIST </w:instrText>
      </w:r>
      <w:r w:rsidRPr="008B2AB3">
        <w:rPr>
          <w:rFonts w:ascii="Times New Roman" w:hAnsi="Times New Roman"/>
        </w:rPr>
        <w:fldChar w:fldCharType="separate"/>
      </w:r>
      <w:r w:rsidRPr="008B2AB3">
        <w:rPr>
          <w:rFonts w:ascii="Times New Roman" w:hAnsi="Times New Roman"/>
        </w:rPr>
        <w:t>Agalliu I, Kriebel D, Quinn MM, Wegman DH, Eisen EA. 2005. Prostate cancer incidence in relation to time windows of exposure to metalworking fluids in the auto industry. Epidemiology 16(5):664-71.</w:t>
      </w:r>
    </w:p>
    <w:p w14:paraId="67F7D5E3" w14:textId="77777777" w:rsidR="008671A2" w:rsidRPr="008B2AB3" w:rsidRDefault="008671A2" w:rsidP="00752DF8">
      <w:pPr>
        <w:pStyle w:val="EndNoteBibliography"/>
        <w:rPr>
          <w:rFonts w:ascii="Times New Roman" w:hAnsi="Times New Roman"/>
        </w:rPr>
      </w:pPr>
    </w:p>
    <w:p w14:paraId="29D55C14" w14:textId="77777777" w:rsidR="00CC7066" w:rsidRPr="008B2AB3" w:rsidRDefault="00CC7066" w:rsidP="00752DF8">
      <w:pPr>
        <w:pStyle w:val="EndNoteBibliography"/>
        <w:rPr>
          <w:rFonts w:ascii="Times New Roman" w:hAnsi="Times New Roman"/>
        </w:rPr>
      </w:pPr>
      <w:r w:rsidRPr="008B2AB3">
        <w:rPr>
          <w:rFonts w:ascii="Times New Roman" w:hAnsi="Times New Roman"/>
        </w:rPr>
        <w:t>American Cancer Society. 2012. Chronological history of ACS recommendations for the early detection</w:t>
      </w:r>
      <w:r w:rsidR="008671A2" w:rsidRPr="008B2AB3">
        <w:rPr>
          <w:rFonts w:ascii="Times New Roman" w:hAnsi="Times New Roman"/>
        </w:rPr>
        <w:t xml:space="preserve"> </w:t>
      </w:r>
      <w:r w:rsidRPr="008B2AB3">
        <w:rPr>
          <w:rFonts w:ascii="Times New Roman" w:hAnsi="Times New Roman"/>
        </w:rPr>
        <w:t>of cancer in asymptomatic people.</w:t>
      </w:r>
    </w:p>
    <w:p w14:paraId="793A3358" w14:textId="77777777" w:rsidR="008671A2" w:rsidRPr="008B2AB3" w:rsidRDefault="008671A2" w:rsidP="00752DF8">
      <w:pPr>
        <w:pStyle w:val="EndNoteBibliography"/>
        <w:rPr>
          <w:rFonts w:ascii="Times New Roman" w:hAnsi="Times New Roman"/>
        </w:rPr>
      </w:pPr>
    </w:p>
    <w:p w14:paraId="48D0AD21" w14:textId="77777777" w:rsidR="00CC7066" w:rsidRPr="008B2AB3" w:rsidRDefault="00CC7066" w:rsidP="00752DF8">
      <w:pPr>
        <w:pStyle w:val="EndNoteBibliography"/>
        <w:rPr>
          <w:rFonts w:ascii="Times New Roman" w:hAnsi="Times New Roman"/>
        </w:rPr>
      </w:pPr>
      <w:r w:rsidRPr="008B2AB3">
        <w:rPr>
          <w:rFonts w:ascii="Times New Roman" w:hAnsi="Times New Roman"/>
        </w:rPr>
        <w:t>Antonarakis ES, Blackford AL, Garrett-Mayer E, Eisenberger MA. 2007. Survival in men with nonmetastatic prostate cancer treated with hormone therapy: a quantitative systematic review. J Clin Oncol 25(31):4998-5008.</w:t>
      </w:r>
    </w:p>
    <w:p w14:paraId="088EB611" w14:textId="77777777" w:rsidR="008671A2" w:rsidRPr="008B2AB3" w:rsidRDefault="008671A2" w:rsidP="00CC7066">
      <w:pPr>
        <w:pStyle w:val="EndNoteBibliography"/>
        <w:ind w:left="720" w:hanging="720"/>
        <w:rPr>
          <w:rFonts w:ascii="Times New Roman" w:hAnsi="Times New Roman"/>
        </w:rPr>
      </w:pPr>
    </w:p>
    <w:p w14:paraId="65EB4CF1" w14:textId="77777777" w:rsidR="00CC7066" w:rsidRPr="008B2AB3" w:rsidRDefault="00CC7066" w:rsidP="00CC7066">
      <w:pPr>
        <w:pStyle w:val="EndNoteBibliography"/>
        <w:ind w:left="720" w:hanging="720"/>
        <w:rPr>
          <w:rFonts w:ascii="Times New Roman" w:hAnsi="Times New Roman"/>
        </w:rPr>
      </w:pPr>
      <w:r w:rsidRPr="008B2AB3">
        <w:rPr>
          <w:rFonts w:ascii="Times New Roman" w:hAnsi="Times New Roman"/>
        </w:rPr>
        <w:t>Armstrong BG. 1995. Comparing standardized mortality ratios. Ann Epidemiol 5(1):60-4.</w:t>
      </w:r>
    </w:p>
    <w:p w14:paraId="0EF39E2F" w14:textId="77777777" w:rsidR="008671A2" w:rsidRPr="008B2AB3" w:rsidRDefault="008671A2" w:rsidP="00752DF8">
      <w:pPr>
        <w:pStyle w:val="EndNoteBibliography"/>
        <w:rPr>
          <w:rFonts w:ascii="Times New Roman" w:hAnsi="Times New Roman"/>
        </w:rPr>
      </w:pPr>
    </w:p>
    <w:p w14:paraId="33082261" w14:textId="77777777" w:rsidR="00CC7066" w:rsidRPr="008B2AB3" w:rsidRDefault="00CC7066" w:rsidP="00752DF8">
      <w:pPr>
        <w:pStyle w:val="EndNoteBibliography"/>
        <w:rPr>
          <w:rFonts w:ascii="Times New Roman" w:hAnsi="Times New Roman"/>
        </w:rPr>
      </w:pPr>
      <w:r w:rsidRPr="008B2AB3">
        <w:rPr>
          <w:rFonts w:ascii="Times New Roman" w:hAnsi="Times New Roman"/>
        </w:rPr>
        <w:t>Bender TJ, Beall C, Cheng H, Herrick RF, Kahn AR, Matthews R, Sathiakumar N, Schymura MJ, Stewart JH, Delzell E. 2006. Methodologic issues in follow-up studies of cancer incidence among occupational groups in the United States. Ann Epidemiol 16(3):170-9.</w:t>
      </w:r>
    </w:p>
    <w:p w14:paraId="5A1BAAA5" w14:textId="77777777" w:rsidR="008671A2" w:rsidRPr="008B2AB3" w:rsidRDefault="008671A2" w:rsidP="00752DF8">
      <w:pPr>
        <w:pStyle w:val="EndNoteBibliography"/>
        <w:rPr>
          <w:rFonts w:ascii="Times New Roman" w:hAnsi="Times New Roman"/>
        </w:rPr>
      </w:pPr>
    </w:p>
    <w:p w14:paraId="726E59C0" w14:textId="77777777" w:rsidR="00CC7066" w:rsidRPr="008B2AB3" w:rsidRDefault="00CC7066" w:rsidP="00752DF8">
      <w:pPr>
        <w:pStyle w:val="EndNoteBibliography"/>
        <w:rPr>
          <w:rFonts w:ascii="Times New Roman" w:hAnsi="Times New Roman"/>
        </w:rPr>
      </w:pPr>
      <w:r w:rsidRPr="008B2AB3">
        <w:rPr>
          <w:rFonts w:ascii="Times New Roman" w:hAnsi="Times New Roman"/>
        </w:rPr>
        <w:t>Bender TJ, Beall C, Cheng H, Herrick RF, Kahn AR, Matthews R, Sathiakumar N, Schymura MJ, Stewart JH, Delzell E. 2007. Cancer incidence among semiconductor and electronic storage device workers. Occup Environ Med 64(1):30-6.</w:t>
      </w:r>
    </w:p>
    <w:p w14:paraId="0E76047A" w14:textId="77777777" w:rsidR="008671A2" w:rsidRPr="008B2AB3" w:rsidRDefault="008671A2" w:rsidP="00752DF8">
      <w:pPr>
        <w:pStyle w:val="EndNoteBibliography"/>
        <w:rPr>
          <w:rFonts w:ascii="Times New Roman" w:hAnsi="Times New Roman"/>
        </w:rPr>
      </w:pPr>
    </w:p>
    <w:p w14:paraId="60967B2F" w14:textId="77777777" w:rsidR="00CC7066" w:rsidRPr="008B2AB3" w:rsidRDefault="00CC7066" w:rsidP="00752DF8">
      <w:pPr>
        <w:pStyle w:val="EndNoteBibliography"/>
        <w:rPr>
          <w:rFonts w:ascii="Times New Roman" w:hAnsi="Times New Roman"/>
        </w:rPr>
      </w:pPr>
      <w:r w:rsidRPr="008B2AB3">
        <w:rPr>
          <w:rFonts w:ascii="Times New Roman" w:hAnsi="Times New Roman"/>
        </w:rPr>
        <w:t>Etzioni R, Legler JM, Feuer EJ, Merrill RM, Cronin KA, Hankey BF. 1999. Cancer surveillance series: interpreting trends in prostate cancer--part III: Quantifying the link between population prostate-specific antigen testing and recent declines in prostate cancer mortality. J Natl Cancer Inst 91(12):1033-9.</w:t>
      </w:r>
    </w:p>
    <w:p w14:paraId="0800A321" w14:textId="77777777" w:rsidR="008671A2" w:rsidRPr="008B2AB3" w:rsidRDefault="008671A2" w:rsidP="00752DF8">
      <w:pPr>
        <w:pStyle w:val="EndNoteBibliography"/>
        <w:rPr>
          <w:rFonts w:ascii="Times New Roman" w:hAnsi="Times New Roman"/>
        </w:rPr>
      </w:pPr>
    </w:p>
    <w:p w14:paraId="1B7ECF6E" w14:textId="77777777" w:rsidR="00CC7066" w:rsidRPr="008B2AB3" w:rsidRDefault="00CC7066" w:rsidP="00752DF8">
      <w:pPr>
        <w:pStyle w:val="EndNoteBibliography"/>
        <w:rPr>
          <w:rFonts w:ascii="Times New Roman" w:hAnsi="Times New Roman"/>
        </w:rPr>
      </w:pPr>
      <w:r w:rsidRPr="008B2AB3">
        <w:rPr>
          <w:rFonts w:ascii="Times New Roman" w:hAnsi="Times New Roman"/>
        </w:rPr>
        <w:t>Prince MM, Ruder AM, Hein MJ, Waters MA, Whelan EA, Nilsen N, Ward EM, Schnorr TM, Laber PA, Davis-King KE. 2006. Mortality and exposure response among 14,458 electrical capacitor manufacturing workers exposed to polychlorinated biphenyls (PCBs). Environ Health Perspect 114(10):1508-1514.</w:t>
      </w:r>
    </w:p>
    <w:p w14:paraId="6AE86967" w14:textId="77777777" w:rsidR="008671A2" w:rsidRPr="008B2AB3" w:rsidRDefault="008671A2" w:rsidP="00752DF8">
      <w:pPr>
        <w:pStyle w:val="EndNoteBibliography"/>
        <w:rPr>
          <w:rFonts w:ascii="Times New Roman" w:hAnsi="Times New Roman"/>
        </w:rPr>
      </w:pPr>
    </w:p>
    <w:p w14:paraId="71208854" w14:textId="77777777" w:rsidR="00CC7066" w:rsidRPr="008B2AB3" w:rsidRDefault="00CC7066" w:rsidP="00752DF8">
      <w:pPr>
        <w:pStyle w:val="EndNoteBibliography"/>
        <w:rPr>
          <w:rFonts w:ascii="Times New Roman" w:hAnsi="Times New Roman"/>
        </w:rPr>
      </w:pPr>
      <w:r w:rsidRPr="008B2AB3">
        <w:rPr>
          <w:rFonts w:ascii="Times New Roman" w:hAnsi="Times New Roman"/>
        </w:rPr>
        <w:t>Rothman KJ. 1986. Modern Epidemiology. Boston, MA: Little, Brown and Company.</w:t>
      </w:r>
    </w:p>
    <w:p w14:paraId="081AFEB9" w14:textId="77777777" w:rsidR="008671A2" w:rsidRPr="008B2AB3" w:rsidRDefault="008671A2" w:rsidP="00752DF8">
      <w:pPr>
        <w:pStyle w:val="EndNoteBibliography"/>
        <w:rPr>
          <w:rFonts w:ascii="Times New Roman" w:hAnsi="Times New Roman"/>
        </w:rPr>
      </w:pPr>
    </w:p>
    <w:p w14:paraId="0EAAAA98" w14:textId="77777777" w:rsidR="00CC7066" w:rsidRPr="008B2AB3" w:rsidRDefault="00CC7066" w:rsidP="00752DF8">
      <w:pPr>
        <w:pStyle w:val="EndNoteBibliography"/>
        <w:rPr>
          <w:rFonts w:ascii="Times New Roman" w:hAnsi="Times New Roman"/>
        </w:rPr>
      </w:pPr>
      <w:r w:rsidRPr="008B2AB3">
        <w:rPr>
          <w:rFonts w:ascii="Times New Roman" w:hAnsi="Times New Roman"/>
        </w:rPr>
        <w:t>Rothman KJ, Greenland S. 1998. Modern Epidemiology. Philadelphia, PA: Lippincott.</w:t>
      </w:r>
    </w:p>
    <w:p w14:paraId="445F4337" w14:textId="77777777" w:rsidR="008671A2" w:rsidRPr="008B2AB3" w:rsidRDefault="008671A2" w:rsidP="00752DF8">
      <w:pPr>
        <w:pStyle w:val="EndNoteBibliography"/>
        <w:rPr>
          <w:rFonts w:ascii="Times New Roman" w:hAnsi="Times New Roman"/>
        </w:rPr>
      </w:pPr>
    </w:p>
    <w:p w14:paraId="15A25F16" w14:textId="77777777" w:rsidR="00CC7066" w:rsidRPr="008B2AB3" w:rsidRDefault="00CC7066" w:rsidP="00752DF8">
      <w:pPr>
        <w:pStyle w:val="EndNoteBibliography"/>
        <w:rPr>
          <w:rFonts w:ascii="Times New Roman" w:hAnsi="Times New Roman"/>
        </w:rPr>
      </w:pPr>
      <w:r w:rsidRPr="008B2AB3">
        <w:rPr>
          <w:rFonts w:ascii="Times New Roman" w:hAnsi="Times New Roman"/>
        </w:rPr>
        <w:t>Ruder AM, Hein MJ, Hopf NB, Waters MA. 2014. Mortality among 24,865 workers exposed to polychlorinated biphenyls (PCBs) in three electrical capacitor manufacturing plants:  A ten-year update. Int J Hyg Environ Health 217(2-3):176-187.</w:t>
      </w:r>
    </w:p>
    <w:p w14:paraId="11269B1F" w14:textId="77777777" w:rsidR="008671A2" w:rsidRPr="008B2AB3" w:rsidRDefault="008671A2" w:rsidP="00752DF8">
      <w:pPr>
        <w:pStyle w:val="EndNoteBibliography"/>
        <w:rPr>
          <w:rFonts w:ascii="Times New Roman" w:hAnsi="Times New Roman"/>
        </w:rPr>
      </w:pPr>
    </w:p>
    <w:p w14:paraId="1119BCB8" w14:textId="77777777" w:rsidR="00CC7066" w:rsidRPr="008B2AB3" w:rsidRDefault="00CC7066" w:rsidP="00752DF8">
      <w:pPr>
        <w:pStyle w:val="EndNoteBibliography"/>
        <w:rPr>
          <w:rFonts w:ascii="Times New Roman" w:hAnsi="Times New Roman"/>
        </w:rPr>
      </w:pPr>
      <w:r w:rsidRPr="008B2AB3">
        <w:rPr>
          <w:rFonts w:ascii="Times New Roman" w:hAnsi="Times New Roman"/>
        </w:rPr>
        <w:t>Ruder AM, Hein MJ, Nilsen N, Waters MA, Laber P, Davis-King K, Prince MM, Whelan E. 2006. Mortality among workers exposed to polychlorinated biphenyls (PCBs) in an electrical capacitor manufacturing plant in Indiana: an update. Environ Health Perspect 114(1):18-23.</w:t>
      </w:r>
    </w:p>
    <w:p w14:paraId="2369AB1F" w14:textId="77777777" w:rsidR="008671A2" w:rsidRPr="008B2AB3" w:rsidRDefault="008671A2" w:rsidP="00752DF8">
      <w:pPr>
        <w:pStyle w:val="EndNoteBibliography"/>
        <w:rPr>
          <w:rFonts w:ascii="Times New Roman" w:hAnsi="Times New Roman"/>
        </w:rPr>
      </w:pPr>
    </w:p>
    <w:p w14:paraId="27D69AA8" w14:textId="77777777" w:rsidR="00CC7066" w:rsidRPr="008B2AB3" w:rsidRDefault="00CC7066" w:rsidP="00752DF8">
      <w:pPr>
        <w:pStyle w:val="EndNoteBibliography"/>
        <w:rPr>
          <w:rFonts w:ascii="Times New Roman" w:hAnsi="Times New Roman"/>
        </w:rPr>
      </w:pPr>
      <w:r w:rsidRPr="008B2AB3">
        <w:rPr>
          <w:rFonts w:ascii="Times New Roman" w:hAnsi="Times New Roman"/>
        </w:rPr>
        <w:t>Silver SR, Whelan EA, Deddens JA, Steenland NK, Hopf NB, Waters MA, Ruder AM, Prince MM, Yong LC, Hein MJ and others. 2009. Occupational exposure to polychlorinated biphenyls and risk of breast cancer Environ Health Perspect 117(2):276-82.</w:t>
      </w:r>
    </w:p>
    <w:p w14:paraId="6EF7E310" w14:textId="77777777" w:rsidR="00DC57CC" w:rsidRPr="008B2AB3" w:rsidRDefault="00CC7066" w:rsidP="00CC7066">
      <w:pPr>
        <w:spacing w:after="200" w:line="276" w:lineRule="auto"/>
        <w:rPr>
          <w:rFonts w:ascii="Times New Roman" w:hAnsi="Times New Roman"/>
        </w:rPr>
      </w:pPr>
      <w:r w:rsidRPr="008B2AB3">
        <w:rPr>
          <w:rFonts w:ascii="Times New Roman" w:hAnsi="Times New Roman"/>
        </w:rPr>
        <w:fldChar w:fldCharType="end"/>
      </w:r>
    </w:p>
    <w:sectPr w:rsidR="00DC57CC" w:rsidRPr="008B2AB3"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1AFC" w14:textId="77777777" w:rsidR="00153956" w:rsidRDefault="00153956" w:rsidP="008B5D54">
      <w:r>
        <w:separator/>
      </w:r>
    </w:p>
  </w:endnote>
  <w:endnote w:type="continuationSeparator" w:id="0">
    <w:p w14:paraId="21028025" w14:textId="77777777" w:rsidR="00153956" w:rsidRDefault="0015395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51036"/>
      <w:docPartObj>
        <w:docPartGallery w:val="Page Numbers (Bottom of Page)"/>
        <w:docPartUnique/>
      </w:docPartObj>
    </w:sdtPr>
    <w:sdtEndPr>
      <w:rPr>
        <w:noProof/>
      </w:rPr>
    </w:sdtEndPr>
    <w:sdtContent>
      <w:p w14:paraId="6A4A05BB" w14:textId="77777777" w:rsidR="00153956" w:rsidRDefault="00153956">
        <w:pPr>
          <w:pStyle w:val="Footer"/>
          <w:jc w:val="center"/>
        </w:pPr>
        <w:r>
          <w:fldChar w:fldCharType="begin"/>
        </w:r>
        <w:r>
          <w:instrText xml:space="preserve"> PAGE   \* MERGEFORMAT </w:instrText>
        </w:r>
        <w:r>
          <w:fldChar w:fldCharType="separate"/>
        </w:r>
        <w:r w:rsidR="000E38CD">
          <w:rPr>
            <w:noProof/>
          </w:rPr>
          <w:t>16</w:t>
        </w:r>
        <w:r>
          <w:rPr>
            <w:noProof/>
          </w:rPr>
          <w:fldChar w:fldCharType="end"/>
        </w:r>
      </w:p>
    </w:sdtContent>
  </w:sdt>
  <w:p w14:paraId="34CABAAA" w14:textId="77777777" w:rsidR="00153956" w:rsidRDefault="0015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04D3" w14:textId="77777777" w:rsidR="00153956" w:rsidRDefault="00153956" w:rsidP="008B5D54">
      <w:r>
        <w:separator/>
      </w:r>
    </w:p>
  </w:footnote>
  <w:footnote w:type="continuationSeparator" w:id="0">
    <w:p w14:paraId="315161E2" w14:textId="77777777" w:rsidR="00153956" w:rsidRDefault="00153956"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693E" w14:textId="7E5036ED" w:rsidR="00153956" w:rsidRDefault="00153956">
    <w:pPr>
      <w:pStyle w:val="Header"/>
    </w:pPr>
    <w:r>
      <w:t>23 May 2016</w:t>
    </w:r>
  </w:p>
  <w:p w14:paraId="764BB5FC" w14:textId="77777777" w:rsidR="00153956" w:rsidRDefault="00153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777"/>
    <w:multiLevelType w:val="hybridMultilevel"/>
    <w:tmpl w:val="2EF6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35F9"/>
    <w:multiLevelType w:val="hybridMultilevel"/>
    <w:tmpl w:val="9DCE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621D3"/>
    <w:multiLevelType w:val="hybridMultilevel"/>
    <w:tmpl w:val="962CAD82"/>
    <w:lvl w:ilvl="0" w:tplc="FC481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278F3"/>
    <w:multiLevelType w:val="hybridMultilevel"/>
    <w:tmpl w:val="C8C251D0"/>
    <w:lvl w:ilvl="0" w:tplc="FC481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F0DD2"/>
    <w:multiLevelType w:val="hybridMultilevel"/>
    <w:tmpl w:val="82CC44A0"/>
    <w:lvl w:ilvl="0" w:tplc="337468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77655"/>
    <w:multiLevelType w:val="hybridMultilevel"/>
    <w:tmpl w:val="8542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77D4"/>
    <w:multiLevelType w:val="hybridMultilevel"/>
    <w:tmpl w:val="0F5A4E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35767"/>
    <w:multiLevelType w:val="hybridMultilevel"/>
    <w:tmpl w:val="C34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B0D13"/>
    <w:multiLevelType w:val="hybridMultilevel"/>
    <w:tmpl w:val="1A104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623A7"/>
    <w:multiLevelType w:val="hybridMultilevel"/>
    <w:tmpl w:val="E36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473A3"/>
    <w:multiLevelType w:val="hybridMultilevel"/>
    <w:tmpl w:val="CC0E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1296F"/>
    <w:multiLevelType w:val="hybridMultilevel"/>
    <w:tmpl w:val="7664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880323"/>
    <w:multiLevelType w:val="hybridMultilevel"/>
    <w:tmpl w:val="EC20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6081A"/>
    <w:multiLevelType w:val="hybridMultilevel"/>
    <w:tmpl w:val="F91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5116A"/>
    <w:multiLevelType w:val="hybridMultilevel"/>
    <w:tmpl w:val="A5589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D769E5"/>
    <w:multiLevelType w:val="hybridMultilevel"/>
    <w:tmpl w:val="A9D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FE4435"/>
    <w:multiLevelType w:val="hybridMultilevel"/>
    <w:tmpl w:val="AFC0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971B5B"/>
    <w:multiLevelType w:val="hybridMultilevel"/>
    <w:tmpl w:val="4210BD7E"/>
    <w:lvl w:ilvl="0" w:tplc="FC481E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C09C5"/>
    <w:multiLevelType w:val="hybridMultilevel"/>
    <w:tmpl w:val="ABB2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4"/>
  </w:num>
  <w:num w:numId="5">
    <w:abstractNumId w:val="0"/>
  </w:num>
  <w:num w:numId="6">
    <w:abstractNumId w:val="12"/>
  </w:num>
  <w:num w:numId="7">
    <w:abstractNumId w:val="16"/>
  </w:num>
  <w:num w:numId="8">
    <w:abstractNumId w:val="4"/>
  </w:num>
  <w:num w:numId="9">
    <w:abstractNumId w:val="11"/>
  </w:num>
  <w:num w:numId="10">
    <w:abstractNumId w:val="10"/>
  </w:num>
  <w:num w:numId="11">
    <w:abstractNumId w:val="13"/>
  </w:num>
  <w:num w:numId="12">
    <w:abstractNumId w:val="1"/>
  </w:num>
  <w:num w:numId="13">
    <w:abstractNumId w:val="9"/>
  </w:num>
  <w:num w:numId="14">
    <w:abstractNumId w:val="5"/>
  </w:num>
  <w:num w:numId="15">
    <w:abstractNumId w:val="2"/>
  </w:num>
  <w:num w:numId="16">
    <w:abstractNumId w:val="17"/>
  </w:num>
  <w:num w:numId="17">
    <w:abstractNumId w:val="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Genetic Epidem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xzdrp9bfap0de5sp2psszd2vat05v9ea2p&quot;&gt;brainca-Saved2&lt;record-ids&gt;&lt;item&gt;5242&lt;/item&gt;&lt;item&gt;20160&lt;/item&gt;&lt;item&gt;24294&lt;/item&gt;&lt;item&gt;27021&lt;/item&gt;&lt;item&gt;28031&lt;/item&gt;&lt;item&gt;30440&lt;/item&gt;&lt;item&gt;31423&lt;/item&gt;&lt;item&gt;35701&lt;/item&gt;&lt;item&gt;39261&lt;/item&gt;&lt;item&gt;39385&lt;/item&gt;&lt;item&gt;40474&lt;/item&gt;&lt;item&gt;40665&lt;/item&gt;&lt;item&gt;40703&lt;/item&gt;&lt;/record-ids&gt;&lt;/item&gt;&lt;/Libraries&gt;"/>
  </w:docVars>
  <w:rsids>
    <w:rsidRoot w:val="00406AFE"/>
    <w:rsid w:val="000C09E0"/>
    <w:rsid w:val="000E38CD"/>
    <w:rsid w:val="000E588F"/>
    <w:rsid w:val="00153956"/>
    <w:rsid w:val="00164700"/>
    <w:rsid w:val="00172BF3"/>
    <w:rsid w:val="002D5DE0"/>
    <w:rsid w:val="0036555D"/>
    <w:rsid w:val="003933DA"/>
    <w:rsid w:val="003D03A3"/>
    <w:rsid w:val="00403002"/>
    <w:rsid w:val="00406AFE"/>
    <w:rsid w:val="004A0E77"/>
    <w:rsid w:val="004B44EB"/>
    <w:rsid w:val="004C2025"/>
    <w:rsid w:val="004E3F1B"/>
    <w:rsid w:val="0064439A"/>
    <w:rsid w:val="00651724"/>
    <w:rsid w:val="00675B9B"/>
    <w:rsid w:val="006C6578"/>
    <w:rsid w:val="00752DF8"/>
    <w:rsid w:val="00774EB7"/>
    <w:rsid w:val="007E0172"/>
    <w:rsid w:val="007F3FD0"/>
    <w:rsid w:val="008671A2"/>
    <w:rsid w:val="00876707"/>
    <w:rsid w:val="00897330"/>
    <w:rsid w:val="008B2AB3"/>
    <w:rsid w:val="008B5D54"/>
    <w:rsid w:val="008F1530"/>
    <w:rsid w:val="00944671"/>
    <w:rsid w:val="00A94120"/>
    <w:rsid w:val="00AB5E67"/>
    <w:rsid w:val="00B307CE"/>
    <w:rsid w:val="00B55735"/>
    <w:rsid w:val="00B608AC"/>
    <w:rsid w:val="00B809A4"/>
    <w:rsid w:val="00C174BF"/>
    <w:rsid w:val="00CC7066"/>
    <w:rsid w:val="00D11173"/>
    <w:rsid w:val="00D15BEA"/>
    <w:rsid w:val="00DC57CC"/>
    <w:rsid w:val="00E867DB"/>
    <w:rsid w:val="00EA158B"/>
    <w:rsid w:val="00EE61F1"/>
    <w:rsid w:val="00F766BC"/>
    <w:rsid w:val="00F9741B"/>
    <w:rsid w:val="00FB4618"/>
    <w:rsid w:val="00F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9D570E"/>
  <w15:docId w15:val="{2EB041F1-52AC-44C3-8445-900590F0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FE"/>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406A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06A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06A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06A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06A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06A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06AFE"/>
    <w:pPr>
      <w:spacing w:before="240" w:after="60"/>
      <w:outlineLvl w:val="6"/>
    </w:pPr>
  </w:style>
  <w:style w:type="paragraph" w:styleId="Heading8">
    <w:name w:val="heading 8"/>
    <w:basedOn w:val="Normal"/>
    <w:next w:val="Normal"/>
    <w:link w:val="Heading8Char"/>
    <w:uiPriority w:val="9"/>
    <w:semiHidden/>
    <w:unhideWhenUsed/>
    <w:qFormat/>
    <w:rsid w:val="00406AFE"/>
    <w:pPr>
      <w:spacing w:before="240" w:after="60"/>
      <w:outlineLvl w:val="7"/>
    </w:pPr>
    <w:rPr>
      <w:i/>
      <w:iCs/>
    </w:rPr>
  </w:style>
  <w:style w:type="paragraph" w:styleId="Heading9">
    <w:name w:val="heading 9"/>
    <w:basedOn w:val="Normal"/>
    <w:next w:val="Normal"/>
    <w:link w:val="Heading9Char"/>
    <w:uiPriority w:val="9"/>
    <w:semiHidden/>
    <w:unhideWhenUsed/>
    <w:qFormat/>
    <w:rsid w:val="00406A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406AFE"/>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406AFE"/>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406AFE"/>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406AFE"/>
    <w:rPr>
      <w:rFonts w:cs="Times New Roman"/>
      <w:b/>
      <w:bCs/>
      <w:sz w:val="28"/>
      <w:szCs w:val="28"/>
      <w:lang w:bidi="en-US"/>
    </w:rPr>
  </w:style>
  <w:style w:type="character" w:customStyle="1" w:styleId="Heading5Char">
    <w:name w:val="Heading 5 Char"/>
    <w:basedOn w:val="DefaultParagraphFont"/>
    <w:link w:val="Heading5"/>
    <w:uiPriority w:val="9"/>
    <w:semiHidden/>
    <w:rsid w:val="00406AFE"/>
    <w:rPr>
      <w:rFonts w:cs="Times New Roman"/>
      <w:b/>
      <w:bCs/>
      <w:i/>
      <w:iCs/>
      <w:sz w:val="26"/>
      <w:szCs w:val="26"/>
      <w:lang w:bidi="en-US"/>
    </w:rPr>
  </w:style>
  <w:style w:type="character" w:customStyle="1" w:styleId="Heading6Char">
    <w:name w:val="Heading 6 Char"/>
    <w:basedOn w:val="DefaultParagraphFont"/>
    <w:link w:val="Heading6"/>
    <w:uiPriority w:val="9"/>
    <w:semiHidden/>
    <w:rsid w:val="00406AFE"/>
    <w:rPr>
      <w:rFonts w:cs="Times New Roman"/>
      <w:b/>
      <w:bCs/>
      <w:lang w:bidi="en-US"/>
    </w:rPr>
  </w:style>
  <w:style w:type="character" w:customStyle="1" w:styleId="Heading7Char">
    <w:name w:val="Heading 7 Char"/>
    <w:basedOn w:val="DefaultParagraphFont"/>
    <w:link w:val="Heading7"/>
    <w:uiPriority w:val="9"/>
    <w:semiHidden/>
    <w:rsid w:val="00406AFE"/>
    <w:rPr>
      <w:rFonts w:cs="Times New Roman"/>
      <w:sz w:val="24"/>
      <w:szCs w:val="24"/>
      <w:lang w:bidi="en-US"/>
    </w:rPr>
  </w:style>
  <w:style w:type="character" w:customStyle="1" w:styleId="Heading8Char">
    <w:name w:val="Heading 8 Char"/>
    <w:basedOn w:val="DefaultParagraphFont"/>
    <w:link w:val="Heading8"/>
    <w:uiPriority w:val="9"/>
    <w:semiHidden/>
    <w:rsid w:val="00406AFE"/>
    <w:rPr>
      <w:rFonts w:cs="Times New Roman"/>
      <w:i/>
      <w:iCs/>
      <w:sz w:val="24"/>
      <w:szCs w:val="24"/>
      <w:lang w:bidi="en-US"/>
    </w:rPr>
  </w:style>
  <w:style w:type="character" w:customStyle="1" w:styleId="Heading9Char">
    <w:name w:val="Heading 9 Char"/>
    <w:basedOn w:val="DefaultParagraphFont"/>
    <w:link w:val="Heading9"/>
    <w:uiPriority w:val="9"/>
    <w:semiHidden/>
    <w:rsid w:val="00406AFE"/>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406A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06AFE"/>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406A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6AFE"/>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406AFE"/>
    <w:rPr>
      <w:b/>
      <w:bCs/>
    </w:rPr>
  </w:style>
  <w:style w:type="character" w:styleId="Emphasis">
    <w:name w:val="Emphasis"/>
    <w:basedOn w:val="DefaultParagraphFont"/>
    <w:uiPriority w:val="20"/>
    <w:qFormat/>
    <w:rsid w:val="00406AFE"/>
    <w:rPr>
      <w:rFonts w:asciiTheme="minorHAnsi" w:hAnsiTheme="minorHAnsi"/>
      <w:b/>
      <w:i/>
      <w:iCs/>
    </w:rPr>
  </w:style>
  <w:style w:type="paragraph" w:styleId="NoSpacing">
    <w:name w:val="No Spacing"/>
    <w:basedOn w:val="Normal"/>
    <w:uiPriority w:val="1"/>
    <w:qFormat/>
    <w:rsid w:val="00406AFE"/>
    <w:rPr>
      <w:szCs w:val="32"/>
    </w:rPr>
  </w:style>
  <w:style w:type="paragraph" w:styleId="ListParagraph">
    <w:name w:val="List Paragraph"/>
    <w:basedOn w:val="Normal"/>
    <w:uiPriority w:val="34"/>
    <w:qFormat/>
    <w:rsid w:val="00406AFE"/>
    <w:pPr>
      <w:ind w:left="720"/>
      <w:contextualSpacing/>
    </w:pPr>
  </w:style>
  <w:style w:type="paragraph" w:styleId="Quote">
    <w:name w:val="Quote"/>
    <w:basedOn w:val="Normal"/>
    <w:next w:val="Normal"/>
    <w:link w:val="QuoteChar"/>
    <w:uiPriority w:val="29"/>
    <w:qFormat/>
    <w:rsid w:val="00406AFE"/>
    <w:rPr>
      <w:i/>
    </w:rPr>
  </w:style>
  <w:style w:type="character" w:customStyle="1" w:styleId="QuoteChar">
    <w:name w:val="Quote Char"/>
    <w:basedOn w:val="DefaultParagraphFont"/>
    <w:link w:val="Quote"/>
    <w:uiPriority w:val="29"/>
    <w:rsid w:val="00406AFE"/>
    <w:rPr>
      <w:rFonts w:cs="Times New Roman"/>
      <w:i/>
      <w:sz w:val="24"/>
      <w:szCs w:val="24"/>
      <w:lang w:bidi="en-US"/>
    </w:rPr>
  </w:style>
  <w:style w:type="paragraph" w:styleId="IntenseQuote">
    <w:name w:val="Intense Quote"/>
    <w:basedOn w:val="Normal"/>
    <w:next w:val="Normal"/>
    <w:link w:val="IntenseQuoteChar"/>
    <w:uiPriority w:val="30"/>
    <w:qFormat/>
    <w:rsid w:val="00406AFE"/>
    <w:pPr>
      <w:ind w:left="720" w:right="720"/>
    </w:pPr>
    <w:rPr>
      <w:b/>
      <w:i/>
      <w:szCs w:val="22"/>
    </w:rPr>
  </w:style>
  <w:style w:type="character" w:customStyle="1" w:styleId="IntenseQuoteChar">
    <w:name w:val="Intense Quote Char"/>
    <w:basedOn w:val="DefaultParagraphFont"/>
    <w:link w:val="IntenseQuote"/>
    <w:uiPriority w:val="30"/>
    <w:rsid w:val="00406AFE"/>
    <w:rPr>
      <w:rFonts w:cs="Times New Roman"/>
      <w:b/>
      <w:i/>
      <w:sz w:val="24"/>
      <w:lang w:bidi="en-US"/>
    </w:rPr>
  </w:style>
  <w:style w:type="character" w:styleId="SubtleEmphasis">
    <w:name w:val="Subtle Emphasis"/>
    <w:uiPriority w:val="19"/>
    <w:qFormat/>
    <w:rsid w:val="00406AFE"/>
    <w:rPr>
      <w:i/>
      <w:color w:val="5A5A5A" w:themeColor="text1" w:themeTint="A5"/>
    </w:rPr>
  </w:style>
  <w:style w:type="character" w:styleId="IntenseEmphasis">
    <w:name w:val="Intense Emphasis"/>
    <w:basedOn w:val="DefaultParagraphFont"/>
    <w:uiPriority w:val="21"/>
    <w:qFormat/>
    <w:rsid w:val="00406AFE"/>
    <w:rPr>
      <w:b/>
      <w:i/>
      <w:sz w:val="24"/>
      <w:szCs w:val="24"/>
      <w:u w:val="single"/>
    </w:rPr>
  </w:style>
  <w:style w:type="character" w:styleId="SubtleReference">
    <w:name w:val="Subtle Reference"/>
    <w:basedOn w:val="DefaultParagraphFont"/>
    <w:uiPriority w:val="31"/>
    <w:qFormat/>
    <w:rsid w:val="00406AFE"/>
    <w:rPr>
      <w:sz w:val="24"/>
      <w:szCs w:val="24"/>
      <w:u w:val="single"/>
    </w:rPr>
  </w:style>
  <w:style w:type="character" w:styleId="IntenseReference">
    <w:name w:val="Intense Reference"/>
    <w:basedOn w:val="DefaultParagraphFont"/>
    <w:uiPriority w:val="32"/>
    <w:qFormat/>
    <w:rsid w:val="00406AFE"/>
    <w:rPr>
      <w:b/>
      <w:sz w:val="24"/>
      <w:u w:val="single"/>
    </w:rPr>
  </w:style>
  <w:style w:type="character" w:styleId="BookTitle">
    <w:name w:val="Book Title"/>
    <w:basedOn w:val="DefaultParagraphFont"/>
    <w:uiPriority w:val="33"/>
    <w:qFormat/>
    <w:rsid w:val="00406A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6AFE"/>
    <w:pPr>
      <w:outlineLvl w:val="9"/>
    </w:pPr>
  </w:style>
  <w:style w:type="table" w:styleId="TableGrid">
    <w:name w:val="Table Grid"/>
    <w:basedOn w:val="TableNormal"/>
    <w:uiPriority w:val="59"/>
    <w:rsid w:val="00406AFE"/>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6AFE"/>
    <w:rPr>
      <w:rFonts w:ascii="Tahoma" w:hAnsi="Tahoma" w:cs="Tahoma"/>
      <w:sz w:val="16"/>
      <w:szCs w:val="16"/>
    </w:rPr>
  </w:style>
  <w:style w:type="character" w:customStyle="1" w:styleId="BalloonTextChar">
    <w:name w:val="Balloon Text Char"/>
    <w:basedOn w:val="DefaultParagraphFont"/>
    <w:link w:val="BalloonText"/>
    <w:uiPriority w:val="99"/>
    <w:semiHidden/>
    <w:rsid w:val="00406AFE"/>
    <w:rPr>
      <w:rFonts w:ascii="Tahoma" w:hAnsi="Tahoma" w:cs="Tahoma"/>
      <w:sz w:val="16"/>
      <w:szCs w:val="16"/>
      <w:lang w:bidi="en-US"/>
    </w:rPr>
  </w:style>
  <w:style w:type="character" w:styleId="CommentReference">
    <w:name w:val="annotation reference"/>
    <w:basedOn w:val="DefaultParagraphFont"/>
    <w:semiHidden/>
    <w:unhideWhenUsed/>
    <w:rsid w:val="00406AFE"/>
    <w:rPr>
      <w:sz w:val="16"/>
      <w:szCs w:val="16"/>
    </w:rPr>
  </w:style>
  <w:style w:type="paragraph" w:styleId="CommentText">
    <w:name w:val="annotation text"/>
    <w:basedOn w:val="Normal"/>
    <w:link w:val="CommentTextChar"/>
    <w:unhideWhenUsed/>
    <w:rsid w:val="00406AFE"/>
    <w:rPr>
      <w:sz w:val="20"/>
      <w:szCs w:val="20"/>
    </w:rPr>
  </w:style>
  <w:style w:type="character" w:customStyle="1" w:styleId="CommentTextChar">
    <w:name w:val="Comment Text Char"/>
    <w:basedOn w:val="DefaultParagraphFont"/>
    <w:link w:val="CommentText"/>
    <w:rsid w:val="00406AFE"/>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06AFE"/>
    <w:rPr>
      <w:b/>
      <w:bCs/>
    </w:rPr>
  </w:style>
  <w:style w:type="character" w:customStyle="1" w:styleId="CommentSubjectChar">
    <w:name w:val="Comment Subject Char"/>
    <w:basedOn w:val="CommentTextChar"/>
    <w:link w:val="CommentSubject"/>
    <w:uiPriority w:val="99"/>
    <w:semiHidden/>
    <w:rsid w:val="00406AFE"/>
    <w:rPr>
      <w:rFonts w:cs="Times New Roman"/>
      <w:b/>
      <w:bCs/>
      <w:sz w:val="20"/>
      <w:szCs w:val="20"/>
      <w:lang w:bidi="en-US"/>
    </w:rPr>
  </w:style>
  <w:style w:type="paragraph" w:styleId="Revision">
    <w:name w:val="Revision"/>
    <w:hidden/>
    <w:uiPriority w:val="99"/>
    <w:semiHidden/>
    <w:rsid w:val="00406AFE"/>
    <w:pPr>
      <w:spacing w:after="0" w:line="240" w:lineRule="auto"/>
    </w:pPr>
    <w:rPr>
      <w:rFonts w:cs="Times New Roman"/>
      <w:sz w:val="24"/>
      <w:szCs w:val="24"/>
      <w:lang w:bidi="en-US"/>
    </w:rPr>
  </w:style>
  <w:style w:type="character" w:styleId="Hyperlink">
    <w:name w:val="Hyperlink"/>
    <w:basedOn w:val="DefaultParagraphFont"/>
    <w:uiPriority w:val="99"/>
    <w:unhideWhenUsed/>
    <w:rsid w:val="00406AFE"/>
    <w:rPr>
      <w:color w:val="0000FF" w:themeColor="hyperlink"/>
      <w:u w:val="single"/>
    </w:rPr>
  </w:style>
  <w:style w:type="character" w:styleId="FollowedHyperlink">
    <w:name w:val="FollowedHyperlink"/>
    <w:basedOn w:val="DefaultParagraphFont"/>
    <w:uiPriority w:val="99"/>
    <w:semiHidden/>
    <w:unhideWhenUsed/>
    <w:rsid w:val="00406AFE"/>
    <w:rPr>
      <w:color w:val="800080" w:themeColor="followedHyperlink"/>
      <w:u w:val="single"/>
    </w:rPr>
  </w:style>
  <w:style w:type="paragraph" w:styleId="NormalWeb">
    <w:name w:val="Normal (Web)"/>
    <w:basedOn w:val="Normal"/>
    <w:uiPriority w:val="99"/>
    <w:semiHidden/>
    <w:unhideWhenUsed/>
    <w:rsid w:val="00406AFE"/>
    <w:pPr>
      <w:spacing w:before="100" w:beforeAutospacing="1" w:after="100" w:afterAutospacing="1"/>
    </w:pPr>
    <w:rPr>
      <w:rFonts w:ascii="Times New Roman" w:eastAsia="Times New Roman" w:hAnsi="Times New Roman"/>
      <w:lang w:bidi="ar-SA"/>
    </w:rPr>
  </w:style>
  <w:style w:type="paragraph" w:customStyle="1" w:styleId="style1">
    <w:name w:val="style1"/>
    <w:basedOn w:val="Normal"/>
    <w:rsid w:val="00406AFE"/>
    <w:pPr>
      <w:spacing w:before="168" w:after="216"/>
    </w:pPr>
    <w:rPr>
      <w:rFonts w:ascii="Times New Roman" w:eastAsia="Times New Roman" w:hAnsi="Times New Roman"/>
      <w:b/>
      <w:bCs/>
      <w:sz w:val="27"/>
      <w:szCs w:val="27"/>
      <w:lang w:bidi="ar-SA"/>
    </w:rPr>
  </w:style>
  <w:style w:type="paragraph" w:customStyle="1" w:styleId="EndNoteBibliographyTitle">
    <w:name w:val="EndNote Bibliography Title"/>
    <w:basedOn w:val="Normal"/>
    <w:link w:val="EndNoteBibliographyTitleChar"/>
    <w:rsid w:val="00406AF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06AFE"/>
    <w:rPr>
      <w:rFonts w:ascii="Calibri" w:hAnsi="Calibri" w:cs="Times New Roman"/>
      <w:noProof/>
      <w:sz w:val="24"/>
      <w:szCs w:val="24"/>
      <w:lang w:bidi="en-US"/>
    </w:rPr>
  </w:style>
  <w:style w:type="paragraph" w:customStyle="1" w:styleId="EndNoteBibliography">
    <w:name w:val="EndNote Bibliography"/>
    <w:basedOn w:val="Normal"/>
    <w:link w:val="EndNoteBibliographyChar"/>
    <w:rsid w:val="00406AFE"/>
    <w:rPr>
      <w:rFonts w:ascii="Calibri" w:hAnsi="Calibri"/>
      <w:noProof/>
    </w:rPr>
  </w:style>
  <w:style w:type="character" w:customStyle="1" w:styleId="EndNoteBibliographyChar">
    <w:name w:val="EndNote Bibliography Char"/>
    <w:basedOn w:val="DefaultParagraphFont"/>
    <w:link w:val="EndNoteBibliography"/>
    <w:rsid w:val="00406AFE"/>
    <w:rPr>
      <w:rFonts w:ascii="Calibri" w:hAnsi="Calibri" w:cs="Times New Roman"/>
      <w:noProo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7E54-68CA-4193-BB70-24EB1FCD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Ruder, Avima M. (CDC/NIOSH/DSHEFS)</dc:creator>
  <cp:lastModifiedBy>Ruder, Avima M. (CDC/NIOSH/DSHEFS)</cp:lastModifiedBy>
  <cp:revision>5</cp:revision>
  <cp:lastPrinted>2016-05-23T18:22:00Z</cp:lastPrinted>
  <dcterms:created xsi:type="dcterms:W3CDTF">2016-05-23T18:08:00Z</dcterms:created>
  <dcterms:modified xsi:type="dcterms:W3CDTF">2016-05-23T18:51:00Z</dcterms:modified>
</cp:coreProperties>
</file>