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C6" w:rsidRPr="003C7A1B" w:rsidRDefault="007B3AC6" w:rsidP="007B3AC6">
      <w:r>
        <w:rPr>
          <w:lang w:val="en-US"/>
        </w:rPr>
        <w:t>Additional file</w:t>
      </w:r>
      <w:r w:rsidRPr="00B455E0">
        <w:rPr>
          <w:lang w:val="en-US"/>
        </w:rPr>
        <w:t xml:space="preserve"> </w:t>
      </w:r>
      <w:r>
        <w:rPr>
          <w:lang w:val="en-US"/>
        </w:rPr>
        <w:t>4</w:t>
      </w:r>
      <w:r w:rsidRPr="00B455E0">
        <w:rPr>
          <w:lang w:val="en-US"/>
        </w:rPr>
        <w:t xml:space="preserve">: </w:t>
      </w:r>
      <w:r w:rsidR="00EE2CE0">
        <w:rPr>
          <w:lang w:val="en-US"/>
        </w:rPr>
        <w:t>Mean adherence among</w:t>
      </w:r>
      <w:r w:rsidRPr="00B455E0">
        <w:rPr>
          <w:lang w:val="en-US"/>
        </w:rPr>
        <w:t xml:space="preserve"> refugees and host nationals</w:t>
      </w:r>
      <w:r w:rsidR="00EE2CE0">
        <w:rPr>
          <w:lang w:val="en-US"/>
        </w:rPr>
        <w:t xml:space="preserve"> at baseline </w:t>
      </w:r>
      <w:r w:rsidR="00EE2CE0" w:rsidRPr="00EE2CE0">
        <w:rPr>
          <w:i/>
          <w:lang w:val="en-US"/>
        </w:rPr>
        <w:t>(Round One)</w:t>
      </w:r>
      <w:r w:rsidR="00EE2CE0">
        <w:rPr>
          <w:lang w:val="en-US"/>
        </w:rPr>
        <w:t xml:space="preserve"> in Kakuma, Kenya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479"/>
        <w:gridCol w:w="1480"/>
        <w:gridCol w:w="1480"/>
        <w:gridCol w:w="1214"/>
        <w:gridCol w:w="1745"/>
        <w:gridCol w:w="1480"/>
        <w:gridCol w:w="1480"/>
        <w:gridCol w:w="1477"/>
      </w:tblGrid>
      <w:tr w:rsidR="007B3AC6" w:rsidRPr="00361344" w:rsidTr="00654D3A"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title"/>
              <w:rPr>
                <w:lang w:val="en-US"/>
              </w:rPr>
            </w:pPr>
          </w:p>
        </w:tc>
      </w:tr>
      <w:tr w:rsidR="007B3AC6" w:rsidRPr="00361344" w:rsidTr="00654D3A"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Default="007B3AC6" w:rsidP="00654D3A">
            <w:pPr>
              <w:pStyle w:val="Tableheading"/>
              <w:rPr>
                <w:lang w:val="en-US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On treatment, ≥25 weeks</w:t>
            </w:r>
          </w:p>
        </w:tc>
        <w:tc>
          <w:tcPr>
            <w:tcW w:w="22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On treatment, all</w:t>
            </w:r>
          </w:p>
        </w:tc>
      </w:tr>
      <w:tr w:rsidR="007B3AC6" w:rsidRPr="00361344" w:rsidTr="00654D3A"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>
              <w:rPr>
                <w:lang w:val="en-US"/>
              </w:rPr>
              <w:t>Measure (mean %, CI)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Default="007B3AC6" w:rsidP="00654D3A">
            <w:pPr>
              <w:pStyle w:val="Tableheading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All (n=131)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Refugee (n=59)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>
              <w:rPr>
                <w:lang w:val="en-US"/>
              </w:rPr>
              <w:t>Kenyan (n=72)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 w:rsidRPr="00071C89">
              <w:rPr>
                <w:i/>
                <w:lang w:val="en-US"/>
              </w:rPr>
              <w:t>p</w:t>
            </w:r>
            <w:r w:rsidRPr="00361344">
              <w:rPr>
                <w:lang w:val="en-US"/>
              </w:rPr>
              <w:t>-value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Default="007B3AC6" w:rsidP="00654D3A">
            <w:pPr>
              <w:pStyle w:val="Tableheading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All (n=159)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Refugee (n=73)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>
              <w:rPr>
                <w:lang w:val="en-US"/>
              </w:rPr>
              <w:t>Kenyan (n=86)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C6" w:rsidRPr="00361344" w:rsidRDefault="007B3AC6" w:rsidP="00654D3A">
            <w:pPr>
              <w:pStyle w:val="Tableheading"/>
              <w:jc w:val="left"/>
              <w:rPr>
                <w:lang w:val="en-US"/>
              </w:rPr>
            </w:pPr>
            <w:r w:rsidRPr="00071C89">
              <w:rPr>
                <w:i/>
                <w:lang w:val="en-US"/>
              </w:rPr>
              <w:t>p</w:t>
            </w:r>
            <w:r w:rsidRPr="00361344">
              <w:rPr>
                <w:lang w:val="en-US"/>
              </w:rPr>
              <w:t>-value</w:t>
            </w:r>
          </w:p>
        </w:tc>
      </w:tr>
      <w:tr w:rsidR="007B3AC6" w:rsidRPr="00361344" w:rsidTr="00654D3A">
        <w:tc>
          <w:tcPr>
            <w:tcW w:w="761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Four-day self-report, dose by dose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93.1 (89.2, 97.0) 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94.2 </w:t>
            </w:r>
            <w:r w:rsidRPr="00544ED4">
              <w:rPr>
                <w:lang w:val="en-US"/>
              </w:rPr>
              <w:t>(88.8, 99.5)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92.2</w:t>
            </w:r>
            <w:r w:rsidRPr="00544ED4">
              <w:rPr>
                <w:lang w:val="en-US"/>
              </w:rPr>
              <w:t xml:space="preserve"> (86.5, 97.9)</w:t>
            </w:r>
          </w:p>
        </w:tc>
        <w:tc>
          <w:tcPr>
            <w:tcW w:w="435" w:type="pct"/>
          </w:tcPr>
          <w:p w:rsidR="007B3AC6" w:rsidRPr="00361344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0.62</w:t>
            </w:r>
          </w:p>
        </w:tc>
        <w:tc>
          <w:tcPr>
            <w:tcW w:w="625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92.8 (89.1, 96.4) 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93.3</w:t>
            </w:r>
            <w:r w:rsidRPr="00544ED4">
              <w:rPr>
                <w:lang w:val="en-US"/>
              </w:rPr>
              <w:t xml:space="preserve"> (88.2, 98.4)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92.3</w:t>
            </w:r>
            <w:r w:rsidRPr="00544ED4">
              <w:rPr>
                <w:lang w:val="en-US"/>
              </w:rPr>
              <w:t xml:space="preserve"> (87.1, 97.5)</w:t>
            </w:r>
          </w:p>
        </w:tc>
        <w:tc>
          <w:tcPr>
            <w:tcW w:w="529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0.78</w:t>
            </w:r>
          </w:p>
        </w:tc>
      </w:tr>
      <w:tr w:rsidR="007B3AC6" w:rsidRPr="00361344" w:rsidTr="00654D3A">
        <w:tc>
          <w:tcPr>
            <w:tcW w:w="761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One month self-report, visual analog scale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88.9 (85.9, 91.9)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90.8</w:t>
            </w:r>
            <w:r w:rsidRPr="00544ED4">
              <w:rPr>
                <w:lang w:val="en-US"/>
              </w:rPr>
              <w:t xml:space="preserve"> (86.2, 95.3)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87.3</w:t>
            </w:r>
            <w:r w:rsidRPr="00544ED4">
              <w:rPr>
                <w:lang w:val="en-US"/>
              </w:rPr>
              <w:t xml:space="preserve"> (83.4, 91.3)</w:t>
            </w:r>
          </w:p>
        </w:tc>
        <w:tc>
          <w:tcPr>
            <w:tcW w:w="435" w:type="pct"/>
          </w:tcPr>
          <w:p w:rsidR="007B3AC6" w:rsidRPr="00361344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0.26</w:t>
            </w:r>
          </w:p>
        </w:tc>
        <w:tc>
          <w:tcPr>
            <w:tcW w:w="625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88.5 (85.7, 91.2)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90.1</w:t>
            </w:r>
            <w:r w:rsidRPr="00411899">
              <w:rPr>
                <w:lang w:val="en-US"/>
              </w:rPr>
              <w:t xml:space="preserve"> (85.9, 94.3)</w:t>
            </w:r>
          </w:p>
        </w:tc>
        <w:tc>
          <w:tcPr>
            <w:tcW w:w="530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87.1</w:t>
            </w:r>
            <w:r w:rsidRPr="00544ED4">
              <w:rPr>
                <w:lang w:val="en-US"/>
              </w:rPr>
              <w:t xml:space="preserve"> (83.4, 90.7)</w:t>
            </w:r>
          </w:p>
        </w:tc>
        <w:tc>
          <w:tcPr>
            <w:tcW w:w="529" w:type="pct"/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</w:tr>
      <w:tr w:rsidR="007B3AC6" w:rsidRPr="00361344" w:rsidTr="00654D3A">
        <w:tc>
          <w:tcPr>
            <w:tcW w:w="761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Pharmacy refill schedule, 24 months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92.9 (89.9, 95.9)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95.6</w:t>
            </w:r>
            <w:r w:rsidRPr="00544ED4">
              <w:rPr>
                <w:lang w:val="en-US"/>
              </w:rPr>
              <w:t xml:space="preserve"> (91.6, 99.6)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90.7</w:t>
            </w:r>
            <w:r w:rsidRPr="00544ED4">
              <w:rPr>
                <w:lang w:val="en-US"/>
              </w:rPr>
              <w:t xml:space="preserve"> (91.6, 99.6)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7B3AC6" w:rsidRPr="00361344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93.1 (90.2, 95.9)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94.1</w:t>
            </w:r>
            <w:r w:rsidRPr="00411899">
              <w:rPr>
                <w:lang w:val="en-US"/>
              </w:rPr>
              <w:t xml:space="preserve"> (89.6, 98.6)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92.2</w:t>
            </w:r>
            <w:r w:rsidRPr="00411899">
              <w:rPr>
                <w:lang w:val="en-US"/>
              </w:rPr>
              <w:t xml:space="preserve"> (88.4, 95.9)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7B3AC6" w:rsidRDefault="007B3AC6" w:rsidP="00654D3A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0.51</w:t>
            </w:r>
          </w:p>
        </w:tc>
      </w:tr>
      <w:tr w:rsidR="007B3AC6" w:rsidRPr="00361344" w:rsidTr="00654D3A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7B3AC6" w:rsidRDefault="007B3AC6" w:rsidP="00654D3A">
            <w:pPr>
              <w:pStyle w:val="Tabletext"/>
              <w:jc w:val="left"/>
              <w:rPr>
                <w:lang w:val="en-US"/>
              </w:rPr>
            </w:pPr>
            <w:r w:rsidRPr="00907768">
              <w:rPr>
                <w:i/>
                <w:lang w:val="en-US"/>
              </w:rPr>
              <w:t>p</w:t>
            </w:r>
            <w:r>
              <w:rPr>
                <w:lang w:val="en-US"/>
              </w:rPr>
              <w:t>-values are t-tests; CI=confidence interval</w:t>
            </w:r>
          </w:p>
          <w:p w:rsidR="007B3AC6" w:rsidRPr="00361344" w:rsidRDefault="007B3AC6" w:rsidP="00654D3A">
            <w:pPr>
              <w:pStyle w:val="Tabletext"/>
              <w:jc w:val="left"/>
              <w:rPr>
                <w:lang w:val="en-US"/>
              </w:rPr>
            </w:pPr>
            <w:r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 xml:space="preserve"> n=130; </w:t>
            </w:r>
            <w:r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 xml:space="preserve"> n=58; </w:t>
            </w:r>
            <w:r>
              <w:rPr>
                <w:vertAlign w:val="superscript"/>
                <w:lang w:val="en-US"/>
              </w:rPr>
              <w:t>c</w:t>
            </w:r>
            <w:r>
              <w:rPr>
                <w:lang w:val="en-US"/>
              </w:rPr>
              <w:t xml:space="preserve"> n=158 </w:t>
            </w:r>
          </w:p>
        </w:tc>
      </w:tr>
    </w:tbl>
    <w:p w:rsidR="007B3AC6" w:rsidRPr="005945D3" w:rsidRDefault="007B3AC6" w:rsidP="007B3AC6">
      <w:pPr>
        <w:spacing w:after="200" w:line="276" w:lineRule="auto"/>
      </w:pPr>
    </w:p>
    <w:p w:rsidR="009C5350" w:rsidRDefault="009C5350">
      <w:bookmarkStart w:id="0" w:name="_GoBack"/>
      <w:bookmarkEnd w:id="0"/>
    </w:p>
    <w:sectPr w:rsidR="009C5350" w:rsidSect="004C6574">
      <w:footerReference w:type="defaul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AB" w:rsidRDefault="00274FAB">
      <w:pPr>
        <w:spacing w:after="0" w:line="240" w:lineRule="auto"/>
      </w:pPr>
      <w:r>
        <w:separator/>
      </w:r>
    </w:p>
  </w:endnote>
  <w:endnote w:type="continuationSeparator" w:id="0">
    <w:p w:rsidR="00274FAB" w:rsidRDefault="002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79913"/>
      <w:docPartObj>
        <w:docPartGallery w:val="Page Numbers (Bottom of Page)"/>
        <w:docPartUnique/>
      </w:docPartObj>
    </w:sdtPr>
    <w:sdtEndPr/>
    <w:sdtContent>
      <w:p w:rsidR="00BB6052" w:rsidRDefault="007B3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6052" w:rsidRDefault="00274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AB" w:rsidRDefault="00274FAB">
      <w:pPr>
        <w:spacing w:after="0" w:line="240" w:lineRule="auto"/>
      </w:pPr>
      <w:r>
        <w:separator/>
      </w:r>
    </w:p>
  </w:footnote>
  <w:footnote w:type="continuationSeparator" w:id="0">
    <w:p w:rsidR="00274FAB" w:rsidRDefault="00274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C6"/>
    <w:rsid w:val="00274FAB"/>
    <w:rsid w:val="007B3AC6"/>
    <w:rsid w:val="009C5350"/>
    <w:rsid w:val="00E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A29D4-35D3-4CDF-B0BA-93955308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C6"/>
    <w:pPr>
      <w:spacing w:after="60" w:line="360" w:lineRule="auto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A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C6"/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59"/>
    <w:rsid w:val="007B3AC6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Normal"/>
    <w:link w:val="TableheadingChar"/>
    <w:qFormat/>
    <w:rsid w:val="007B3AC6"/>
    <w:pPr>
      <w:spacing w:before="60" w:line="240" w:lineRule="auto"/>
      <w:jc w:val="center"/>
    </w:pPr>
    <w:rPr>
      <w:b/>
      <w:sz w:val="16"/>
      <w:szCs w:val="20"/>
    </w:rPr>
  </w:style>
  <w:style w:type="character" w:customStyle="1" w:styleId="TableheadingChar">
    <w:name w:val="Table heading Char"/>
    <w:basedOn w:val="DefaultParagraphFont"/>
    <w:link w:val="Tableheading"/>
    <w:rsid w:val="007B3AC6"/>
    <w:rPr>
      <w:rFonts w:ascii="Times New Roman" w:hAnsi="Times New Roman"/>
      <w:b/>
      <w:sz w:val="16"/>
      <w:szCs w:val="20"/>
      <w:lang w:val="en-GB"/>
    </w:rPr>
  </w:style>
  <w:style w:type="paragraph" w:customStyle="1" w:styleId="Tabletext">
    <w:name w:val="Table text"/>
    <w:basedOn w:val="Tableheading"/>
    <w:link w:val="TabletextChar"/>
    <w:qFormat/>
    <w:rsid w:val="007B3AC6"/>
    <w:pPr>
      <w:spacing w:before="20" w:after="20"/>
      <w:jc w:val="right"/>
    </w:pPr>
    <w:rPr>
      <w:b w:val="0"/>
      <w:szCs w:val="16"/>
    </w:rPr>
  </w:style>
  <w:style w:type="character" w:customStyle="1" w:styleId="TabletextChar">
    <w:name w:val="Table text Char"/>
    <w:basedOn w:val="TableheadingChar"/>
    <w:link w:val="Tabletext"/>
    <w:rsid w:val="007B3AC6"/>
    <w:rPr>
      <w:rFonts w:ascii="Times New Roman" w:hAnsi="Times New Roman"/>
      <w:b w:val="0"/>
      <w:sz w:val="16"/>
      <w:szCs w:val="16"/>
      <w:lang w:val="en-GB"/>
    </w:rPr>
  </w:style>
  <w:style w:type="paragraph" w:customStyle="1" w:styleId="Tabletitle">
    <w:name w:val="Table title"/>
    <w:basedOn w:val="Tableheading"/>
    <w:link w:val="TabletitleChar"/>
    <w:qFormat/>
    <w:rsid w:val="007B3AC6"/>
    <w:pPr>
      <w:jc w:val="left"/>
    </w:pPr>
    <w:rPr>
      <w:rFonts w:asciiTheme="majorHAnsi" w:hAnsiTheme="majorHAnsi"/>
      <w:sz w:val="18"/>
      <w:szCs w:val="18"/>
    </w:rPr>
  </w:style>
  <w:style w:type="character" w:customStyle="1" w:styleId="TabletitleChar">
    <w:name w:val="Table title Char"/>
    <w:basedOn w:val="TableheadingChar"/>
    <w:link w:val="Tabletitle"/>
    <w:rsid w:val="007B3AC6"/>
    <w:rPr>
      <w:rFonts w:asciiTheme="majorHAnsi" w:hAnsiTheme="majorHAns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Mendelsohn, Joshua B.</dc:creator>
  <cp:keywords/>
  <dc:description/>
  <cp:lastModifiedBy>Mendelsohn, Joshua B.</cp:lastModifiedBy>
  <cp:revision>2</cp:revision>
  <dcterms:created xsi:type="dcterms:W3CDTF">2017-05-25T20:53:00Z</dcterms:created>
  <dcterms:modified xsi:type="dcterms:W3CDTF">2017-05-25T20:57:00Z</dcterms:modified>
</cp:coreProperties>
</file>