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5"/>
        <w:gridCol w:w="2133"/>
        <w:gridCol w:w="760"/>
        <w:gridCol w:w="1650"/>
        <w:gridCol w:w="763"/>
        <w:gridCol w:w="1788"/>
        <w:gridCol w:w="709"/>
        <w:gridCol w:w="1843"/>
        <w:gridCol w:w="769"/>
      </w:tblGrid>
      <w:tr w:rsidR="00BB6901" w:rsidRPr="00BB6901" w14:paraId="63B27B4F" w14:textId="77777777" w:rsidTr="00157FF6">
        <w:trPr>
          <w:trHeight w:val="229"/>
        </w:trPr>
        <w:tc>
          <w:tcPr>
            <w:tcW w:w="12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DF090" w14:textId="376B077E" w:rsidR="00BB6901" w:rsidRPr="00320378" w:rsidRDefault="00535EB7" w:rsidP="00535EB7">
            <w:pPr>
              <w:rPr>
                <w:b/>
                <w:sz w:val="24"/>
                <w:szCs w:val="24"/>
              </w:rPr>
            </w:pPr>
            <w:bookmarkStart w:id="0" w:name="_Toc439859945"/>
            <w:bookmarkStart w:id="1" w:name="_Toc440029109"/>
            <w:r>
              <w:rPr>
                <w:color w:val="1F4E79" w:themeColor="accent1" w:themeShade="80"/>
                <w:sz w:val="24"/>
                <w:szCs w:val="24"/>
              </w:rPr>
              <w:t xml:space="preserve">S1 </w:t>
            </w:r>
            <w:r w:rsidR="00BB6901" w:rsidRPr="00320378">
              <w:rPr>
                <w:color w:val="1F4E79" w:themeColor="accent1" w:themeShade="80"/>
                <w:sz w:val="24"/>
                <w:szCs w:val="24"/>
              </w:rPr>
              <w:t>Table</w:t>
            </w:r>
            <w:bookmarkStart w:id="2" w:name="_GoBack"/>
            <w:bookmarkEnd w:id="2"/>
            <w:r w:rsidR="00BB6901" w:rsidRPr="00320378">
              <w:rPr>
                <w:color w:val="1F4E79" w:themeColor="accent1" w:themeShade="80"/>
                <w:sz w:val="24"/>
                <w:szCs w:val="24"/>
              </w:rPr>
              <w:t xml:space="preserve">. Crude and adjusted hazard ratios for the association between different antimalarial treatment categories and </w:t>
            </w:r>
            <w:r w:rsidR="002C2427" w:rsidRPr="00320378">
              <w:rPr>
                <w:color w:val="1F4E79" w:themeColor="accent1" w:themeShade="80"/>
                <w:sz w:val="24"/>
                <w:szCs w:val="24"/>
              </w:rPr>
              <w:t>miscarriage</w:t>
            </w:r>
            <w:r w:rsidR="002173E6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BB6901" w:rsidRPr="00320378">
              <w:rPr>
                <w:color w:val="1F4E79" w:themeColor="accent1" w:themeShade="80"/>
                <w:sz w:val="24"/>
                <w:szCs w:val="24"/>
              </w:rPr>
              <w:t>adjusting for HIV status restricted to the IPD of African sites.</w:t>
            </w:r>
            <w:bookmarkEnd w:id="0"/>
            <w:bookmarkEnd w:id="1"/>
          </w:p>
        </w:tc>
      </w:tr>
      <w:tr w:rsidR="00BB6901" w:rsidRPr="00BB6901" w14:paraId="1DDEDC62" w14:textId="77777777" w:rsidTr="00157FF6">
        <w:trPr>
          <w:trHeight w:val="1430"/>
        </w:trPr>
        <w:tc>
          <w:tcPr>
            <w:tcW w:w="2545" w:type="dxa"/>
            <w:tcBorders>
              <w:top w:val="single" w:sz="4" w:space="0" w:color="auto"/>
            </w:tcBorders>
          </w:tcPr>
          <w:p w14:paraId="51316BFA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Antimalarial Treatment Categories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70082D55" w14:textId="2F83B95B" w:rsidR="00BB6901" w:rsidRPr="00BB6901" w:rsidRDefault="00BB6901" w:rsidP="00BB6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6901">
              <w:rPr>
                <w:b/>
                <w:bCs/>
                <w:color w:val="000000"/>
                <w:sz w:val="20"/>
                <w:szCs w:val="20"/>
              </w:rPr>
              <w:t xml:space="preserve">Crude </w:t>
            </w:r>
            <w:r w:rsidR="00616E64">
              <w:rPr>
                <w:b/>
                <w:bCs/>
                <w:color w:val="000000"/>
                <w:sz w:val="20"/>
                <w:szCs w:val="20"/>
              </w:rPr>
              <w:t>Hazard ratio</w:t>
            </w:r>
          </w:p>
          <w:p w14:paraId="04C01C14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5901EB07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9A25B7D" w14:textId="6B6A9A25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 xml:space="preserve">(A) </w:t>
            </w:r>
            <w:r w:rsidR="00616E64">
              <w:rPr>
                <w:b/>
                <w:sz w:val="20"/>
                <w:szCs w:val="20"/>
              </w:rPr>
              <w:t>Hazard ratio</w:t>
            </w:r>
            <w:r w:rsidRPr="00BB6901">
              <w:rPr>
                <w:b/>
                <w:sz w:val="20"/>
                <w:szCs w:val="20"/>
              </w:rPr>
              <w:t xml:space="preserve"> adjusted for age, gravidity and education (95%CI)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49C8C20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24B86691" w14:textId="73A85F38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 xml:space="preserve">(B) </w:t>
            </w:r>
            <w:r w:rsidR="00616E64">
              <w:rPr>
                <w:b/>
                <w:sz w:val="20"/>
                <w:szCs w:val="20"/>
              </w:rPr>
              <w:t>Hazard ratio</w:t>
            </w:r>
            <w:r w:rsidRPr="00BB6901">
              <w:rPr>
                <w:b/>
                <w:sz w:val="20"/>
                <w:szCs w:val="20"/>
              </w:rPr>
              <w:t xml:space="preserve"> adjusted as in (A) and HIV using MI (95%CI)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439254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518F90" w14:textId="1D53F4C3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 xml:space="preserve">(C) </w:t>
            </w:r>
            <w:r w:rsidR="00616E64">
              <w:rPr>
                <w:b/>
                <w:sz w:val="20"/>
                <w:szCs w:val="20"/>
              </w:rPr>
              <w:t>Hazard ratio</w:t>
            </w:r>
            <w:r w:rsidRPr="00BB6901">
              <w:rPr>
                <w:b/>
                <w:sz w:val="20"/>
                <w:szCs w:val="20"/>
              </w:rPr>
              <w:t xml:space="preserve"> adjusted as in (A) and HIV using categorical unknown(95%CI)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BFD4221" w14:textId="77777777" w:rsidR="00BB6901" w:rsidRPr="00BB6901" w:rsidRDefault="00BB6901" w:rsidP="00BB6901">
            <w:pPr>
              <w:rPr>
                <w:b/>
                <w:sz w:val="20"/>
                <w:szCs w:val="20"/>
              </w:rPr>
            </w:pPr>
            <w:r w:rsidRPr="00BB6901">
              <w:rPr>
                <w:b/>
                <w:sz w:val="20"/>
                <w:szCs w:val="20"/>
              </w:rPr>
              <w:t>P-value</w:t>
            </w:r>
          </w:p>
        </w:tc>
      </w:tr>
      <w:tr w:rsidR="00BB6901" w:rsidRPr="00BB6901" w14:paraId="32AB2902" w14:textId="77777777" w:rsidTr="001579B2">
        <w:trPr>
          <w:trHeight w:val="283"/>
        </w:trPr>
        <w:tc>
          <w:tcPr>
            <w:tcW w:w="2545" w:type="dxa"/>
          </w:tcPr>
          <w:p w14:paraId="09B960C4" w14:textId="77777777" w:rsidR="00BB6901" w:rsidRPr="00BB6901" w:rsidRDefault="00BB6901" w:rsidP="00BB6901">
            <w:pPr>
              <w:rPr>
                <w:b/>
                <w:i/>
                <w:sz w:val="20"/>
                <w:szCs w:val="20"/>
              </w:rPr>
            </w:pPr>
            <w:r w:rsidRPr="00BB6901">
              <w:rPr>
                <w:b/>
                <w:i/>
                <w:sz w:val="20"/>
                <w:szCs w:val="20"/>
              </w:rPr>
              <w:t>ACT vs Unexposed to Antimalarials</w:t>
            </w:r>
          </w:p>
        </w:tc>
        <w:tc>
          <w:tcPr>
            <w:tcW w:w="2133" w:type="dxa"/>
            <w:vAlign w:val="center"/>
          </w:tcPr>
          <w:p w14:paraId="27C1E56B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48B05C6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46956D7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835751D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05DA8885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B40586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4A9CA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932887E" w14:textId="77777777" w:rsidR="00BB6901" w:rsidRPr="00BB6901" w:rsidRDefault="00BB6901" w:rsidP="001579B2">
            <w:pPr>
              <w:jc w:val="center"/>
              <w:rPr>
                <w:sz w:val="20"/>
                <w:szCs w:val="20"/>
              </w:rPr>
            </w:pPr>
          </w:p>
        </w:tc>
      </w:tr>
      <w:tr w:rsidR="00D87BAA" w:rsidRPr="00BB6901" w14:paraId="5B7994AF" w14:textId="77777777" w:rsidTr="001579B2">
        <w:trPr>
          <w:trHeight w:val="283"/>
        </w:trPr>
        <w:tc>
          <w:tcPr>
            <w:tcW w:w="2545" w:type="dxa"/>
          </w:tcPr>
          <w:p w14:paraId="6B510665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1st trimester </w:t>
            </w:r>
          </w:p>
          <w:p w14:paraId="1E6F3446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(2-14 weeks post LMP)</w:t>
            </w:r>
          </w:p>
        </w:tc>
        <w:tc>
          <w:tcPr>
            <w:tcW w:w="2133" w:type="dxa"/>
            <w:vAlign w:val="center"/>
          </w:tcPr>
          <w:p w14:paraId="2B352458" w14:textId="7032345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2.07 (0.74,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5.77)</w:t>
            </w:r>
          </w:p>
        </w:tc>
        <w:tc>
          <w:tcPr>
            <w:tcW w:w="760" w:type="dxa"/>
            <w:vAlign w:val="center"/>
          </w:tcPr>
          <w:p w14:paraId="30BFFF50" w14:textId="28C8FC90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650" w:type="dxa"/>
            <w:vAlign w:val="center"/>
          </w:tcPr>
          <w:p w14:paraId="50B27482" w14:textId="0B82E729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2.12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(0.76,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5.94)</w:t>
            </w:r>
          </w:p>
        </w:tc>
        <w:tc>
          <w:tcPr>
            <w:tcW w:w="763" w:type="dxa"/>
            <w:vAlign w:val="center"/>
          </w:tcPr>
          <w:p w14:paraId="692C6DE6" w14:textId="7B8F40B2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788" w:type="dxa"/>
            <w:vAlign w:val="center"/>
          </w:tcPr>
          <w:p w14:paraId="6881061D" w14:textId="4720B14C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2.16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(0.78,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6.35)</w:t>
            </w:r>
          </w:p>
        </w:tc>
        <w:tc>
          <w:tcPr>
            <w:tcW w:w="709" w:type="dxa"/>
            <w:vAlign w:val="center"/>
          </w:tcPr>
          <w:p w14:paraId="38D48683" w14:textId="5F914C92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43" w:type="dxa"/>
            <w:vAlign w:val="center"/>
          </w:tcPr>
          <w:p w14:paraId="4C3932B8" w14:textId="4C3E8414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1.45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(0.81,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2.61)</w:t>
            </w:r>
          </w:p>
        </w:tc>
        <w:tc>
          <w:tcPr>
            <w:tcW w:w="769" w:type="dxa"/>
            <w:vAlign w:val="center"/>
          </w:tcPr>
          <w:p w14:paraId="495BA299" w14:textId="252AB2C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0.212</w:t>
            </w:r>
          </w:p>
        </w:tc>
      </w:tr>
      <w:tr w:rsidR="00D87BAA" w:rsidRPr="00BB6901" w14:paraId="4589C365" w14:textId="77777777" w:rsidTr="001579B2">
        <w:trPr>
          <w:trHeight w:val="283"/>
        </w:trPr>
        <w:tc>
          <w:tcPr>
            <w:tcW w:w="2545" w:type="dxa"/>
          </w:tcPr>
          <w:p w14:paraId="6249D3E4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embryo sensitive </w:t>
            </w:r>
          </w:p>
          <w:p w14:paraId="4552B542" w14:textId="77777777" w:rsidR="00D87BAA" w:rsidRPr="00BB6901" w:rsidRDefault="00D87BAA" w:rsidP="00D87BAA">
            <w:pPr>
              <w:rPr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(6-12 weeks post LMP)</w:t>
            </w:r>
          </w:p>
        </w:tc>
        <w:tc>
          <w:tcPr>
            <w:tcW w:w="2133" w:type="dxa"/>
            <w:vAlign w:val="center"/>
          </w:tcPr>
          <w:p w14:paraId="1100803E" w14:textId="510DF6D8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1.03 (0.14,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7.56)</w:t>
            </w:r>
          </w:p>
        </w:tc>
        <w:tc>
          <w:tcPr>
            <w:tcW w:w="760" w:type="dxa"/>
            <w:vAlign w:val="center"/>
          </w:tcPr>
          <w:p w14:paraId="5B448724" w14:textId="04892AA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650" w:type="dxa"/>
            <w:vAlign w:val="center"/>
          </w:tcPr>
          <w:p w14:paraId="6F0147E4" w14:textId="37EAD7E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1.04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7.65)</w:t>
            </w:r>
          </w:p>
        </w:tc>
        <w:tc>
          <w:tcPr>
            <w:tcW w:w="763" w:type="dxa"/>
            <w:vAlign w:val="center"/>
          </w:tcPr>
          <w:p w14:paraId="1F2FF189" w14:textId="36963CF9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788" w:type="dxa"/>
            <w:vAlign w:val="center"/>
          </w:tcPr>
          <w:p w14:paraId="0D51EA6A" w14:textId="68C0CA60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1.04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(0.13,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7.42)</w:t>
            </w:r>
          </w:p>
        </w:tc>
        <w:tc>
          <w:tcPr>
            <w:tcW w:w="709" w:type="dxa"/>
            <w:vAlign w:val="center"/>
          </w:tcPr>
          <w:p w14:paraId="1A9AAF97" w14:textId="792D6F03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843" w:type="dxa"/>
            <w:vAlign w:val="center"/>
          </w:tcPr>
          <w:p w14:paraId="3B4EE77B" w14:textId="155DDA72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1.47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(0.74,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2.9</w:t>
            </w:r>
            <w:r w:rsidR="00990D3B">
              <w:rPr>
                <w:color w:val="000000"/>
                <w:sz w:val="20"/>
                <w:szCs w:val="20"/>
              </w:rPr>
              <w:t>0</w:t>
            </w:r>
            <w:r w:rsidRPr="00D87B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5D13394A" w14:textId="6B78C1EC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0.270</w:t>
            </w:r>
          </w:p>
        </w:tc>
      </w:tr>
      <w:tr w:rsidR="00D87BAA" w:rsidRPr="00BB6901" w14:paraId="633A8C16" w14:textId="77777777" w:rsidTr="001579B2">
        <w:trPr>
          <w:trHeight w:val="283"/>
        </w:trPr>
        <w:tc>
          <w:tcPr>
            <w:tcW w:w="2545" w:type="dxa"/>
          </w:tcPr>
          <w:p w14:paraId="5119C8AA" w14:textId="77777777" w:rsidR="00D87BAA" w:rsidRPr="00BB6901" w:rsidRDefault="00D87BAA" w:rsidP="00D87BAA">
            <w:pPr>
              <w:rPr>
                <w:b/>
                <w:i/>
                <w:sz w:val="20"/>
                <w:szCs w:val="20"/>
              </w:rPr>
            </w:pPr>
            <w:r w:rsidRPr="00BB6901">
              <w:rPr>
                <w:b/>
                <w:i/>
                <w:sz w:val="20"/>
                <w:szCs w:val="20"/>
              </w:rPr>
              <w:t>Quinine vs Unexposed to Antimalarials</w:t>
            </w:r>
          </w:p>
        </w:tc>
        <w:tc>
          <w:tcPr>
            <w:tcW w:w="2133" w:type="dxa"/>
            <w:vAlign w:val="center"/>
          </w:tcPr>
          <w:p w14:paraId="65340CD4" w14:textId="7777777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18DD1083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3CF2FDA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E6BBC39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3620C4A1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2419F3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04415D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44C6E91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BAA" w:rsidRPr="00BB6901" w14:paraId="5794FD03" w14:textId="77777777" w:rsidTr="001579B2">
        <w:trPr>
          <w:trHeight w:val="283"/>
        </w:trPr>
        <w:tc>
          <w:tcPr>
            <w:tcW w:w="2545" w:type="dxa"/>
          </w:tcPr>
          <w:p w14:paraId="581D18E8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1st trimester </w:t>
            </w:r>
          </w:p>
          <w:p w14:paraId="6F517237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(2-14 weeks post LMP)</w:t>
            </w:r>
          </w:p>
        </w:tc>
        <w:tc>
          <w:tcPr>
            <w:tcW w:w="2133" w:type="dxa"/>
            <w:vAlign w:val="center"/>
          </w:tcPr>
          <w:p w14:paraId="2297A470" w14:textId="1FC39A35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1.02 (0.58,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760" w:type="dxa"/>
            <w:vAlign w:val="center"/>
          </w:tcPr>
          <w:p w14:paraId="2E8C2B4A" w14:textId="30AC3D3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650" w:type="dxa"/>
            <w:vAlign w:val="center"/>
          </w:tcPr>
          <w:p w14:paraId="52657E1D" w14:textId="476981C0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</w:t>
            </w:r>
            <w:r w:rsidR="00990D3B">
              <w:rPr>
                <w:color w:val="000000"/>
                <w:sz w:val="20"/>
                <w:szCs w:val="20"/>
              </w:rPr>
              <w:t xml:space="preserve">.00 </w:t>
            </w:r>
            <w:r w:rsidRPr="00D87BAA">
              <w:rPr>
                <w:color w:val="000000"/>
                <w:sz w:val="20"/>
                <w:szCs w:val="20"/>
              </w:rPr>
              <w:t>(0.57,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1.76)</w:t>
            </w:r>
          </w:p>
        </w:tc>
        <w:tc>
          <w:tcPr>
            <w:tcW w:w="763" w:type="dxa"/>
            <w:vAlign w:val="center"/>
          </w:tcPr>
          <w:p w14:paraId="1AA3FC46" w14:textId="6C0AA29F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788" w:type="dxa"/>
            <w:vAlign w:val="center"/>
          </w:tcPr>
          <w:p w14:paraId="2011C5D3" w14:textId="10C1756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1.03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(0.52,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1.88)</w:t>
            </w:r>
          </w:p>
        </w:tc>
        <w:tc>
          <w:tcPr>
            <w:tcW w:w="709" w:type="dxa"/>
            <w:vAlign w:val="center"/>
          </w:tcPr>
          <w:p w14:paraId="64DEF290" w14:textId="76514285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843" w:type="dxa"/>
            <w:vAlign w:val="center"/>
          </w:tcPr>
          <w:p w14:paraId="580C6005" w14:textId="4C91FF7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2.65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(0.94,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7.45)</w:t>
            </w:r>
          </w:p>
        </w:tc>
        <w:tc>
          <w:tcPr>
            <w:tcW w:w="769" w:type="dxa"/>
            <w:vAlign w:val="center"/>
          </w:tcPr>
          <w:p w14:paraId="6DCC7442" w14:textId="76D037A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0.065</w:t>
            </w:r>
          </w:p>
        </w:tc>
      </w:tr>
      <w:tr w:rsidR="00D87BAA" w:rsidRPr="00BB6901" w14:paraId="779A56A9" w14:textId="77777777" w:rsidTr="001579B2">
        <w:trPr>
          <w:trHeight w:val="283"/>
        </w:trPr>
        <w:tc>
          <w:tcPr>
            <w:tcW w:w="2545" w:type="dxa"/>
          </w:tcPr>
          <w:p w14:paraId="09BB51CE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embryo sensitive </w:t>
            </w:r>
          </w:p>
          <w:p w14:paraId="723E0D05" w14:textId="77777777" w:rsidR="00D87BAA" w:rsidRPr="00BB6901" w:rsidRDefault="00D87BAA" w:rsidP="00D87BAA">
            <w:pPr>
              <w:rPr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(6-12 weeks post LMP)</w:t>
            </w:r>
          </w:p>
        </w:tc>
        <w:tc>
          <w:tcPr>
            <w:tcW w:w="2133" w:type="dxa"/>
            <w:vAlign w:val="center"/>
          </w:tcPr>
          <w:p w14:paraId="51867A11" w14:textId="2DFF9FA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1.08 (0.56,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2.08)</w:t>
            </w:r>
          </w:p>
        </w:tc>
        <w:tc>
          <w:tcPr>
            <w:tcW w:w="760" w:type="dxa"/>
            <w:vAlign w:val="center"/>
          </w:tcPr>
          <w:p w14:paraId="2F05C4C1" w14:textId="2640CD9F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650" w:type="dxa"/>
            <w:vAlign w:val="center"/>
          </w:tcPr>
          <w:p w14:paraId="0B59ED25" w14:textId="35A36B82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1.08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(0.56,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2.09)</w:t>
            </w:r>
          </w:p>
        </w:tc>
        <w:tc>
          <w:tcPr>
            <w:tcW w:w="763" w:type="dxa"/>
            <w:vAlign w:val="center"/>
          </w:tcPr>
          <w:p w14:paraId="13EB4D6E" w14:textId="3B2561B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788" w:type="dxa"/>
            <w:vAlign w:val="center"/>
          </w:tcPr>
          <w:p w14:paraId="45063626" w14:textId="5E12C2A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0.95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(0.5</w:t>
            </w:r>
            <w:r w:rsidR="00990D3B">
              <w:rPr>
                <w:color w:val="000000"/>
                <w:sz w:val="20"/>
                <w:szCs w:val="20"/>
              </w:rPr>
              <w:t>0</w:t>
            </w:r>
            <w:r w:rsidRPr="00D87BAA">
              <w:rPr>
                <w:color w:val="000000"/>
                <w:sz w:val="20"/>
                <w:szCs w:val="20"/>
              </w:rPr>
              <w:t>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1.9</w:t>
            </w:r>
            <w:r w:rsidR="00990D3B">
              <w:rPr>
                <w:color w:val="000000"/>
                <w:sz w:val="20"/>
                <w:szCs w:val="20"/>
              </w:rPr>
              <w:t>0</w:t>
            </w:r>
            <w:r w:rsidRPr="00D87B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A582AB2" w14:textId="5957268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1843" w:type="dxa"/>
            <w:vAlign w:val="center"/>
          </w:tcPr>
          <w:p w14:paraId="436AAECE" w14:textId="1802269D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1.26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(0.17,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9.32)</w:t>
            </w:r>
          </w:p>
        </w:tc>
        <w:tc>
          <w:tcPr>
            <w:tcW w:w="769" w:type="dxa"/>
            <w:vAlign w:val="center"/>
          </w:tcPr>
          <w:p w14:paraId="6EC0DAE4" w14:textId="16D34CC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0.820</w:t>
            </w:r>
          </w:p>
        </w:tc>
      </w:tr>
      <w:tr w:rsidR="00D87BAA" w:rsidRPr="00BB6901" w14:paraId="0D1F6916" w14:textId="77777777" w:rsidTr="001579B2">
        <w:trPr>
          <w:trHeight w:val="283"/>
        </w:trPr>
        <w:tc>
          <w:tcPr>
            <w:tcW w:w="2545" w:type="dxa"/>
          </w:tcPr>
          <w:p w14:paraId="76FB78B8" w14:textId="77777777" w:rsidR="00D87BAA" w:rsidRPr="00BB6901" w:rsidRDefault="00D87BAA" w:rsidP="00D87BAA">
            <w:pPr>
              <w:rPr>
                <w:b/>
                <w:i/>
                <w:sz w:val="20"/>
                <w:szCs w:val="20"/>
              </w:rPr>
            </w:pPr>
            <w:r w:rsidRPr="00BB6901">
              <w:rPr>
                <w:b/>
                <w:i/>
                <w:sz w:val="20"/>
                <w:szCs w:val="20"/>
              </w:rPr>
              <w:t>ACT vs Quinine</w:t>
            </w:r>
          </w:p>
        </w:tc>
        <w:tc>
          <w:tcPr>
            <w:tcW w:w="2133" w:type="dxa"/>
            <w:vAlign w:val="center"/>
          </w:tcPr>
          <w:p w14:paraId="28531744" w14:textId="7777777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16B05F40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0742E209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BE62732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377A7E49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4B772E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8168B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F5D5FE" w14:textId="77777777" w:rsidR="00D87BAA" w:rsidRPr="00D87BAA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BAA" w:rsidRPr="00BB6901" w14:paraId="57008166" w14:textId="77777777" w:rsidTr="001579B2">
        <w:trPr>
          <w:trHeight w:val="283"/>
        </w:trPr>
        <w:tc>
          <w:tcPr>
            <w:tcW w:w="2545" w:type="dxa"/>
          </w:tcPr>
          <w:p w14:paraId="090F357B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1st trimester </w:t>
            </w:r>
          </w:p>
          <w:p w14:paraId="278363E9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(2-14 weeks post LMP)</w:t>
            </w:r>
          </w:p>
        </w:tc>
        <w:tc>
          <w:tcPr>
            <w:tcW w:w="2133" w:type="dxa"/>
            <w:vAlign w:val="center"/>
          </w:tcPr>
          <w:p w14:paraId="769CAC45" w14:textId="429C6637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0.51 (0.14,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1.81)</w:t>
            </w:r>
          </w:p>
        </w:tc>
        <w:tc>
          <w:tcPr>
            <w:tcW w:w="760" w:type="dxa"/>
            <w:vAlign w:val="center"/>
          </w:tcPr>
          <w:p w14:paraId="7389CFF8" w14:textId="38348D34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650" w:type="dxa"/>
            <w:vAlign w:val="center"/>
          </w:tcPr>
          <w:p w14:paraId="08FC5582" w14:textId="59601C03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0.52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(0.14,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1.87)</w:t>
            </w:r>
          </w:p>
        </w:tc>
        <w:tc>
          <w:tcPr>
            <w:tcW w:w="763" w:type="dxa"/>
            <w:vAlign w:val="center"/>
          </w:tcPr>
          <w:p w14:paraId="53690BCE" w14:textId="22703FB4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788" w:type="dxa"/>
            <w:vAlign w:val="center"/>
          </w:tcPr>
          <w:p w14:paraId="7FF6C4C9" w14:textId="5547B74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0.57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(0.15,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2.15)</w:t>
            </w:r>
          </w:p>
        </w:tc>
        <w:tc>
          <w:tcPr>
            <w:tcW w:w="709" w:type="dxa"/>
            <w:vAlign w:val="center"/>
          </w:tcPr>
          <w:p w14:paraId="38E842E3" w14:textId="471FD9AC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843" w:type="dxa"/>
            <w:vAlign w:val="center"/>
          </w:tcPr>
          <w:p w14:paraId="415ADFA6" w14:textId="25901939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0.55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(0.15,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2.02)</w:t>
            </w:r>
          </w:p>
        </w:tc>
        <w:tc>
          <w:tcPr>
            <w:tcW w:w="769" w:type="dxa"/>
            <w:vAlign w:val="center"/>
          </w:tcPr>
          <w:p w14:paraId="5642AD55" w14:textId="76096378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0.370</w:t>
            </w:r>
          </w:p>
        </w:tc>
      </w:tr>
      <w:tr w:rsidR="00D87BAA" w:rsidRPr="00BB6901" w14:paraId="2E0C17D2" w14:textId="77777777" w:rsidTr="001579B2">
        <w:trPr>
          <w:trHeight w:val="283"/>
        </w:trPr>
        <w:tc>
          <w:tcPr>
            <w:tcW w:w="2545" w:type="dxa"/>
          </w:tcPr>
          <w:p w14:paraId="497118FF" w14:textId="77777777" w:rsidR="00D87BAA" w:rsidRPr="00BB6901" w:rsidRDefault="00D87BAA" w:rsidP="00D87BAA">
            <w:pPr>
              <w:rPr>
                <w:color w:val="000000"/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 xml:space="preserve">Confirmed embryo sensitive </w:t>
            </w:r>
          </w:p>
          <w:p w14:paraId="12D8BA8B" w14:textId="77777777" w:rsidR="00D87BAA" w:rsidRPr="00BB6901" w:rsidRDefault="00D87BAA" w:rsidP="00D87BAA">
            <w:pPr>
              <w:rPr>
                <w:sz w:val="20"/>
                <w:szCs w:val="20"/>
              </w:rPr>
            </w:pPr>
            <w:r w:rsidRPr="00BB6901">
              <w:rPr>
                <w:color w:val="000000"/>
                <w:sz w:val="20"/>
                <w:szCs w:val="20"/>
              </w:rPr>
              <w:t>(6-12 weeks post LMP)</w:t>
            </w:r>
          </w:p>
        </w:tc>
        <w:tc>
          <w:tcPr>
            <w:tcW w:w="2133" w:type="dxa"/>
            <w:vAlign w:val="center"/>
          </w:tcPr>
          <w:p w14:paraId="1F791A0D" w14:textId="050A2DB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0.84 (0.33,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2.16)</w:t>
            </w:r>
          </w:p>
        </w:tc>
        <w:tc>
          <w:tcPr>
            <w:tcW w:w="760" w:type="dxa"/>
            <w:vAlign w:val="center"/>
          </w:tcPr>
          <w:p w14:paraId="03E91701" w14:textId="0469CD36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650" w:type="dxa"/>
            <w:vAlign w:val="center"/>
          </w:tcPr>
          <w:p w14:paraId="20243045" w14:textId="571F8B5C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0.93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(0.36,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2.43)</w:t>
            </w:r>
          </w:p>
        </w:tc>
        <w:tc>
          <w:tcPr>
            <w:tcW w:w="763" w:type="dxa"/>
            <w:vAlign w:val="center"/>
          </w:tcPr>
          <w:p w14:paraId="275C95AB" w14:textId="0EB2385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788" w:type="dxa"/>
            <w:vAlign w:val="center"/>
          </w:tcPr>
          <w:p w14:paraId="25E6895B" w14:textId="72878D61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0.83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(0.31,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2.7</w:t>
            </w:r>
            <w:r w:rsidR="00990D3B">
              <w:rPr>
                <w:color w:val="000000"/>
                <w:sz w:val="20"/>
                <w:szCs w:val="20"/>
              </w:rPr>
              <w:t>0</w:t>
            </w:r>
            <w:r w:rsidRPr="00D87B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8301F6F" w14:textId="07E6099A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843" w:type="dxa"/>
            <w:vAlign w:val="center"/>
          </w:tcPr>
          <w:p w14:paraId="0932A1B8" w14:textId="24245E6D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0.89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(0.33,</w:t>
            </w:r>
            <w:r w:rsidR="00990D3B">
              <w:rPr>
                <w:color w:val="000000"/>
                <w:sz w:val="20"/>
                <w:szCs w:val="20"/>
              </w:rPr>
              <w:t xml:space="preserve"> </w:t>
            </w:r>
            <w:r w:rsidRPr="00D87BAA">
              <w:rPr>
                <w:color w:val="000000"/>
                <w:sz w:val="20"/>
                <w:szCs w:val="20"/>
              </w:rPr>
              <w:t>2.38)</w:t>
            </w:r>
          </w:p>
        </w:tc>
        <w:tc>
          <w:tcPr>
            <w:tcW w:w="769" w:type="dxa"/>
            <w:vAlign w:val="center"/>
          </w:tcPr>
          <w:p w14:paraId="7672D2C0" w14:textId="07BCE7D4" w:rsidR="00D87BAA" w:rsidRPr="00BB6901" w:rsidRDefault="00D87BAA" w:rsidP="001579B2">
            <w:pPr>
              <w:jc w:val="center"/>
              <w:rPr>
                <w:color w:val="000000"/>
                <w:sz w:val="20"/>
                <w:szCs w:val="20"/>
              </w:rPr>
            </w:pPr>
            <w:r w:rsidRPr="00D87BAA">
              <w:rPr>
                <w:color w:val="000000"/>
                <w:sz w:val="20"/>
                <w:szCs w:val="20"/>
              </w:rPr>
              <w:t>0.275</w:t>
            </w:r>
          </w:p>
        </w:tc>
      </w:tr>
    </w:tbl>
    <w:p w14:paraId="20FAA7BC" w14:textId="77777777" w:rsidR="00BB6901" w:rsidRPr="00BB6901" w:rsidRDefault="00BB6901" w:rsidP="00BB6901">
      <w:pPr>
        <w:rPr>
          <w:lang w:val="en-GB"/>
        </w:rPr>
      </w:pPr>
    </w:p>
    <w:p w14:paraId="4B01A5F9" w14:textId="77777777" w:rsidR="00BB6901" w:rsidRPr="00BB6901" w:rsidRDefault="00BB6901" w:rsidP="00BB6901">
      <w:pPr>
        <w:rPr>
          <w:lang w:val="en-GB"/>
        </w:rPr>
      </w:pPr>
    </w:p>
    <w:p w14:paraId="194910A9" w14:textId="77777777" w:rsidR="00BB6901" w:rsidRPr="00BB6901" w:rsidRDefault="00BB6901" w:rsidP="00BB6901">
      <w:pPr>
        <w:rPr>
          <w:lang w:val="en-GB"/>
        </w:rPr>
      </w:pPr>
    </w:p>
    <w:p w14:paraId="2310D6A6" w14:textId="77777777" w:rsidR="00BB6901" w:rsidRPr="00BB6901" w:rsidRDefault="00BB6901" w:rsidP="00BB6901">
      <w:pPr>
        <w:rPr>
          <w:lang w:val="en-GB"/>
        </w:rPr>
      </w:pPr>
    </w:p>
    <w:p w14:paraId="58075B12" w14:textId="77777777" w:rsidR="00BB6901" w:rsidRPr="00BB6901" w:rsidRDefault="00BB6901" w:rsidP="00BB6901">
      <w:pPr>
        <w:rPr>
          <w:lang w:val="en-GB"/>
        </w:rPr>
      </w:pPr>
    </w:p>
    <w:p w14:paraId="2D3DA74B" w14:textId="77777777" w:rsidR="00BB6901" w:rsidRPr="00BB6901" w:rsidRDefault="00BB6901" w:rsidP="00BB6901">
      <w:pPr>
        <w:rPr>
          <w:lang w:val="en-GB"/>
        </w:rPr>
      </w:pPr>
    </w:p>
    <w:p w14:paraId="3147B559" w14:textId="77777777" w:rsidR="00BB6901" w:rsidRPr="00BB6901" w:rsidRDefault="00BB6901" w:rsidP="00BB6901">
      <w:pPr>
        <w:rPr>
          <w:lang w:val="en-GB"/>
        </w:rPr>
      </w:pPr>
    </w:p>
    <w:sectPr w:rsidR="00BB6901" w:rsidRPr="00BB6901" w:rsidSect="00BB6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2"/>
    <w:multiLevelType w:val="hybridMultilevel"/>
    <w:tmpl w:val="87BE0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6D80"/>
    <w:multiLevelType w:val="hybridMultilevel"/>
    <w:tmpl w:val="1D440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9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6042F"/>
    <w:multiLevelType w:val="hybridMultilevel"/>
    <w:tmpl w:val="3BB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3598"/>
    <w:multiLevelType w:val="hybridMultilevel"/>
    <w:tmpl w:val="698A6CDE"/>
    <w:lvl w:ilvl="0" w:tplc="02B2D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5" w15:restartNumberingAfterBreak="0">
    <w:nsid w:val="24754625"/>
    <w:multiLevelType w:val="hybridMultilevel"/>
    <w:tmpl w:val="80AE1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0E21"/>
    <w:multiLevelType w:val="hybridMultilevel"/>
    <w:tmpl w:val="937C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3484"/>
    <w:multiLevelType w:val="hybridMultilevel"/>
    <w:tmpl w:val="BE8A5D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D1BA1"/>
    <w:multiLevelType w:val="hybridMultilevel"/>
    <w:tmpl w:val="2E3AC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6E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BF5D65"/>
    <w:multiLevelType w:val="hybridMultilevel"/>
    <w:tmpl w:val="78AE060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6AFF0F23"/>
    <w:multiLevelType w:val="hybridMultilevel"/>
    <w:tmpl w:val="E5848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599C"/>
    <w:multiLevelType w:val="hybridMultilevel"/>
    <w:tmpl w:val="EE84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1"/>
    <w:rsid w:val="001579B2"/>
    <w:rsid w:val="00157FF6"/>
    <w:rsid w:val="002173E6"/>
    <w:rsid w:val="002C2427"/>
    <w:rsid w:val="002E528A"/>
    <w:rsid w:val="00320378"/>
    <w:rsid w:val="004A6D0B"/>
    <w:rsid w:val="00535EB7"/>
    <w:rsid w:val="005674CF"/>
    <w:rsid w:val="00597B16"/>
    <w:rsid w:val="00616E64"/>
    <w:rsid w:val="00797A7B"/>
    <w:rsid w:val="00990D3B"/>
    <w:rsid w:val="00BB6901"/>
    <w:rsid w:val="00C66BAA"/>
    <w:rsid w:val="00D11805"/>
    <w:rsid w:val="00D87BAA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D045"/>
  <w15:chartTrackingRefBased/>
  <w15:docId w15:val="{9905502B-AD57-4682-B5E1-459AF4F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9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B69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6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6901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6901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leGrid">
    <w:name w:val="Table Grid"/>
    <w:basedOn w:val="TableNormal"/>
    <w:uiPriority w:val="59"/>
    <w:rsid w:val="00BB690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uiPriority w:val="46"/>
    <w:rsid w:val="00BB690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">
    <w:name w:val="EndNote Bibliography"/>
    <w:basedOn w:val="Normal"/>
    <w:link w:val="EndNoteBibliographyChar"/>
    <w:rsid w:val="00BB690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6901"/>
    <w:rPr>
      <w:rFonts w:ascii="Calibri" w:hAnsi="Calibri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BB6901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BB690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6901"/>
    <w:rPr>
      <w:lang w:val="en-GB"/>
    </w:rPr>
  </w:style>
  <w:style w:type="character" w:styleId="IntenseEmphasis">
    <w:name w:val="Intense Emphasis"/>
    <w:basedOn w:val="DefaultParagraphFont"/>
    <w:uiPriority w:val="21"/>
    <w:qFormat/>
    <w:rsid w:val="00BB6901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BB690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690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69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69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69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9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B6901"/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B690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690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B690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B690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B69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9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6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90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9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0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01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01"/>
    <w:rPr>
      <w:rFonts w:ascii="Segoe UI" w:hAnsi="Segoe UI" w:cs="Segoe UI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BB6901"/>
    <w:pPr>
      <w:spacing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Esperanca Sevene</dc:creator>
  <cp:keywords/>
  <dc:description/>
  <cp:lastModifiedBy>Stephanie Dellicour</cp:lastModifiedBy>
  <cp:revision>2</cp:revision>
  <dcterms:created xsi:type="dcterms:W3CDTF">2017-03-03T20:29:00Z</dcterms:created>
  <dcterms:modified xsi:type="dcterms:W3CDTF">2017-03-03T20:29:00Z</dcterms:modified>
</cp:coreProperties>
</file>