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335F2" w14:textId="77777777" w:rsidR="0042379D" w:rsidRPr="00913E6B" w:rsidRDefault="0042379D">
      <w:pPr>
        <w:rPr>
          <w:rFonts w:ascii="Times New Roman" w:eastAsia="Batang" w:hAnsi="Times New Roman" w:cs="Times New Roman"/>
          <w:sz w:val="24"/>
          <w:szCs w:val="24"/>
        </w:rPr>
      </w:pPr>
      <w:r w:rsidRPr="00913E6B">
        <w:rPr>
          <w:rFonts w:ascii="Times New Roman" w:eastAsia="Batang" w:hAnsi="Times New Roman" w:cs="Times New Roman"/>
          <w:sz w:val="24"/>
          <w:szCs w:val="24"/>
        </w:rPr>
        <w:t>Additional file 1</w:t>
      </w:r>
    </w:p>
    <w:p w14:paraId="4AC93D09" w14:textId="77777777" w:rsidR="0042379D" w:rsidRDefault="0042379D">
      <w:pPr>
        <w:rPr>
          <w:rFonts w:ascii="Times New Roman" w:eastAsia="Batang" w:hAnsi="Times New Roman" w:cs="Times New Roman"/>
          <w:sz w:val="24"/>
          <w:szCs w:val="24"/>
        </w:rPr>
      </w:pPr>
      <w:r w:rsidRPr="00913E6B">
        <w:rPr>
          <w:rFonts w:ascii="Times New Roman" w:eastAsia="Batang" w:hAnsi="Times New Roman" w:cs="Times New Roman"/>
          <w:sz w:val="24"/>
          <w:szCs w:val="24"/>
        </w:rPr>
        <w:t xml:space="preserve">Table S1: </w:t>
      </w:r>
      <w:r w:rsidR="00913E6B" w:rsidRPr="00913E6B">
        <w:rPr>
          <w:rFonts w:ascii="Times New Roman" w:eastAsia="Batang" w:hAnsi="Times New Roman" w:cs="Times New Roman"/>
          <w:sz w:val="24"/>
          <w:szCs w:val="24"/>
        </w:rPr>
        <w:t>Comparison</w:t>
      </w:r>
      <w:r w:rsidR="00DF36BB" w:rsidRPr="00913E6B">
        <w:rPr>
          <w:rFonts w:ascii="Times New Roman" w:eastAsia="Batang" w:hAnsi="Times New Roman" w:cs="Times New Roman"/>
          <w:sz w:val="24"/>
          <w:szCs w:val="24"/>
        </w:rPr>
        <w:t xml:space="preserve"> o</w:t>
      </w:r>
      <w:r w:rsidR="00913E6B">
        <w:rPr>
          <w:rFonts w:ascii="Times New Roman" w:eastAsia="Batang" w:hAnsi="Times New Roman" w:cs="Times New Roman"/>
          <w:sz w:val="24"/>
          <w:szCs w:val="24"/>
        </w:rPr>
        <w:t xml:space="preserve">f pneumococcal colonization </w:t>
      </w:r>
      <w:r w:rsidR="00913E6B" w:rsidRPr="00913E6B">
        <w:rPr>
          <w:rFonts w:ascii="Times New Roman" w:eastAsia="Batang" w:hAnsi="Times New Roman" w:cs="Times New Roman"/>
          <w:sz w:val="24"/>
          <w:szCs w:val="24"/>
        </w:rPr>
        <w:t>between the 2009 and 2010 surveys</w:t>
      </w:r>
    </w:p>
    <w:tbl>
      <w:tblPr>
        <w:tblW w:w="10636" w:type="dxa"/>
        <w:tblInd w:w="-360" w:type="dxa"/>
        <w:tblLook w:val="04A0" w:firstRow="1" w:lastRow="0" w:firstColumn="1" w:lastColumn="0" w:noHBand="0" w:noVBand="1"/>
      </w:tblPr>
      <w:tblGrid>
        <w:gridCol w:w="3615"/>
        <w:gridCol w:w="2003"/>
        <w:gridCol w:w="2003"/>
        <w:gridCol w:w="2003"/>
        <w:gridCol w:w="1012"/>
      </w:tblGrid>
      <w:tr w:rsidR="00913E6B" w:rsidRPr="00E15203" w14:paraId="42483375" w14:textId="77777777" w:rsidTr="001D6F20">
        <w:trPr>
          <w:trHeight w:val="315"/>
        </w:trPr>
        <w:tc>
          <w:tcPr>
            <w:tcW w:w="36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75DFC" w14:textId="77777777" w:rsidR="00913E6B" w:rsidRPr="00E15203" w:rsidRDefault="00913E6B" w:rsidP="001D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581D4C9C" w14:textId="77777777" w:rsidR="00913E6B" w:rsidRPr="00E15203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0E21F" w14:textId="77777777" w:rsidR="00913E6B" w:rsidRPr="00E15203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BD37" w14:textId="77777777" w:rsidR="00913E6B" w:rsidRPr="00E15203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ACDDC" w14:textId="77777777" w:rsidR="00913E6B" w:rsidRPr="003A46D4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0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value, 2009 vs. 2010</w:t>
            </w:r>
          </w:p>
        </w:tc>
      </w:tr>
      <w:tr w:rsidR="00913E6B" w:rsidRPr="00E15203" w14:paraId="16BA5541" w14:textId="77777777" w:rsidTr="001D6F20">
        <w:trPr>
          <w:trHeight w:val="330"/>
        </w:trPr>
        <w:tc>
          <w:tcPr>
            <w:tcW w:w="36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AF4BB" w14:textId="77777777" w:rsidR="00913E6B" w:rsidRPr="00E15203" w:rsidRDefault="00913E6B" w:rsidP="001D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EBB92FB" w14:textId="77777777" w:rsidR="00913E6B" w:rsidRPr="00E15203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(N=1,087)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029A59" w14:textId="77777777" w:rsidR="00913E6B" w:rsidRPr="00E15203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(N=697</w:t>
            </w:r>
            <w:r w:rsidRPr="00E1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2924" w14:textId="77777777" w:rsidR="00913E6B" w:rsidRPr="00E15203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(N=390</w:t>
            </w:r>
            <w:r w:rsidRPr="00E1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1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307F17A1" w14:textId="77777777" w:rsidR="00913E6B" w:rsidRPr="00E15203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E6B" w:rsidRPr="00E15203" w14:paraId="12E8DD4C" w14:textId="77777777" w:rsidTr="001D6F20">
        <w:trPr>
          <w:trHeight w:val="315"/>
        </w:trPr>
        <w:tc>
          <w:tcPr>
            <w:tcW w:w="36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6952" w14:textId="77777777" w:rsidR="00913E6B" w:rsidRPr="00E15203" w:rsidRDefault="00913E6B" w:rsidP="001D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Serotype of colonized pneumococcus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E8625F0" w14:textId="77777777" w:rsidR="00913E6B" w:rsidRPr="00DA1365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(Weighted %; 95% CI)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A360A" w14:textId="77777777" w:rsidR="00913E6B" w:rsidRPr="00E15203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ECE8" w14:textId="77777777" w:rsidR="00913E6B" w:rsidRPr="00E15203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520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Weighted </w:t>
            </w:r>
            <w:r w:rsidRPr="00E15203">
              <w:rPr>
                <w:rFonts w:ascii="Times New Roman" w:eastAsia="Times New Roman" w:hAnsi="Times New Roman" w:cs="Times New Roman"/>
                <w:sz w:val="24"/>
                <w:szCs w:val="24"/>
              </w:rPr>
              <w:t>%; 95% CI)</w:t>
            </w:r>
          </w:p>
        </w:tc>
        <w:tc>
          <w:tcPr>
            <w:tcW w:w="101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3860DD" w14:textId="77777777" w:rsidR="00913E6B" w:rsidRPr="00E15203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E6B" w:rsidRPr="00E15203" w14:paraId="2CF563BA" w14:textId="77777777" w:rsidTr="001D6F20">
        <w:trPr>
          <w:trHeight w:val="300"/>
        </w:trPr>
        <w:tc>
          <w:tcPr>
            <w:tcW w:w="36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E6C60" w14:textId="77777777" w:rsidR="00913E6B" w:rsidRPr="00E15203" w:rsidRDefault="00913E6B" w:rsidP="001D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F106875" w14:textId="77777777" w:rsidR="00913E6B" w:rsidRPr="00E15203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841238" w14:textId="77777777" w:rsidR="00913E6B" w:rsidRPr="00E15203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Weighted </w:t>
            </w:r>
            <w:r w:rsidRPr="00E1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%; 95% CI)</w:t>
            </w:r>
          </w:p>
          <w:p w14:paraId="1CBBAD49" w14:textId="77777777" w:rsidR="00913E6B" w:rsidRPr="00E15203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3932C" w14:textId="77777777" w:rsidR="00913E6B" w:rsidRPr="00E15203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61EE08" w14:textId="77777777" w:rsidR="00913E6B" w:rsidRPr="00E15203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E6B" w:rsidRPr="00E15203" w14:paraId="1EA0E71F" w14:textId="77777777" w:rsidTr="00913E6B">
        <w:trPr>
          <w:trHeight w:val="330"/>
        </w:trPr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FFA099" w14:textId="77777777" w:rsidR="00913E6B" w:rsidRPr="00E15203" w:rsidRDefault="00913E6B" w:rsidP="001D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serotype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5C0F91A" w14:textId="77777777" w:rsidR="00913E6B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983</w:t>
            </w:r>
          </w:p>
          <w:p w14:paraId="67214D62" w14:textId="77777777" w:rsidR="00913E6B" w:rsidRPr="00E15203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(90.0; 88.0–92.0)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A29ADF" w14:textId="77777777" w:rsidR="00913E6B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624 </w:t>
            </w:r>
          </w:p>
          <w:p w14:paraId="101C1091" w14:textId="77777777" w:rsidR="00913E6B" w:rsidRPr="00E15203" w:rsidRDefault="00111CEC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(88.1; 85.3–90.</w:t>
            </w:r>
            <w:r w:rsidR="00986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13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B43CF4" w14:textId="77777777" w:rsidR="00913E6B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359</w:t>
            </w:r>
          </w:p>
          <w:p w14:paraId="609331E8" w14:textId="77777777" w:rsidR="00913E6B" w:rsidRPr="00E15203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(92.0; </w:t>
            </w:r>
            <w:r w:rsidR="00111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89.2–94.8)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9EE863F" w14:textId="77777777" w:rsidR="00913E6B" w:rsidRPr="00E15203" w:rsidRDefault="00913E6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913E6B" w:rsidRPr="00E15203" w14:paraId="711F83C6" w14:textId="77777777" w:rsidTr="004A1CEB">
        <w:trPr>
          <w:trHeight w:val="330"/>
        </w:trPr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F47A3" w14:textId="31627CEB" w:rsidR="00913E6B" w:rsidRPr="00E15203" w:rsidRDefault="00913E6B" w:rsidP="00E9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PCV10 type 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3FBF49C" w14:textId="77777777" w:rsidR="00913E6B" w:rsidRDefault="00986BAD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  <w:p w14:paraId="63E3C795" w14:textId="77777777" w:rsidR="003741CB" w:rsidRPr="00E15203" w:rsidRDefault="00CC0006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(37.3; 34.2–40.5</w:t>
            </w:r>
            <w:r w:rsidR="0037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6C80D6" w14:textId="77777777" w:rsidR="00913E6B" w:rsidRDefault="003741CB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  <w:p w14:paraId="41976630" w14:textId="77777777" w:rsidR="003741CB" w:rsidRPr="00E15203" w:rsidRDefault="00CC0006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(34.7; 30.8–38</w:t>
            </w:r>
            <w:r w:rsidR="0037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.6)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380E1C" w14:textId="77777777" w:rsidR="00913E6B" w:rsidRPr="003741CB" w:rsidRDefault="00986BAD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  <w:p w14:paraId="49823DBC" w14:textId="77777777" w:rsidR="003741CB" w:rsidRPr="00E15203" w:rsidRDefault="00CC0006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(40.1; 35.0–45</w:t>
            </w:r>
            <w:r w:rsidR="003741CB" w:rsidRPr="003741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41CB" w:rsidRPr="003741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872EEA" w14:textId="77777777" w:rsidR="00913E6B" w:rsidRPr="00E15203" w:rsidRDefault="00CC0006" w:rsidP="001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</w:tbl>
    <w:p w14:paraId="610F28AE" w14:textId="77777777" w:rsidR="00913E6B" w:rsidRDefault="00913E6B">
      <w:pPr>
        <w:rPr>
          <w:rFonts w:ascii="Times New Roman" w:eastAsia="Batang" w:hAnsi="Times New Roman" w:cs="Times New Roman"/>
          <w:sz w:val="24"/>
          <w:szCs w:val="24"/>
        </w:rPr>
      </w:pPr>
    </w:p>
    <w:p w14:paraId="1D988ED4" w14:textId="77777777" w:rsidR="004A1CEB" w:rsidRDefault="004A1CEB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br w:type="page"/>
      </w:r>
    </w:p>
    <w:p w14:paraId="00AC18E9" w14:textId="3D3C0A77" w:rsidR="004A1CEB" w:rsidRDefault="004A1CEB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Table S2: Serotype distribution of non-v</w:t>
      </w:r>
      <w:r w:rsidR="005E1A27">
        <w:rPr>
          <w:rFonts w:ascii="Times New Roman" w:eastAsia="Batang" w:hAnsi="Times New Roman" w:cs="Times New Roman"/>
          <w:sz w:val="24"/>
          <w:szCs w:val="24"/>
        </w:rPr>
        <w:t>accine type pneumococci (N</w:t>
      </w:r>
      <w:bookmarkStart w:id="0" w:name="_GoBack"/>
      <w:bookmarkEnd w:id="0"/>
      <w:r w:rsidR="00026465">
        <w:rPr>
          <w:rFonts w:ascii="Times New Roman" w:eastAsia="Batang" w:hAnsi="Times New Roman" w:cs="Times New Roman"/>
          <w:sz w:val="24"/>
          <w:szCs w:val="24"/>
        </w:rPr>
        <w:t>=497</w:t>
      </w:r>
      <w:r>
        <w:rPr>
          <w:rFonts w:ascii="Times New Roman" w:eastAsia="Batang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880"/>
      </w:tblGrid>
      <w:tr w:rsidR="00F80F69" w14:paraId="69258BB5" w14:textId="77777777" w:rsidTr="008F056D">
        <w:tc>
          <w:tcPr>
            <w:tcW w:w="1345" w:type="dxa"/>
          </w:tcPr>
          <w:p w14:paraId="65445778" w14:textId="77777777" w:rsidR="00F80F69" w:rsidRPr="0081540B" w:rsidRDefault="00F80F69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81540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Serotype</w:t>
            </w:r>
          </w:p>
        </w:tc>
        <w:tc>
          <w:tcPr>
            <w:tcW w:w="2880" w:type="dxa"/>
          </w:tcPr>
          <w:p w14:paraId="09DC729C" w14:textId="77777777" w:rsidR="00F80F69" w:rsidRPr="0081540B" w:rsidRDefault="00F80F69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81540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N (</w:t>
            </w:r>
            <w:r w:rsidR="00510E64" w:rsidRPr="0081540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Weighted </w:t>
            </w:r>
            <w:r w:rsidRPr="0081540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%; 95% CI)</w:t>
            </w:r>
          </w:p>
        </w:tc>
      </w:tr>
      <w:tr w:rsidR="00F80F69" w14:paraId="44BD170B" w14:textId="77777777" w:rsidTr="008F056D">
        <w:tc>
          <w:tcPr>
            <w:tcW w:w="1345" w:type="dxa"/>
          </w:tcPr>
          <w:p w14:paraId="606D9211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19B</w:t>
            </w:r>
          </w:p>
        </w:tc>
        <w:tc>
          <w:tcPr>
            <w:tcW w:w="2880" w:type="dxa"/>
          </w:tcPr>
          <w:p w14:paraId="668984EB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35 (3.4; 2.2–4.6) </w:t>
            </w:r>
          </w:p>
        </w:tc>
      </w:tr>
      <w:tr w:rsidR="00F80F69" w14:paraId="3E6515EA" w14:textId="77777777" w:rsidTr="008F056D">
        <w:tc>
          <w:tcPr>
            <w:tcW w:w="1345" w:type="dxa"/>
          </w:tcPr>
          <w:p w14:paraId="2529DB83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35B</w:t>
            </w:r>
          </w:p>
        </w:tc>
        <w:tc>
          <w:tcPr>
            <w:tcW w:w="2880" w:type="dxa"/>
          </w:tcPr>
          <w:p w14:paraId="51D6F440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34 (3.5; 2.2–4.7) </w:t>
            </w:r>
          </w:p>
        </w:tc>
      </w:tr>
      <w:tr w:rsidR="00F80F69" w14:paraId="20DD0F48" w14:textId="77777777" w:rsidTr="008F056D">
        <w:tc>
          <w:tcPr>
            <w:tcW w:w="1345" w:type="dxa"/>
          </w:tcPr>
          <w:p w14:paraId="4706839B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2880" w:type="dxa"/>
          </w:tcPr>
          <w:p w14:paraId="5FF3A3BA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34</w:t>
            </w:r>
            <w:r w:rsidR="00510E6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(3.3; 2.1–4.5) </w:t>
            </w:r>
          </w:p>
        </w:tc>
      </w:tr>
      <w:tr w:rsidR="00F80F69" w14:paraId="77AC0930" w14:textId="77777777" w:rsidTr="008F056D">
        <w:tc>
          <w:tcPr>
            <w:tcW w:w="1345" w:type="dxa"/>
          </w:tcPr>
          <w:p w14:paraId="5BA00888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15B</w:t>
            </w:r>
          </w:p>
        </w:tc>
        <w:tc>
          <w:tcPr>
            <w:tcW w:w="2880" w:type="dxa"/>
          </w:tcPr>
          <w:p w14:paraId="25743F45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33</w:t>
            </w:r>
            <w:r w:rsidR="00510E6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(3.4; 2.1–4.6) </w:t>
            </w:r>
          </w:p>
        </w:tc>
      </w:tr>
      <w:tr w:rsidR="00F80F69" w14:paraId="0CB0F203" w14:textId="77777777" w:rsidTr="008F056D">
        <w:tc>
          <w:tcPr>
            <w:tcW w:w="1345" w:type="dxa"/>
          </w:tcPr>
          <w:p w14:paraId="1DE96F73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15A</w:t>
            </w:r>
          </w:p>
        </w:tc>
        <w:tc>
          <w:tcPr>
            <w:tcW w:w="2880" w:type="dxa"/>
          </w:tcPr>
          <w:p w14:paraId="1F654FBE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29</w:t>
            </w:r>
            <w:r w:rsidR="00510E6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(3.1; 1.9–4.3) </w:t>
            </w:r>
          </w:p>
        </w:tc>
      </w:tr>
      <w:tr w:rsidR="00F80F69" w14:paraId="295EFB2F" w14:textId="77777777" w:rsidTr="008F056D">
        <w:tc>
          <w:tcPr>
            <w:tcW w:w="1345" w:type="dxa"/>
          </w:tcPr>
          <w:p w14:paraId="7B41033A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14:paraId="0825B35F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26</w:t>
            </w:r>
            <w:r w:rsidR="00510E6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(2.4; 1.4–3.4)  </w:t>
            </w:r>
          </w:p>
        </w:tc>
      </w:tr>
      <w:tr w:rsidR="00F80F69" w14:paraId="7D3641E5" w14:textId="77777777" w:rsidTr="008F056D">
        <w:tc>
          <w:tcPr>
            <w:tcW w:w="1345" w:type="dxa"/>
          </w:tcPr>
          <w:p w14:paraId="3BD71257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0" w:type="dxa"/>
          </w:tcPr>
          <w:p w14:paraId="44E76C65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23</w:t>
            </w:r>
            <w:r w:rsidR="001420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(2.7; 1.6–3.9) </w:t>
            </w:r>
          </w:p>
        </w:tc>
      </w:tr>
      <w:tr w:rsidR="00F80F69" w14:paraId="38C49F79" w14:textId="77777777" w:rsidTr="008F056D">
        <w:tc>
          <w:tcPr>
            <w:tcW w:w="1345" w:type="dxa"/>
          </w:tcPr>
          <w:p w14:paraId="258ADAEA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15C</w:t>
            </w:r>
          </w:p>
        </w:tc>
        <w:tc>
          <w:tcPr>
            <w:tcW w:w="2880" w:type="dxa"/>
          </w:tcPr>
          <w:p w14:paraId="5AFD0C10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22</w:t>
            </w:r>
            <w:r w:rsidR="001420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(2.3; 1.3–3.3) </w:t>
            </w:r>
          </w:p>
        </w:tc>
      </w:tr>
      <w:tr w:rsidR="00F80F69" w14:paraId="5277B834" w14:textId="77777777" w:rsidTr="008F056D">
        <w:tc>
          <w:tcPr>
            <w:tcW w:w="1345" w:type="dxa"/>
          </w:tcPr>
          <w:p w14:paraId="6A26C0BE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16F</w:t>
            </w:r>
          </w:p>
        </w:tc>
        <w:tc>
          <w:tcPr>
            <w:tcW w:w="2880" w:type="dxa"/>
          </w:tcPr>
          <w:p w14:paraId="6BBD266B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21</w:t>
            </w:r>
            <w:r w:rsidR="001420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(2.1; 1.1–3.1) </w:t>
            </w:r>
          </w:p>
        </w:tc>
      </w:tr>
      <w:tr w:rsidR="00F80F69" w14:paraId="5AA99D52" w14:textId="77777777" w:rsidTr="008F056D">
        <w:tc>
          <w:tcPr>
            <w:tcW w:w="1345" w:type="dxa"/>
          </w:tcPr>
          <w:p w14:paraId="55E27AEE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2880" w:type="dxa"/>
          </w:tcPr>
          <w:p w14:paraId="6C92E6B5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  <w:r w:rsidR="001420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(2.3; 1.2–3.3) </w:t>
            </w:r>
          </w:p>
        </w:tc>
      </w:tr>
      <w:tr w:rsidR="00F80F69" w14:paraId="1A6CE644" w14:textId="77777777" w:rsidTr="008F056D">
        <w:tc>
          <w:tcPr>
            <w:tcW w:w="1345" w:type="dxa"/>
          </w:tcPr>
          <w:p w14:paraId="38053E76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23B</w:t>
            </w:r>
          </w:p>
        </w:tc>
        <w:tc>
          <w:tcPr>
            <w:tcW w:w="2880" w:type="dxa"/>
          </w:tcPr>
          <w:p w14:paraId="3C3A0F62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18</w:t>
            </w:r>
            <w:r w:rsidR="001420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(1.7; 0.8–2.5) </w:t>
            </w:r>
          </w:p>
        </w:tc>
      </w:tr>
      <w:tr w:rsidR="00F80F69" w14:paraId="0C6CB5CB" w14:textId="77777777" w:rsidTr="008F056D">
        <w:tc>
          <w:tcPr>
            <w:tcW w:w="1345" w:type="dxa"/>
          </w:tcPr>
          <w:p w14:paraId="5ECA7300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10A</w:t>
            </w:r>
          </w:p>
        </w:tc>
        <w:tc>
          <w:tcPr>
            <w:tcW w:w="2880" w:type="dxa"/>
          </w:tcPr>
          <w:p w14:paraId="17AABEF7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18</w:t>
            </w:r>
            <w:r w:rsidR="001420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(1.8; 0.9–2.7)  </w:t>
            </w:r>
          </w:p>
        </w:tc>
      </w:tr>
      <w:tr w:rsidR="00F80F69" w14:paraId="304A5190" w14:textId="77777777" w:rsidTr="008F056D">
        <w:tc>
          <w:tcPr>
            <w:tcW w:w="1345" w:type="dxa"/>
          </w:tcPr>
          <w:p w14:paraId="4186D8BB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14:paraId="6D35494F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15</w:t>
            </w:r>
            <w:r w:rsidR="001420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(1.0; 0.5–1.6) </w:t>
            </w:r>
          </w:p>
        </w:tc>
      </w:tr>
      <w:tr w:rsidR="00F80F69" w14:paraId="19F5AD06" w14:textId="77777777" w:rsidTr="008F056D">
        <w:tc>
          <w:tcPr>
            <w:tcW w:w="1345" w:type="dxa"/>
          </w:tcPr>
          <w:p w14:paraId="2E27D083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18A</w:t>
            </w:r>
          </w:p>
        </w:tc>
        <w:tc>
          <w:tcPr>
            <w:tcW w:w="2880" w:type="dxa"/>
          </w:tcPr>
          <w:p w14:paraId="48770B34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13</w:t>
            </w:r>
            <w:r w:rsidR="001420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(1.1; 0.4–1.8) </w:t>
            </w:r>
          </w:p>
        </w:tc>
      </w:tr>
      <w:tr w:rsidR="00F80F69" w14:paraId="0FFB5F66" w14:textId="77777777" w:rsidTr="008F056D">
        <w:tc>
          <w:tcPr>
            <w:tcW w:w="1345" w:type="dxa"/>
          </w:tcPr>
          <w:p w14:paraId="00FB7E93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10F</w:t>
            </w:r>
          </w:p>
        </w:tc>
        <w:tc>
          <w:tcPr>
            <w:tcW w:w="2880" w:type="dxa"/>
          </w:tcPr>
          <w:p w14:paraId="4B337424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  <w:r w:rsidR="001420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(0.8; 0.3–1.4) </w:t>
            </w:r>
          </w:p>
        </w:tc>
      </w:tr>
      <w:tr w:rsidR="00F80F69" w14:paraId="642151EE" w14:textId="77777777" w:rsidTr="008F056D">
        <w:tc>
          <w:tcPr>
            <w:tcW w:w="1345" w:type="dxa"/>
          </w:tcPr>
          <w:p w14:paraId="39879496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23A</w:t>
            </w:r>
          </w:p>
        </w:tc>
        <w:tc>
          <w:tcPr>
            <w:tcW w:w="2880" w:type="dxa"/>
          </w:tcPr>
          <w:p w14:paraId="215C11BD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  <w:r w:rsidR="001420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(0.8; 0.2–1.3) </w:t>
            </w:r>
          </w:p>
        </w:tc>
      </w:tr>
      <w:tr w:rsidR="00F80F69" w14:paraId="5024569F" w14:textId="77777777" w:rsidTr="008F056D">
        <w:tc>
          <w:tcPr>
            <w:tcW w:w="1345" w:type="dxa"/>
          </w:tcPr>
          <w:p w14:paraId="6D51023B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17F</w:t>
            </w:r>
          </w:p>
        </w:tc>
        <w:tc>
          <w:tcPr>
            <w:tcW w:w="2880" w:type="dxa"/>
          </w:tcPr>
          <w:p w14:paraId="57CF8B6A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  <w:r w:rsidR="001420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(0.8; 0.2–1.3) </w:t>
            </w:r>
          </w:p>
        </w:tc>
      </w:tr>
      <w:tr w:rsidR="00F80F69" w14:paraId="7C1CF624" w14:textId="77777777" w:rsidTr="008F056D">
        <w:tc>
          <w:tcPr>
            <w:tcW w:w="1345" w:type="dxa"/>
          </w:tcPr>
          <w:p w14:paraId="1D1BE7EF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80" w:type="dxa"/>
          </w:tcPr>
          <w:p w14:paraId="529D6AF4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</w:t>
            </w:r>
            <w:r w:rsidR="001420E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(0.7; 0.2–1.2) </w:t>
            </w:r>
          </w:p>
        </w:tc>
      </w:tr>
      <w:tr w:rsidR="00F80F69" w14:paraId="32563C1B" w14:textId="77777777" w:rsidTr="008F056D">
        <w:tc>
          <w:tcPr>
            <w:tcW w:w="1345" w:type="dxa"/>
          </w:tcPr>
          <w:p w14:paraId="7E1BCBAB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2880" w:type="dxa"/>
          </w:tcPr>
          <w:p w14:paraId="0B61646C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  <w:r w:rsidR="00363A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(0.6; 0.1–1.0) </w:t>
            </w:r>
          </w:p>
        </w:tc>
      </w:tr>
      <w:tr w:rsidR="00F80F69" w14:paraId="3A130BC1" w14:textId="77777777" w:rsidTr="008F056D">
        <w:tc>
          <w:tcPr>
            <w:tcW w:w="1345" w:type="dxa"/>
          </w:tcPr>
          <w:p w14:paraId="314CAC7B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12F</w:t>
            </w:r>
          </w:p>
        </w:tc>
        <w:tc>
          <w:tcPr>
            <w:tcW w:w="2880" w:type="dxa"/>
          </w:tcPr>
          <w:p w14:paraId="6581A7E6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  <w:r w:rsidR="00363A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(0.6; 0.1–1.0) </w:t>
            </w:r>
          </w:p>
        </w:tc>
      </w:tr>
      <w:tr w:rsidR="00F80F69" w14:paraId="35164B24" w14:textId="77777777" w:rsidTr="008F056D">
        <w:tc>
          <w:tcPr>
            <w:tcW w:w="1345" w:type="dxa"/>
          </w:tcPr>
          <w:p w14:paraId="07B6C5DB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35A</w:t>
            </w:r>
          </w:p>
        </w:tc>
        <w:tc>
          <w:tcPr>
            <w:tcW w:w="2880" w:type="dxa"/>
          </w:tcPr>
          <w:p w14:paraId="09D114C4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  <w:r w:rsidR="00363A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(0.5; 0.06–0.1)</w:t>
            </w:r>
          </w:p>
        </w:tc>
      </w:tr>
      <w:tr w:rsidR="00F80F69" w14:paraId="70D69DC5" w14:textId="77777777" w:rsidTr="008F056D">
        <w:tc>
          <w:tcPr>
            <w:tcW w:w="1345" w:type="dxa"/>
          </w:tcPr>
          <w:p w14:paraId="334D76CD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33D</w:t>
            </w:r>
          </w:p>
        </w:tc>
        <w:tc>
          <w:tcPr>
            <w:tcW w:w="2880" w:type="dxa"/>
          </w:tcPr>
          <w:p w14:paraId="3DD35E54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 w:rsidR="00363A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(0.6; 0.01–1.1)  </w:t>
            </w:r>
          </w:p>
        </w:tc>
      </w:tr>
      <w:tr w:rsidR="00F80F69" w14:paraId="275C2766" w14:textId="77777777" w:rsidTr="008F056D">
        <w:tc>
          <w:tcPr>
            <w:tcW w:w="1345" w:type="dxa"/>
          </w:tcPr>
          <w:p w14:paraId="746F85ED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0" w:type="dxa"/>
          </w:tcPr>
          <w:p w14:paraId="7571BC92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 w:rsidR="00363A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(0.5; 0–1.0) </w:t>
            </w:r>
          </w:p>
        </w:tc>
      </w:tr>
      <w:tr w:rsidR="00F80F69" w14:paraId="3D7287E3" w14:textId="77777777" w:rsidTr="008F056D">
        <w:tc>
          <w:tcPr>
            <w:tcW w:w="1345" w:type="dxa"/>
          </w:tcPr>
          <w:p w14:paraId="15603F5C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35F</w:t>
            </w:r>
          </w:p>
        </w:tc>
        <w:tc>
          <w:tcPr>
            <w:tcW w:w="2880" w:type="dxa"/>
          </w:tcPr>
          <w:p w14:paraId="286B74F4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 w:rsidR="00363A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(0.3; 0–0.7) </w:t>
            </w:r>
          </w:p>
        </w:tc>
      </w:tr>
      <w:tr w:rsidR="00F80F69" w14:paraId="19DF8A3D" w14:textId="77777777" w:rsidTr="008F056D">
        <w:tc>
          <w:tcPr>
            <w:tcW w:w="1345" w:type="dxa"/>
          </w:tcPr>
          <w:p w14:paraId="6DD3E1BC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80" w:type="dxa"/>
          </w:tcPr>
          <w:p w14:paraId="7487D411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 w:rsidR="00363A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(0.2; 0.005–0.4) </w:t>
            </w:r>
          </w:p>
        </w:tc>
      </w:tr>
      <w:tr w:rsidR="00F80F69" w14:paraId="6C1E8EC2" w14:textId="77777777" w:rsidTr="008F056D">
        <w:tc>
          <w:tcPr>
            <w:tcW w:w="1345" w:type="dxa"/>
          </w:tcPr>
          <w:p w14:paraId="2FC6F597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24F</w:t>
            </w:r>
          </w:p>
        </w:tc>
        <w:tc>
          <w:tcPr>
            <w:tcW w:w="2880" w:type="dxa"/>
          </w:tcPr>
          <w:p w14:paraId="7EC87ADE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 w:rsidR="00363A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(0.6; 0.01–1.1)  </w:t>
            </w:r>
          </w:p>
        </w:tc>
      </w:tr>
      <w:tr w:rsidR="00F80F69" w14:paraId="7065F1CB" w14:textId="77777777" w:rsidTr="008F056D">
        <w:tc>
          <w:tcPr>
            <w:tcW w:w="1345" w:type="dxa"/>
          </w:tcPr>
          <w:p w14:paraId="6B5788E8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9N</w:t>
            </w:r>
          </w:p>
        </w:tc>
        <w:tc>
          <w:tcPr>
            <w:tcW w:w="2880" w:type="dxa"/>
          </w:tcPr>
          <w:p w14:paraId="182C23CB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363A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(0.2; 0–0.5)  </w:t>
            </w:r>
          </w:p>
        </w:tc>
      </w:tr>
      <w:tr w:rsidR="00F80F69" w14:paraId="123AFD13" w14:textId="77777777" w:rsidTr="008F056D">
        <w:tc>
          <w:tcPr>
            <w:tcW w:w="1345" w:type="dxa"/>
          </w:tcPr>
          <w:p w14:paraId="11F9EACA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25A</w:t>
            </w:r>
          </w:p>
        </w:tc>
        <w:tc>
          <w:tcPr>
            <w:tcW w:w="2880" w:type="dxa"/>
          </w:tcPr>
          <w:p w14:paraId="3BB10C8B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363A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(0.1; 0–0.3) </w:t>
            </w:r>
          </w:p>
        </w:tc>
      </w:tr>
      <w:tr w:rsidR="00F80F69" w14:paraId="16862B65" w14:textId="77777777" w:rsidTr="008F056D">
        <w:tc>
          <w:tcPr>
            <w:tcW w:w="1345" w:type="dxa"/>
          </w:tcPr>
          <w:p w14:paraId="7C0B8DCD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9L</w:t>
            </w:r>
          </w:p>
        </w:tc>
        <w:tc>
          <w:tcPr>
            <w:tcW w:w="2880" w:type="dxa"/>
          </w:tcPr>
          <w:p w14:paraId="624BF1C0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363A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(0.1; 0–0.3) </w:t>
            </w:r>
          </w:p>
        </w:tc>
      </w:tr>
      <w:tr w:rsidR="00F80F69" w14:paraId="39520F4E" w14:textId="77777777" w:rsidTr="008F056D">
        <w:tc>
          <w:tcPr>
            <w:tcW w:w="1345" w:type="dxa"/>
          </w:tcPr>
          <w:p w14:paraId="343B7099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22F</w:t>
            </w:r>
          </w:p>
        </w:tc>
        <w:tc>
          <w:tcPr>
            <w:tcW w:w="2880" w:type="dxa"/>
          </w:tcPr>
          <w:p w14:paraId="675B6C2E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363A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(0.2; 0–0.5) </w:t>
            </w:r>
          </w:p>
        </w:tc>
      </w:tr>
      <w:tr w:rsidR="00F80F69" w14:paraId="304F1086" w14:textId="77777777" w:rsidTr="008F056D">
        <w:tc>
          <w:tcPr>
            <w:tcW w:w="1345" w:type="dxa"/>
          </w:tcPr>
          <w:p w14:paraId="1C220113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33F</w:t>
            </w:r>
          </w:p>
        </w:tc>
        <w:tc>
          <w:tcPr>
            <w:tcW w:w="2880" w:type="dxa"/>
          </w:tcPr>
          <w:p w14:paraId="5F8FF24B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363A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(0.2; 0–0.5) </w:t>
            </w:r>
          </w:p>
        </w:tc>
      </w:tr>
      <w:tr w:rsidR="00F80F69" w14:paraId="151BFACD" w14:textId="77777777" w:rsidTr="008F056D">
        <w:tc>
          <w:tcPr>
            <w:tcW w:w="1345" w:type="dxa"/>
          </w:tcPr>
          <w:p w14:paraId="6439A005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80" w:type="dxa"/>
          </w:tcPr>
          <w:p w14:paraId="11BCDAA1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363A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(0.2; 0–0.5) </w:t>
            </w:r>
          </w:p>
        </w:tc>
      </w:tr>
      <w:tr w:rsidR="00F80F69" w14:paraId="378CA337" w14:textId="77777777" w:rsidTr="008F056D">
        <w:tc>
          <w:tcPr>
            <w:tcW w:w="1345" w:type="dxa"/>
          </w:tcPr>
          <w:p w14:paraId="6D7159AB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35C</w:t>
            </w:r>
          </w:p>
        </w:tc>
        <w:tc>
          <w:tcPr>
            <w:tcW w:w="2880" w:type="dxa"/>
          </w:tcPr>
          <w:p w14:paraId="3089F51A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363A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(0.1; 0–0.4) </w:t>
            </w:r>
          </w:p>
        </w:tc>
      </w:tr>
      <w:tr w:rsidR="00F80F69" w14:paraId="4AA7765A" w14:textId="77777777" w:rsidTr="008F056D">
        <w:tc>
          <w:tcPr>
            <w:tcW w:w="1345" w:type="dxa"/>
          </w:tcPr>
          <w:p w14:paraId="295E345F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2880" w:type="dxa"/>
          </w:tcPr>
          <w:p w14:paraId="1E0BED9E" w14:textId="77777777" w:rsidR="00F80F69" w:rsidRDefault="00510E6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363A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(0.1; 0–0.4) </w:t>
            </w:r>
          </w:p>
        </w:tc>
      </w:tr>
      <w:tr w:rsidR="00F80F69" w14:paraId="7B46E371" w14:textId="77777777" w:rsidTr="008F056D">
        <w:tc>
          <w:tcPr>
            <w:tcW w:w="1345" w:type="dxa"/>
          </w:tcPr>
          <w:p w14:paraId="15743E21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80" w:type="dxa"/>
          </w:tcPr>
          <w:p w14:paraId="27802CE4" w14:textId="77777777" w:rsidR="00F80F69" w:rsidRDefault="00510E6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363A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(0.06; 0–0.2) </w:t>
            </w:r>
          </w:p>
        </w:tc>
      </w:tr>
      <w:tr w:rsidR="00F80F69" w14:paraId="41C4A7DC" w14:textId="77777777" w:rsidTr="008F056D">
        <w:tc>
          <w:tcPr>
            <w:tcW w:w="1345" w:type="dxa"/>
          </w:tcPr>
          <w:p w14:paraId="6990643A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33B</w:t>
            </w:r>
          </w:p>
        </w:tc>
        <w:tc>
          <w:tcPr>
            <w:tcW w:w="2880" w:type="dxa"/>
          </w:tcPr>
          <w:p w14:paraId="636200C6" w14:textId="77777777" w:rsidR="00F80F69" w:rsidRDefault="00510E6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363A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(0.06; 0–0.2) </w:t>
            </w:r>
          </w:p>
        </w:tc>
      </w:tr>
      <w:tr w:rsidR="00F80F69" w14:paraId="01874CB6" w14:textId="77777777" w:rsidTr="008F056D">
        <w:tc>
          <w:tcPr>
            <w:tcW w:w="1345" w:type="dxa"/>
          </w:tcPr>
          <w:p w14:paraId="30688D65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10B</w:t>
            </w:r>
          </w:p>
        </w:tc>
        <w:tc>
          <w:tcPr>
            <w:tcW w:w="2880" w:type="dxa"/>
          </w:tcPr>
          <w:p w14:paraId="360539CD" w14:textId="77777777" w:rsidR="00F80F69" w:rsidRDefault="00510E6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363A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(0.06; </w:t>
            </w:r>
            <w:r w:rsidR="008F056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0–0.2) </w:t>
            </w:r>
          </w:p>
        </w:tc>
      </w:tr>
      <w:tr w:rsidR="00F80F69" w14:paraId="01EEBA3B" w14:textId="77777777" w:rsidTr="008F056D">
        <w:tc>
          <w:tcPr>
            <w:tcW w:w="1345" w:type="dxa"/>
          </w:tcPr>
          <w:p w14:paraId="3E96906C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25F</w:t>
            </w:r>
          </w:p>
        </w:tc>
        <w:tc>
          <w:tcPr>
            <w:tcW w:w="2880" w:type="dxa"/>
          </w:tcPr>
          <w:p w14:paraId="312F62D1" w14:textId="77777777" w:rsidR="00F80F69" w:rsidRDefault="00510E6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8F056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(0.06; 0–0.2) </w:t>
            </w:r>
          </w:p>
        </w:tc>
      </w:tr>
      <w:tr w:rsidR="00F80F69" w14:paraId="1EFC1035" w14:textId="77777777" w:rsidTr="008F056D">
        <w:tc>
          <w:tcPr>
            <w:tcW w:w="1345" w:type="dxa"/>
          </w:tcPr>
          <w:p w14:paraId="3E6B15CB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2880" w:type="dxa"/>
          </w:tcPr>
          <w:p w14:paraId="2D2FD49B" w14:textId="77777777" w:rsidR="00F80F69" w:rsidRDefault="00510E6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8F056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(0.1; 0–0.4) </w:t>
            </w:r>
          </w:p>
        </w:tc>
      </w:tr>
      <w:tr w:rsidR="00F80F69" w14:paraId="35B02EDA" w14:textId="77777777" w:rsidTr="008F056D">
        <w:tc>
          <w:tcPr>
            <w:tcW w:w="1345" w:type="dxa"/>
          </w:tcPr>
          <w:p w14:paraId="4706892F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28F</w:t>
            </w:r>
          </w:p>
        </w:tc>
        <w:tc>
          <w:tcPr>
            <w:tcW w:w="2880" w:type="dxa"/>
          </w:tcPr>
          <w:p w14:paraId="60C9B84C" w14:textId="77777777" w:rsidR="00F80F69" w:rsidRDefault="00510E6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8F056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(0.1; 0–0.4)</w:t>
            </w:r>
          </w:p>
        </w:tc>
      </w:tr>
      <w:tr w:rsidR="00F80F69" w14:paraId="6336B395" w14:textId="77777777" w:rsidTr="008F056D">
        <w:tc>
          <w:tcPr>
            <w:tcW w:w="1345" w:type="dxa"/>
          </w:tcPr>
          <w:p w14:paraId="4302229C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22A</w:t>
            </w:r>
          </w:p>
        </w:tc>
        <w:tc>
          <w:tcPr>
            <w:tcW w:w="2880" w:type="dxa"/>
          </w:tcPr>
          <w:p w14:paraId="43F6841A" w14:textId="77777777" w:rsidR="00F80F69" w:rsidRDefault="00510E6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8F056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(0.1; 0–0.4)</w:t>
            </w:r>
          </w:p>
        </w:tc>
      </w:tr>
      <w:tr w:rsidR="00F80F69" w14:paraId="40AC04D6" w14:textId="77777777" w:rsidTr="008F056D">
        <w:tc>
          <w:tcPr>
            <w:tcW w:w="1345" w:type="dxa"/>
          </w:tcPr>
          <w:p w14:paraId="449448AD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2880" w:type="dxa"/>
          </w:tcPr>
          <w:p w14:paraId="07B4DDC2" w14:textId="77777777" w:rsidR="00F80F69" w:rsidRDefault="00510E6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8F056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(0.1; 0–0.4)</w:t>
            </w:r>
          </w:p>
        </w:tc>
      </w:tr>
      <w:tr w:rsidR="00F80F69" w14:paraId="0B15DAFF" w14:textId="77777777" w:rsidTr="008F056D">
        <w:tc>
          <w:tcPr>
            <w:tcW w:w="1345" w:type="dxa"/>
          </w:tcPr>
          <w:p w14:paraId="224269C6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18B</w:t>
            </w:r>
          </w:p>
        </w:tc>
        <w:tc>
          <w:tcPr>
            <w:tcW w:w="2880" w:type="dxa"/>
          </w:tcPr>
          <w:p w14:paraId="68E09736" w14:textId="77777777" w:rsidR="00F80F69" w:rsidRDefault="00510E6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8F056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(0.1; 0–0.4)</w:t>
            </w:r>
          </w:p>
        </w:tc>
      </w:tr>
      <w:tr w:rsidR="00F80F69" w14:paraId="1599693A" w14:textId="77777777" w:rsidTr="008F056D">
        <w:tc>
          <w:tcPr>
            <w:tcW w:w="1345" w:type="dxa"/>
          </w:tcPr>
          <w:p w14:paraId="607F1D16" w14:textId="77777777" w:rsidR="00F80F69" w:rsidRDefault="00F80F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880" w:type="dxa"/>
          </w:tcPr>
          <w:p w14:paraId="078BB488" w14:textId="77777777" w:rsidR="00F80F69" w:rsidRDefault="00510E6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55</w:t>
            </w:r>
            <w:r w:rsidR="008F056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(4.9; 3.5–6.3) </w:t>
            </w:r>
          </w:p>
        </w:tc>
      </w:tr>
    </w:tbl>
    <w:p w14:paraId="396682CE" w14:textId="77777777" w:rsidR="00026465" w:rsidRDefault="008F056D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NT: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nontypable</w:t>
      </w:r>
      <w:proofErr w:type="spellEnd"/>
    </w:p>
    <w:p w14:paraId="3195ADA3" w14:textId="77777777" w:rsidR="004A1CEB" w:rsidRDefault="00502FD6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Table S</w:t>
      </w:r>
      <w:r w:rsidR="0081540B">
        <w:rPr>
          <w:rFonts w:ascii="Times New Roman" w:eastAsia="Batang" w:hAnsi="Times New Roman" w:cs="Times New Roman"/>
          <w:sz w:val="24"/>
          <w:szCs w:val="24"/>
        </w:rPr>
        <w:t>3</w:t>
      </w:r>
      <w:r>
        <w:rPr>
          <w:rFonts w:ascii="Times New Roman" w:eastAsia="Batang" w:hAnsi="Times New Roman" w:cs="Times New Roman"/>
          <w:sz w:val="24"/>
          <w:szCs w:val="24"/>
        </w:rPr>
        <w:t>: Antibiotic resistance patterns of multidrug-resistant pneumococcal isolates (N=103)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835"/>
      </w:tblGrid>
      <w:tr w:rsidR="0043699E" w14:paraId="63809608" w14:textId="77777777" w:rsidTr="0043699E">
        <w:tc>
          <w:tcPr>
            <w:tcW w:w="3235" w:type="dxa"/>
          </w:tcPr>
          <w:p w14:paraId="56331916" w14:textId="77777777" w:rsidR="0043699E" w:rsidRPr="0081540B" w:rsidRDefault="0043699E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81540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Antibiotic</w:t>
            </w:r>
            <w:r w:rsidR="0081540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835" w:type="dxa"/>
          </w:tcPr>
          <w:p w14:paraId="015636CA" w14:textId="77777777" w:rsidR="0043699E" w:rsidRPr="0081540B" w:rsidRDefault="0043699E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81540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Number of </w:t>
            </w:r>
            <w:proofErr w:type="spellStart"/>
            <w:r w:rsidRPr="0081540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nonsusceptible</w:t>
            </w:r>
            <w:proofErr w:type="spellEnd"/>
            <w:r w:rsidRPr="0081540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isolates (weighted%; 95% CI)</w:t>
            </w:r>
          </w:p>
        </w:tc>
      </w:tr>
      <w:tr w:rsidR="0081540B" w14:paraId="425067E1" w14:textId="77777777" w:rsidTr="0043699E">
        <w:tc>
          <w:tcPr>
            <w:tcW w:w="3235" w:type="dxa"/>
          </w:tcPr>
          <w:p w14:paraId="5708A904" w14:textId="77777777" w:rsidR="0081540B" w:rsidRDefault="0081540B" w:rsidP="0081540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Cotrimoxazole</w:t>
            </w:r>
            <w:proofErr w:type="spellEnd"/>
          </w:p>
        </w:tc>
        <w:tc>
          <w:tcPr>
            <w:tcW w:w="6835" w:type="dxa"/>
          </w:tcPr>
          <w:p w14:paraId="0248EA47" w14:textId="77777777" w:rsidR="0081540B" w:rsidRDefault="0081540B" w:rsidP="0081540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103 (100)</w:t>
            </w:r>
          </w:p>
        </w:tc>
      </w:tr>
      <w:tr w:rsidR="0081540B" w14:paraId="3DEF71C9" w14:textId="77777777" w:rsidTr="0043699E">
        <w:tc>
          <w:tcPr>
            <w:tcW w:w="3235" w:type="dxa"/>
          </w:tcPr>
          <w:p w14:paraId="21AE0486" w14:textId="77777777" w:rsidR="0081540B" w:rsidRDefault="0081540B" w:rsidP="0081540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Tetracycline</w:t>
            </w:r>
          </w:p>
        </w:tc>
        <w:tc>
          <w:tcPr>
            <w:tcW w:w="6835" w:type="dxa"/>
          </w:tcPr>
          <w:p w14:paraId="2BF054BC" w14:textId="77777777" w:rsidR="0081540B" w:rsidRDefault="00427926" w:rsidP="0081540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100 (96.8; 92.8</w:t>
            </w:r>
            <w:r w:rsidR="0081540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–100) </w:t>
            </w:r>
          </w:p>
        </w:tc>
      </w:tr>
      <w:tr w:rsidR="0081540B" w14:paraId="7EBD7462" w14:textId="77777777" w:rsidTr="0043699E">
        <w:tc>
          <w:tcPr>
            <w:tcW w:w="3235" w:type="dxa"/>
          </w:tcPr>
          <w:p w14:paraId="25ECFC6B" w14:textId="77777777" w:rsidR="0081540B" w:rsidRDefault="0081540B" w:rsidP="0081540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Penicillin</w:t>
            </w:r>
          </w:p>
        </w:tc>
        <w:tc>
          <w:tcPr>
            <w:tcW w:w="6835" w:type="dxa"/>
          </w:tcPr>
          <w:p w14:paraId="0F9C6AE4" w14:textId="77777777" w:rsidR="0081540B" w:rsidRDefault="00427926" w:rsidP="0081540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98 (95.3; 90.8–99.7</w:t>
            </w:r>
            <w:r w:rsidR="0081540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1540B" w14:paraId="3F50C335" w14:textId="77777777" w:rsidTr="0043699E">
        <w:tc>
          <w:tcPr>
            <w:tcW w:w="3235" w:type="dxa"/>
          </w:tcPr>
          <w:p w14:paraId="4526BF59" w14:textId="77777777" w:rsidR="0081540B" w:rsidRDefault="0081540B" w:rsidP="0081540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Chloramphenicol</w:t>
            </w:r>
          </w:p>
        </w:tc>
        <w:tc>
          <w:tcPr>
            <w:tcW w:w="6835" w:type="dxa"/>
          </w:tcPr>
          <w:p w14:paraId="7A879AF6" w14:textId="77777777" w:rsidR="0081540B" w:rsidRDefault="00427926" w:rsidP="0081540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 (12.2; 5.0–19.4</w:t>
            </w:r>
            <w:r w:rsidR="0081540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1540B" w14:paraId="5E9E7BC6" w14:textId="77777777" w:rsidTr="0043699E">
        <w:tc>
          <w:tcPr>
            <w:tcW w:w="3235" w:type="dxa"/>
          </w:tcPr>
          <w:p w14:paraId="185D9B34" w14:textId="77777777" w:rsidR="0081540B" w:rsidRDefault="0081540B" w:rsidP="0081540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Erythromycin</w:t>
            </w:r>
          </w:p>
        </w:tc>
        <w:tc>
          <w:tcPr>
            <w:tcW w:w="6835" w:type="dxa"/>
          </w:tcPr>
          <w:p w14:paraId="5A17D04A" w14:textId="77777777" w:rsidR="0081540B" w:rsidRDefault="0081540B" w:rsidP="0081540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8 (5.7; 1.8–9.5) </w:t>
            </w:r>
          </w:p>
        </w:tc>
      </w:tr>
      <w:tr w:rsidR="0081540B" w14:paraId="6EA499D4" w14:textId="77777777" w:rsidTr="0043699E">
        <w:tc>
          <w:tcPr>
            <w:tcW w:w="3235" w:type="dxa"/>
          </w:tcPr>
          <w:p w14:paraId="00FF536B" w14:textId="77777777" w:rsidR="0081540B" w:rsidRDefault="0081540B" w:rsidP="0081540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Clindamycin</w:t>
            </w:r>
          </w:p>
        </w:tc>
        <w:tc>
          <w:tcPr>
            <w:tcW w:w="6835" w:type="dxa"/>
          </w:tcPr>
          <w:p w14:paraId="5E2FE658" w14:textId="77777777" w:rsidR="0081540B" w:rsidRDefault="0081540B" w:rsidP="0081540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 (0.7; 0–2.2)  </w:t>
            </w:r>
          </w:p>
        </w:tc>
      </w:tr>
    </w:tbl>
    <w:p w14:paraId="3BAE59D8" w14:textId="77777777" w:rsidR="00502FD6" w:rsidRDefault="0081540B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*None of the tested isolates were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nonsusceptible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to ceftriaxone and levofloxacin</w:t>
      </w:r>
    </w:p>
    <w:p w14:paraId="2AB988D0" w14:textId="77777777" w:rsidR="00273728" w:rsidRDefault="00273728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br w:type="page"/>
      </w:r>
    </w:p>
    <w:p w14:paraId="6644CD50" w14:textId="2EFFD034" w:rsidR="00653A4C" w:rsidRDefault="001D6F20" w:rsidP="001D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S4</w:t>
      </w:r>
      <w:r w:rsidRPr="00E15203">
        <w:rPr>
          <w:rFonts w:ascii="Times New Roman" w:hAnsi="Times New Roman" w:cs="Times New Roman"/>
          <w:sz w:val="24"/>
          <w:szCs w:val="24"/>
        </w:rPr>
        <w:t>. Factors as</w:t>
      </w:r>
      <w:r>
        <w:rPr>
          <w:rFonts w:ascii="Times New Roman" w:hAnsi="Times New Roman" w:cs="Times New Roman"/>
          <w:sz w:val="24"/>
          <w:szCs w:val="24"/>
        </w:rPr>
        <w:t xml:space="preserve">sociated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cotrimoxazole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</w:t>
      </w:r>
      <w:r w:rsidRPr="00E15203">
        <w:rPr>
          <w:rFonts w:ascii="Times New Roman" w:hAnsi="Times New Roman" w:cs="Times New Roman"/>
          <w:sz w:val="24"/>
          <w:szCs w:val="24"/>
        </w:rPr>
        <w:t>susceptibility</w:t>
      </w:r>
      <w:proofErr w:type="spellEnd"/>
      <w:r w:rsidRPr="00E15203">
        <w:rPr>
          <w:rFonts w:ascii="Times New Roman" w:hAnsi="Times New Roman" w:cs="Times New Roman"/>
          <w:sz w:val="24"/>
          <w:szCs w:val="24"/>
        </w:rPr>
        <w:t xml:space="preserve"> among children in </w:t>
      </w:r>
      <w:proofErr w:type="spellStart"/>
      <w:r w:rsidRPr="00E15203">
        <w:rPr>
          <w:rFonts w:ascii="Times New Roman" w:hAnsi="Times New Roman" w:cs="Times New Roman"/>
          <w:sz w:val="24"/>
          <w:szCs w:val="24"/>
        </w:rPr>
        <w:t>Lwak</w:t>
      </w:r>
      <w:proofErr w:type="spellEnd"/>
      <w:r w:rsidRPr="00E152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15203">
        <w:rPr>
          <w:rFonts w:ascii="Times New Roman" w:hAnsi="Times New Roman" w:cs="Times New Roman"/>
          <w:sz w:val="24"/>
          <w:szCs w:val="24"/>
        </w:rPr>
        <w:t>Kibera</w:t>
      </w:r>
      <w:proofErr w:type="spellEnd"/>
      <w:r w:rsidRPr="00E15203">
        <w:rPr>
          <w:rFonts w:ascii="Times New Roman" w:hAnsi="Times New Roman" w:cs="Times New Roman"/>
          <w:sz w:val="24"/>
          <w:szCs w:val="24"/>
        </w:rPr>
        <w:t>, 2009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2078"/>
        <w:gridCol w:w="199"/>
        <w:gridCol w:w="1526"/>
        <w:gridCol w:w="2134"/>
        <w:gridCol w:w="2189"/>
        <w:gridCol w:w="1954"/>
      </w:tblGrid>
      <w:tr w:rsidR="00694296" w:rsidRPr="00E15203" w14:paraId="4FF41DCF" w14:textId="77777777" w:rsidTr="005E1A27">
        <w:trPr>
          <w:trHeight w:val="960"/>
        </w:trPr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480175" w14:textId="7A10B767" w:rsidR="00694296" w:rsidRPr="00E15203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09CFD" w14:textId="6E58F508" w:rsidR="00694296" w:rsidRDefault="0050355A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number of children</w:t>
            </w:r>
          </w:p>
          <w:p w14:paraId="71C5DAEC" w14:textId="39436915" w:rsidR="0050355A" w:rsidRDefault="0050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N=694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E9FB" w14:textId="1064455E" w:rsidR="00694296" w:rsidRPr="008A32E7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Cotrimoxazole</w:t>
            </w:r>
            <w:r w:rsidRPr="00E1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A3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nonsusceptible</w:t>
            </w:r>
            <w:proofErr w:type="spellEnd"/>
          </w:p>
          <w:p w14:paraId="5558FB0E" w14:textId="47AC71CA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N=591</w:t>
            </w:r>
          </w:p>
          <w:p w14:paraId="51A41CC1" w14:textId="77777777" w:rsidR="00694296" w:rsidRPr="008A32E7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(Weighted</w:t>
            </w:r>
            <w:r w:rsidRPr="00E1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95% CI)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39B7" w14:textId="4FDC3380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Unadjusted </w:t>
            </w:r>
            <w:r w:rsidRPr="00E1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Prevalence Ratio</w:t>
            </w:r>
          </w:p>
          <w:p w14:paraId="57A86F3D" w14:textId="40A30F07" w:rsidR="00694296" w:rsidRPr="008A32E7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(95% CI)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9BDE8" w14:textId="31D772CE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Adjusted </w:t>
            </w:r>
            <w:r w:rsidRPr="00E1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Prevalence Ratio</w:t>
            </w:r>
          </w:p>
          <w:p w14:paraId="33BF60DF" w14:textId="65BD359B" w:rsidR="00694296" w:rsidRPr="00A07D2A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(95% CI)</w:t>
            </w:r>
          </w:p>
        </w:tc>
      </w:tr>
      <w:tr w:rsidR="00694296" w:rsidRPr="00110662" w14:paraId="75C6E40A" w14:textId="77777777" w:rsidTr="005E1A27">
        <w:trPr>
          <w:trHeight w:val="630"/>
        </w:trPr>
        <w:tc>
          <w:tcPr>
            <w:tcW w:w="2078" w:type="dxa"/>
            <w:tcBorders>
              <w:top w:val="single" w:sz="4" w:space="0" w:color="auto"/>
              <w:left w:val="nil"/>
            </w:tcBorders>
            <w:vAlign w:val="center"/>
          </w:tcPr>
          <w:p w14:paraId="330EFC36" w14:textId="77777777" w:rsidR="00694296" w:rsidRPr="00A07D2A" w:rsidRDefault="00694296" w:rsidP="00BA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0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F07B566" w14:textId="4E6C7D47" w:rsidR="00694296" w:rsidRPr="00A07D2A" w:rsidRDefault="0069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Place of residence</w:t>
            </w:r>
          </w:p>
        </w:tc>
      </w:tr>
      <w:tr w:rsidR="00694296" w:rsidRPr="00110662" w14:paraId="3CA2F7F4" w14:textId="77777777" w:rsidTr="005E1A27">
        <w:trPr>
          <w:trHeight w:val="630"/>
        </w:trPr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64D0CD" w14:textId="77777777" w:rsidR="00694296" w:rsidRPr="00110662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Lwak</w:t>
            </w:r>
            <w:proofErr w:type="spellEnd"/>
          </w:p>
        </w:tc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E25C95" w14:textId="6A2315EE" w:rsidR="00694296" w:rsidRDefault="0050355A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05FE" w14:textId="26BE6556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  <w:p w14:paraId="7E11999E" w14:textId="14C05E70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0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96.1; 93.1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0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FA98" w14:textId="4DB09987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A51853" w14:textId="77777777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694296" w:rsidRPr="00110662" w14:paraId="4CEB0C42" w14:textId="77777777" w:rsidTr="005E1A27">
        <w:trPr>
          <w:trHeight w:val="630"/>
        </w:trPr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1046" w14:textId="77777777" w:rsidR="00694296" w:rsidRPr="00110662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Kibera</w:t>
            </w:r>
            <w:proofErr w:type="spell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113B" w14:textId="5F0D3A5A" w:rsidR="00694296" w:rsidRDefault="0050355A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35F5" w14:textId="7142488A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  <w:p w14:paraId="3152BA64" w14:textId="32F3AB88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0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94.2; </w:t>
            </w:r>
            <w:r w:rsidR="0050355A" w:rsidRPr="0050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0355A" w:rsidRPr="0050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96.3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4FB1" w14:textId="1D177B3E" w:rsidR="00694296" w:rsidRPr="00110662" w:rsidRDefault="00BA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 (0.9</w:t>
            </w:r>
            <w:r w:rsidR="0050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0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1.02)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10A49" w14:textId="09204138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  <w:p w14:paraId="03B8358D" w14:textId="5D8F962F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</w:t>
            </w:r>
            <w:r w:rsidR="0055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5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)*</w:t>
            </w:r>
          </w:p>
        </w:tc>
      </w:tr>
      <w:tr w:rsidR="00694296" w:rsidRPr="00110662" w14:paraId="7188BF6A" w14:textId="77777777" w:rsidTr="005E1A27">
        <w:trPr>
          <w:trHeight w:val="600"/>
        </w:trPr>
        <w:tc>
          <w:tcPr>
            <w:tcW w:w="2078" w:type="dxa"/>
            <w:tcBorders>
              <w:top w:val="single" w:sz="4" w:space="0" w:color="auto"/>
              <w:left w:val="nil"/>
            </w:tcBorders>
            <w:vAlign w:val="center"/>
          </w:tcPr>
          <w:p w14:paraId="252D5A8D" w14:textId="77777777" w:rsidR="00694296" w:rsidRPr="00A07D2A" w:rsidRDefault="00694296" w:rsidP="00BA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0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EA66BF8" w14:textId="6AADB609" w:rsidR="00694296" w:rsidRPr="00A07D2A" w:rsidRDefault="0069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Serotype group</w:t>
            </w:r>
          </w:p>
        </w:tc>
      </w:tr>
      <w:tr w:rsidR="00694296" w:rsidRPr="00110662" w14:paraId="65B9F867" w14:textId="77777777" w:rsidTr="005E1A27">
        <w:trPr>
          <w:trHeight w:val="600"/>
        </w:trPr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B206A0" w14:textId="77777777" w:rsidR="00694296" w:rsidRPr="00110662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D70615" w14:textId="617461B6" w:rsidR="00694296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EA37" w14:textId="3572B44C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  <w:p w14:paraId="3589FB66" w14:textId="307A9932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93.5; </w:t>
            </w:r>
            <w:r w:rsidR="007A1FE3"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90.8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A1FE3"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96.2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ED26" w14:textId="0AFEBCB1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6A15155" w14:textId="6105B66F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694296" w:rsidRPr="00110662" w14:paraId="0F56CFAD" w14:textId="77777777" w:rsidTr="005E1A27">
        <w:trPr>
          <w:trHeight w:val="600"/>
        </w:trPr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6F0C" w14:textId="77777777" w:rsidR="00694296" w:rsidRPr="00110662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PCV10 serotype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B0D" w14:textId="48D5771B" w:rsidR="00694296" w:rsidRPr="00110662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DADA" w14:textId="0C7B8EDF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  <w:p w14:paraId="645BBF93" w14:textId="660D6591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97.5; </w:t>
            </w:r>
            <w:r w:rsidR="007A1FE3"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95.4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A1FE3"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99.5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0F7A" w14:textId="1CA47F51" w:rsidR="00694296" w:rsidRPr="00110662" w:rsidRDefault="007A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 (1.01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1.08)</w:t>
            </w:r>
            <w:r w:rsidR="005E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834B9" w14:textId="48AEA248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  <w:p w14:paraId="2719441D" w14:textId="72F91BBC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(1.01–1.08)*</w:t>
            </w:r>
          </w:p>
        </w:tc>
      </w:tr>
      <w:tr w:rsidR="00694296" w:rsidRPr="00110662" w14:paraId="49768C6E" w14:textId="77777777" w:rsidTr="005E1A27">
        <w:trPr>
          <w:trHeight w:val="630"/>
        </w:trPr>
        <w:tc>
          <w:tcPr>
            <w:tcW w:w="2078" w:type="dxa"/>
            <w:tcBorders>
              <w:top w:val="single" w:sz="4" w:space="0" w:color="auto"/>
              <w:left w:val="nil"/>
            </w:tcBorders>
            <w:vAlign w:val="center"/>
          </w:tcPr>
          <w:p w14:paraId="26E94772" w14:textId="77777777" w:rsidR="00694296" w:rsidRPr="00A07D2A" w:rsidRDefault="00694296" w:rsidP="00BA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6F25367" w14:textId="6F3D8A23" w:rsidR="00694296" w:rsidRPr="00A07D2A" w:rsidRDefault="0069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group</w:t>
            </w:r>
          </w:p>
        </w:tc>
      </w:tr>
      <w:tr w:rsidR="00694296" w:rsidRPr="00110662" w14:paraId="1D4F46CF" w14:textId="77777777" w:rsidTr="005E1A27">
        <w:trPr>
          <w:trHeight w:val="630"/>
        </w:trPr>
        <w:tc>
          <w:tcPr>
            <w:tcW w:w="227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CE0B" w14:textId="534A9EF2" w:rsidR="00694296" w:rsidRPr="00110662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&lt;1 years</w:t>
            </w:r>
          </w:p>
        </w:tc>
        <w:tc>
          <w:tcPr>
            <w:tcW w:w="152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072616F" w14:textId="4047278B" w:rsidR="00694296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0981A44" w14:textId="70C0798F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14:paraId="26348B3B" w14:textId="2AFE4A9D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A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94.2; </w:t>
            </w:r>
            <w:r w:rsidR="007A1FE3" w:rsidRPr="007A1FE3">
              <w:rPr>
                <w:rFonts w:ascii="Times New Roman" w:eastAsia="Times New Roman" w:hAnsi="Times New Roman" w:cs="Times New Roman"/>
                <w:sz w:val="24"/>
                <w:szCs w:val="24"/>
              </w:rPr>
              <w:t>88.1</w:t>
            </w:r>
            <w:r w:rsidR="00BA598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A1FE3" w:rsidRPr="007A1F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D3CC" w14:textId="6999944F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9EABC86" w14:textId="2887428D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694296" w:rsidRPr="00110662" w14:paraId="44FF00EA" w14:textId="77777777" w:rsidTr="005E1A27">
        <w:trPr>
          <w:trHeight w:val="630"/>
        </w:trPr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3CC8" w14:textId="77777777" w:rsidR="00694296" w:rsidRPr="00110662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9424D" w14:textId="04C4C615" w:rsidR="00694296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4865E" w14:textId="23046660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  <w:p w14:paraId="62F3A973" w14:textId="0CFBB615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A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95.2; </w:t>
            </w:r>
            <w:r w:rsidR="007A1FE3" w:rsidRPr="007A1FE3">
              <w:rPr>
                <w:rFonts w:ascii="Times New Roman" w:eastAsia="Times New Roman" w:hAnsi="Times New Roman" w:cs="Times New Roman"/>
                <w:sz w:val="24"/>
                <w:szCs w:val="24"/>
              </w:rPr>
              <w:t>93.3</w:t>
            </w:r>
            <w:r w:rsidR="00BA598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A1FE3" w:rsidRPr="007A1FE3">
              <w:rPr>
                <w:rFonts w:ascii="Times New Roman" w:eastAsia="Times New Roman" w:hAnsi="Times New Roman" w:cs="Times New Roman"/>
                <w:sz w:val="24"/>
                <w:szCs w:val="24"/>
              </w:rPr>
              <w:t>97.1</w:t>
            </w: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AACB" w14:textId="2AEAE8EB" w:rsidR="00694296" w:rsidRPr="00110662" w:rsidRDefault="00BA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 (0.99</w:t>
            </w:r>
            <w:r w:rsidR="007A1FE3">
              <w:rPr>
                <w:rFonts w:ascii="Times New Roman" w:eastAsia="Times New Roman" w:hAnsi="Times New Roman" w:cs="Times New Roman"/>
                <w:sz w:val="24"/>
                <w:szCs w:val="24"/>
              </w:rPr>
              <w:t>–1.08)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A047B" w14:textId="546CBA89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  <w:p w14:paraId="5A09CCB4" w14:textId="6A3CF002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(0.95–1.09)</w:t>
            </w:r>
          </w:p>
        </w:tc>
      </w:tr>
      <w:tr w:rsidR="00694296" w:rsidRPr="00110662" w14:paraId="4ED29D63" w14:textId="77777777" w:rsidTr="005E1A27">
        <w:trPr>
          <w:trHeight w:val="630"/>
        </w:trPr>
        <w:tc>
          <w:tcPr>
            <w:tcW w:w="207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64A7D97" w14:textId="77777777" w:rsidR="00694296" w:rsidRPr="00A07D2A" w:rsidRDefault="00694296" w:rsidP="00BA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77DC3F0" w14:textId="30213DBE" w:rsidR="00694296" w:rsidRPr="00A07D2A" w:rsidRDefault="0069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children aged &gt;5 years in the home</w:t>
            </w:r>
          </w:p>
        </w:tc>
      </w:tr>
      <w:tr w:rsidR="00694296" w:rsidRPr="00110662" w14:paraId="01A9585C" w14:textId="77777777" w:rsidTr="005E1A27">
        <w:trPr>
          <w:trHeight w:val="630"/>
        </w:trPr>
        <w:tc>
          <w:tcPr>
            <w:tcW w:w="227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EF9B" w14:textId="3ED07F8D" w:rsidR="00694296" w:rsidRPr="00110662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6F879E0" w14:textId="0BEFCB27" w:rsidR="00694296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DCE5F3" w14:textId="72C0BBFB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  <w:p w14:paraId="486E708C" w14:textId="2F85050B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A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96.0; </w:t>
            </w:r>
            <w:r w:rsidR="00BA598F" w:rsidRPr="00BA598F">
              <w:rPr>
                <w:rFonts w:ascii="Times New Roman" w:eastAsia="Times New Roman" w:hAnsi="Times New Roman" w:cs="Times New Roman"/>
                <w:sz w:val="24"/>
                <w:szCs w:val="24"/>
              </w:rPr>
              <w:t>93.8</w:t>
            </w:r>
            <w:r w:rsidR="00BA598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A598F" w:rsidRPr="00BA598F">
              <w:rPr>
                <w:rFonts w:ascii="Times New Roman" w:eastAsia="Times New Roman" w:hAnsi="Times New Roman" w:cs="Times New Roman"/>
                <w:sz w:val="24"/>
                <w:szCs w:val="24"/>
              </w:rPr>
              <w:t>98.3</w:t>
            </w: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6C18" w14:textId="43DB9BE0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0DACC2" w14:textId="736CCE35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694296" w:rsidRPr="00110662" w14:paraId="592534C4" w14:textId="77777777" w:rsidTr="005E1A27">
        <w:trPr>
          <w:trHeight w:val="630"/>
        </w:trPr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F78A5" w14:textId="77777777" w:rsidR="00694296" w:rsidRPr="00110662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2 or more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CB29C" w14:textId="09516180" w:rsidR="00694296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426C3" w14:textId="5FBA239B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  <w:p w14:paraId="403FDD75" w14:textId="1D1F406E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A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94.1; </w:t>
            </w:r>
            <w:r w:rsidR="00BA598F" w:rsidRPr="00BA598F">
              <w:rPr>
                <w:rFonts w:ascii="Times New Roman" w:eastAsia="Times New Roman" w:hAnsi="Times New Roman" w:cs="Times New Roman"/>
                <w:sz w:val="24"/>
                <w:szCs w:val="24"/>
              </w:rPr>
              <w:t>91.2</w:t>
            </w:r>
            <w:r w:rsidR="00BA598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A598F" w:rsidRPr="00BA598F">
              <w:rPr>
                <w:rFonts w:ascii="Times New Roman" w:eastAsia="Times New Roman" w:hAnsi="Times New Roman" w:cs="Times New Roman"/>
                <w:sz w:val="24"/>
                <w:szCs w:val="24"/>
              </w:rPr>
              <w:t>96.9</w:t>
            </w: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A231" w14:textId="02F4D3EB" w:rsidR="00694296" w:rsidRPr="00110662" w:rsidRDefault="007A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0.98 (0.94–1.02)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FF8E1" w14:textId="05729359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</w:p>
          <w:p w14:paraId="67A251B3" w14:textId="605BB45E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(0.96–1.03)</w:t>
            </w:r>
          </w:p>
        </w:tc>
      </w:tr>
      <w:tr w:rsidR="00694296" w:rsidRPr="00110662" w14:paraId="24E5C972" w14:textId="77777777" w:rsidTr="005E1A27">
        <w:trPr>
          <w:trHeight w:val="630"/>
        </w:trPr>
        <w:tc>
          <w:tcPr>
            <w:tcW w:w="207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26AF474" w14:textId="77777777" w:rsidR="00694296" w:rsidRPr="00A07D2A" w:rsidRDefault="00694296" w:rsidP="00BA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AF85BC7" w14:textId="31ACEF74" w:rsidR="00694296" w:rsidRPr="00A07D2A" w:rsidRDefault="0069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days attending school or daycare per week</w:t>
            </w:r>
          </w:p>
        </w:tc>
      </w:tr>
      <w:tr w:rsidR="00694296" w:rsidRPr="00110662" w14:paraId="5D4871D4" w14:textId="77777777" w:rsidTr="005E1A27">
        <w:trPr>
          <w:trHeight w:val="630"/>
        </w:trPr>
        <w:tc>
          <w:tcPr>
            <w:tcW w:w="227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AA5BA" w14:textId="77777777" w:rsidR="00694296" w:rsidRPr="00110662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931A8" w14:textId="76C32213" w:rsidR="00694296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3280D" w14:textId="178B80EC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  <w:p w14:paraId="1B54C47D" w14:textId="52F76FBC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A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97.1; </w:t>
            </w:r>
            <w:r w:rsidR="007A1FE3" w:rsidRPr="007A1FE3">
              <w:rPr>
                <w:rFonts w:ascii="Times New Roman" w:eastAsia="Times New Roman" w:hAnsi="Times New Roman" w:cs="Times New Roman"/>
                <w:sz w:val="24"/>
                <w:szCs w:val="24"/>
              </w:rPr>
              <w:t>95.2</w:t>
            </w:r>
            <w:r w:rsidR="00BA598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A1FE3" w:rsidRPr="007A1FE3">
              <w:rPr>
                <w:rFonts w:ascii="Times New Roman" w:eastAsia="Times New Roman" w:hAnsi="Times New Roman" w:cs="Times New Roman"/>
                <w:sz w:val="24"/>
                <w:szCs w:val="24"/>
              </w:rPr>
              <w:t>98.9</w:t>
            </w: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2A2D0" w14:textId="5AF7BFE8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95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3E9E36" w14:textId="77777777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694296" w:rsidRPr="00110662" w14:paraId="7743D90A" w14:textId="77777777" w:rsidTr="005E1A27">
        <w:trPr>
          <w:trHeight w:val="630"/>
        </w:trPr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C7A7" w14:textId="77777777" w:rsidR="00694296" w:rsidRPr="00110662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or more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95DD" w14:textId="36FF26AB" w:rsidR="00694296" w:rsidRPr="00110662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D84B" w14:textId="5DDDA20F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  <w:p w14:paraId="264F3241" w14:textId="79866CD7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93.0; </w:t>
            </w:r>
            <w:r w:rsidR="007A1FE3"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89.8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A1FE3"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96.1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A042" w14:textId="1A9EFD38" w:rsidR="00694296" w:rsidRPr="00110662" w:rsidRDefault="007A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 (0.92–</w:t>
            </w:r>
            <w:r w:rsidR="005E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E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55EB9" w14:textId="60650E61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  <w:p w14:paraId="0CB0D764" w14:textId="4BBFC974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(0.91–0.99)*</w:t>
            </w:r>
          </w:p>
        </w:tc>
      </w:tr>
      <w:tr w:rsidR="00694296" w:rsidRPr="00110662" w14:paraId="29C00950" w14:textId="77777777" w:rsidTr="005E1A27">
        <w:trPr>
          <w:trHeight w:val="645"/>
        </w:trPr>
        <w:tc>
          <w:tcPr>
            <w:tcW w:w="2078" w:type="dxa"/>
            <w:tcBorders>
              <w:top w:val="single" w:sz="4" w:space="0" w:color="auto"/>
              <w:left w:val="nil"/>
            </w:tcBorders>
            <w:vAlign w:val="center"/>
          </w:tcPr>
          <w:p w14:paraId="51750848" w14:textId="77777777" w:rsidR="00694296" w:rsidRPr="00304B48" w:rsidRDefault="00694296" w:rsidP="00BA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0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C24C5AA" w14:textId="03F10C64" w:rsidR="00694296" w:rsidRPr="00304B48" w:rsidRDefault="0069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Recent illness (within 30 days, compared to those with no illness)</w:t>
            </w:r>
          </w:p>
        </w:tc>
      </w:tr>
      <w:tr w:rsidR="00694296" w:rsidRPr="00110662" w14:paraId="19ADD50B" w14:textId="77777777" w:rsidTr="005E1A27">
        <w:trPr>
          <w:trHeight w:val="645"/>
        </w:trPr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59438E" w14:textId="2649A057" w:rsidR="00694296" w:rsidRPr="005E1A27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cough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819A97" w14:textId="757B3A05" w:rsidR="00694296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5757" w14:textId="77777777" w:rsidR="00BA598F" w:rsidRDefault="007A1FE3" w:rsidP="00BA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279 </w:t>
            </w:r>
          </w:p>
          <w:p w14:paraId="13148460" w14:textId="55816185" w:rsidR="00694296" w:rsidRDefault="007A1FE3" w:rsidP="00BA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(95.0; 92.5 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97.4)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118C" w14:textId="696B9A0A" w:rsidR="00694296" w:rsidRPr="00110662" w:rsidRDefault="00694296" w:rsidP="00BA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D8E3F4" w14:textId="27254D7C" w:rsidR="00694296" w:rsidRDefault="0055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694296" w:rsidRPr="00110662" w14:paraId="59CFBBDC" w14:textId="77777777" w:rsidTr="005E1A27">
        <w:trPr>
          <w:trHeight w:val="645"/>
        </w:trPr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A826" w14:textId="77777777" w:rsidR="00694296" w:rsidRPr="005E1A27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Cough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3676C1" w14:textId="136DD219" w:rsidR="00694296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A67D" w14:textId="453419F7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  <w:p w14:paraId="73B0E21F" w14:textId="350A6360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95.1; </w:t>
            </w:r>
            <w:r w:rsidR="007A1FE3"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A1FE3"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97.8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5D7" w14:textId="7AD50466" w:rsidR="00694296" w:rsidRPr="00110662" w:rsidRDefault="007A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(0.96–1.04)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2351D1" w14:textId="72DE458C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  <w:p w14:paraId="5206614E" w14:textId="1B068656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(0.98–1.05)</w:t>
            </w:r>
          </w:p>
        </w:tc>
      </w:tr>
      <w:tr w:rsidR="00694296" w:rsidRPr="00110662" w14:paraId="6739FA61" w14:textId="77777777" w:rsidTr="005E1A27">
        <w:trPr>
          <w:trHeight w:val="645"/>
        </w:trPr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13766" w14:textId="7198EB64" w:rsidR="00694296" w:rsidRPr="005E1A27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 pneumonia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B720AA" w14:textId="7721BB5B" w:rsidR="00694296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0714" w14:textId="32F0C8DA" w:rsidR="00694296" w:rsidRDefault="007A1FE3" w:rsidP="00BA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(</w:t>
            </w:r>
            <w:r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95.2; 93.4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64A0" w14:textId="3F9015D4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AE25093" w14:textId="5D1A4EA3" w:rsidR="00694296" w:rsidRDefault="0055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694296" w:rsidRPr="00110662" w14:paraId="0C9E7442" w14:textId="77777777" w:rsidTr="005E1A27">
        <w:trPr>
          <w:trHeight w:val="645"/>
        </w:trPr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CE8D" w14:textId="5916BDEE" w:rsidR="00694296" w:rsidRPr="005E1A27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Pneumonia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DB4989" w14:textId="641D8DB0" w:rsidR="00694296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B2B8" w14:textId="58813D7C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14:paraId="3EEAF8DD" w14:textId="2043D536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A1FE3"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92.2; 80.8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A1FE3"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EECB" w14:textId="712098B5" w:rsidR="00694296" w:rsidRPr="00110662" w:rsidRDefault="007A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 (0.85–1.10)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A9D53F" w14:textId="0A8F4FB8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  <w:p w14:paraId="5BB367B5" w14:textId="36F1F1FA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(0.87–1.08)</w:t>
            </w:r>
          </w:p>
        </w:tc>
      </w:tr>
      <w:tr w:rsidR="00694296" w:rsidRPr="00110662" w14:paraId="7D2318F7" w14:textId="77777777" w:rsidTr="005E1A27">
        <w:trPr>
          <w:trHeight w:val="645"/>
        </w:trPr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9A6A17" w14:textId="128B479A" w:rsidR="00694296" w:rsidRPr="005E1A27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fast breathing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E4CBDE" w14:textId="5CD18E0D" w:rsidR="00694296" w:rsidRPr="00110662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C219" w14:textId="7ADCDD22" w:rsidR="00694296" w:rsidRDefault="007A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  <w:p w14:paraId="2B6E09D9" w14:textId="061C4EFA" w:rsidR="007A1FE3" w:rsidRPr="00110662" w:rsidRDefault="007A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(95.0; 80.8–100)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8999" w14:textId="223CA378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FB77C29" w14:textId="55479838" w:rsidR="00694296" w:rsidRDefault="0055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694296" w:rsidRPr="00110662" w14:paraId="2AF57440" w14:textId="77777777" w:rsidTr="005E1A27">
        <w:trPr>
          <w:trHeight w:val="645"/>
        </w:trPr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BF80" w14:textId="21DF41C1" w:rsidR="00694296" w:rsidRPr="005E1A27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Fast breathing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0F481A" w14:textId="6E435EE3" w:rsidR="00694296" w:rsidRPr="00110662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5BD4" w14:textId="070E7669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  <w:p w14:paraId="7480B50B" w14:textId="597833F5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A1FE3"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95.4; 90.5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A1FE3"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727A" w14:textId="50E1465A" w:rsidR="00694296" w:rsidRPr="00110662" w:rsidRDefault="007A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(0.95–1.03)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D4AC231" w14:textId="6D54CAFA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  <w:p w14:paraId="0D12F2B3" w14:textId="6808CC02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(0.96–1.07)</w:t>
            </w:r>
          </w:p>
        </w:tc>
      </w:tr>
      <w:tr w:rsidR="00694296" w:rsidRPr="00110662" w14:paraId="5FF4C8A6" w14:textId="77777777" w:rsidTr="005E1A27">
        <w:trPr>
          <w:trHeight w:val="645"/>
        </w:trPr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9745BB" w14:textId="0446A48F" w:rsidR="00694296" w:rsidRPr="005E1A27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fever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7CE713" w14:textId="77777777" w:rsidR="00694296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  <w:p w14:paraId="245B0AA0" w14:textId="7D962E58" w:rsidR="007A6267" w:rsidRDefault="007A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BCFE" w14:textId="77777777" w:rsidR="00BA598F" w:rsidRDefault="007A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327 </w:t>
            </w:r>
          </w:p>
          <w:p w14:paraId="53B360FC" w14:textId="2CD70077" w:rsidR="00694296" w:rsidRDefault="007A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95.4; 93.1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7A9E" w14:textId="68E2B52A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518B56C" w14:textId="36A78C23" w:rsidR="00694296" w:rsidRDefault="0055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694296" w:rsidRPr="00110662" w14:paraId="07513F73" w14:textId="77777777" w:rsidTr="005E1A27">
        <w:trPr>
          <w:trHeight w:val="645"/>
        </w:trPr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9012" w14:textId="68FBC251" w:rsidR="00694296" w:rsidRPr="005E1A27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Fever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5541" w14:textId="77777777" w:rsidR="00694296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  <w:p w14:paraId="7E2CD08D" w14:textId="618E46C8" w:rsidR="007A6267" w:rsidRDefault="007A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A4CE" w14:textId="77777777" w:rsidR="00BA598F" w:rsidRDefault="007A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264 </w:t>
            </w:r>
          </w:p>
          <w:p w14:paraId="5817E042" w14:textId="717448ED" w:rsidR="00694296" w:rsidRPr="00110662" w:rsidRDefault="007A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94.7; 91.7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E9C1" w14:textId="1D5A940A" w:rsidR="00694296" w:rsidRPr="00110662" w:rsidRDefault="007A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(0.95–1.03)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476CF" w14:textId="77777777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  <w:p w14:paraId="3059FD25" w14:textId="15D7632E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(0.95 –1.03)</w:t>
            </w:r>
          </w:p>
        </w:tc>
      </w:tr>
      <w:tr w:rsidR="00694296" w:rsidRPr="00110662" w14:paraId="0E1123EB" w14:textId="77777777" w:rsidTr="005E1A27">
        <w:trPr>
          <w:trHeight w:val="630"/>
        </w:trPr>
        <w:tc>
          <w:tcPr>
            <w:tcW w:w="207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002BEEE" w14:textId="345955FD" w:rsidR="00694296" w:rsidRPr="00304B48" w:rsidRDefault="00694296" w:rsidP="00BA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0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5252BE0" w14:textId="1849BDCA" w:rsidR="00694296" w:rsidRPr="00304B48" w:rsidRDefault="0069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Cotrimoxazole</w:t>
            </w:r>
            <w:proofErr w:type="spellEnd"/>
            <w:r w:rsidRPr="0030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use (compared to those with no use)</w:t>
            </w:r>
            <w:r w:rsidRPr="0030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694296" w:rsidRPr="00110662" w14:paraId="41D8EB86" w14:textId="77777777" w:rsidTr="005E1A27">
        <w:trPr>
          <w:trHeight w:val="630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1ECD1C" w14:textId="2523AB9C" w:rsidR="00694296" w:rsidRPr="00222D85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current use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AF9AD1" w14:textId="7D587A5F" w:rsidR="00694296" w:rsidRPr="00110662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1EA0FD" w14:textId="77777777" w:rsidR="00BA598F" w:rsidRDefault="007A1FE3" w:rsidP="00BA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574 </w:t>
            </w:r>
          </w:p>
          <w:p w14:paraId="38D31021" w14:textId="5312CB2C" w:rsidR="00694296" w:rsidRPr="00110662" w:rsidRDefault="007A1FE3" w:rsidP="00BA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95.3; 93.5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E916A" w14:textId="50E0B13F" w:rsidR="00694296" w:rsidRPr="00110662" w:rsidRDefault="00694296" w:rsidP="00BA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BD57A9" w14:textId="54B7F4DA" w:rsidR="00694296" w:rsidRDefault="0055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694296" w:rsidRPr="00110662" w14:paraId="2B53E727" w14:textId="77777777" w:rsidTr="005E1A27">
        <w:trPr>
          <w:trHeight w:val="630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DFADC" w14:textId="36EE0BB7" w:rsidR="00694296" w:rsidRPr="00222D85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22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</w:t>
            </w:r>
            <w:r w:rsidRPr="00222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22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use</w:t>
            </w:r>
            <w:r w:rsidRPr="00222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18C2F" w14:textId="5568C486" w:rsidR="00694296" w:rsidRPr="00110662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CD9C6B" w14:textId="65443B47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14:paraId="56F68E2F" w14:textId="736E306B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88.7; </w:t>
            </w:r>
            <w:r w:rsidR="007A1FE3"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A1FE3"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4128A" w14:textId="05A2FDCB" w:rsidR="00694296" w:rsidRPr="00110662" w:rsidRDefault="000D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 (0.78–1.12)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190ACA" w14:textId="58EF16E8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  <w:p w14:paraId="666427B3" w14:textId="674EAB07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(0.79–1.11)</w:t>
            </w:r>
          </w:p>
        </w:tc>
      </w:tr>
      <w:tr w:rsidR="00694296" w:rsidRPr="00110662" w14:paraId="59ED8678" w14:textId="77777777" w:rsidTr="005E1A27">
        <w:trPr>
          <w:trHeight w:val="630"/>
        </w:trPr>
        <w:tc>
          <w:tcPr>
            <w:tcW w:w="227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7D564AB" w14:textId="647B5936" w:rsidR="00694296" w:rsidRPr="00222D85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use within the past 7 days</w:t>
            </w:r>
          </w:p>
        </w:tc>
        <w:tc>
          <w:tcPr>
            <w:tcW w:w="152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83C56A" w14:textId="465B9AA1" w:rsidR="00694296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0938D8" w14:textId="77777777" w:rsidR="00BA598F" w:rsidRDefault="007A1FE3" w:rsidP="00BA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531 </w:t>
            </w:r>
          </w:p>
          <w:p w14:paraId="0A3976C9" w14:textId="63D6727C" w:rsidR="00694296" w:rsidRDefault="007A1FE3" w:rsidP="00BA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95.2; 93.3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B97C" w14:textId="755C6F8C" w:rsidR="00694296" w:rsidRPr="00110662" w:rsidRDefault="00694296" w:rsidP="00BA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6EBA4A" w14:textId="30393CBE" w:rsidR="00694296" w:rsidRDefault="0055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694296" w:rsidRPr="00110662" w14:paraId="34DDF4D5" w14:textId="77777777" w:rsidTr="005E1A27">
        <w:trPr>
          <w:trHeight w:val="630"/>
        </w:trPr>
        <w:tc>
          <w:tcPr>
            <w:tcW w:w="227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F09E9AF" w14:textId="24AD31E6" w:rsidR="00694296" w:rsidRPr="00222D85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Within the past 7 days</w:t>
            </w:r>
          </w:p>
        </w:tc>
        <w:tc>
          <w:tcPr>
            <w:tcW w:w="152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6E0627A" w14:textId="4347DFBD" w:rsidR="00694296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ED09B0B" w14:textId="7CABD391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14:paraId="3A56C959" w14:textId="654460B8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94.3; </w:t>
            </w:r>
            <w:r w:rsidR="007A1FE3"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87.6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A1FE3"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2F07" w14:textId="4AAD5475" w:rsidR="00694296" w:rsidRPr="00110662" w:rsidRDefault="000D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(0.92–1.07)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C288C27" w14:textId="768DD88E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  <w:p w14:paraId="08F4DD64" w14:textId="3AB9A770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(0.92–1.06)</w:t>
            </w:r>
          </w:p>
        </w:tc>
      </w:tr>
      <w:tr w:rsidR="00694296" w:rsidRPr="00110662" w14:paraId="666BCBCC" w14:textId="77777777" w:rsidTr="005E1A27">
        <w:trPr>
          <w:trHeight w:val="630"/>
        </w:trPr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F277F8" w14:textId="6B1A48C7" w:rsidR="00694296" w:rsidRPr="00222D85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use within the past 30 days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F123E3" w14:textId="375F39EA" w:rsidR="00694296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EBD8" w14:textId="77777777" w:rsidR="00BA598F" w:rsidRDefault="007A1FE3" w:rsidP="00BA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476 </w:t>
            </w:r>
          </w:p>
          <w:p w14:paraId="67FA82AF" w14:textId="664E8D6A" w:rsidR="00694296" w:rsidRDefault="007A1FE3" w:rsidP="00BA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95.1; 93.1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5326" w14:textId="754A6094" w:rsidR="00694296" w:rsidRPr="00110662" w:rsidRDefault="00694296" w:rsidP="00BA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9A6933F" w14:textId="1EDC0DEE" w:rsidR="00694296" w:rsidRDefault="0055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694296" w:rsidRPr="00110662" w14:paraId="16D71D50" w14:textId="77777777" w:rsidTr="005E1A27">
        <w:trPr>
          <w:trHeight w:val="630"/>
        </w:trPr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1EC2E" w14:textId="03D8DD60" w:rsidR="00694296" w:rsidRPr="00222D85" w:rsidRDefault="00694296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Within the past 30 days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B288" w14:textId="5B3DA132" w:rsidR="00694296" w:rsidRDefault="007A6267" w:rsidP="00D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D1344" w14:textId="492EC573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  <w:p w14:paraId="0AAE5B62" w14:textId="0B3F69C2" w:rsidR="00694296" w:rsidRPr="00110662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</w:t>
            </w:r>
            <w:r w:rsidR="007A1FE3"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90.8</w:t>
            </w:r>
            <w:r w:rsidR="00BA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A1FE3" w:rsidRPr="007A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7AB1" w14:textId="7F59443B" w:rsidR="00694296" w:rsidRPr="00110662" w:rsidRDefault="000D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(0.95–1.05)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6D65AB" w14:textId="1E9B95C1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  <w:p w14:paraId="1D887401" w14:textId="1AC8F512" w:rsidR="00694296" w:rsidRDefault="0069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(0.95–1.0</w:t>
            </w:r>
            <w:r w:rsidR="0055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07CF66CD" w14:textId="77777777" w:rsidR="000A6225" w:rsidRPr="00653A4C" w:rsidRDefault="000A6225" w:rsidP="000A6225">
      <w:pPr>
        <w:rPr>
          <w:rFonts w:ascii="Times New Roman" w:eastAsia="Batang" w:hAnsi="Times New Roman" w:cs="Times New Roman"/>
          <w:sz w:val="20"/>
          <w:szCs w:val="20"/>
        </w:rPr>
      </w:pPr>
      <w:r w:rsidRPr="00653A4C">
        <w:rPr>
          <w:rFonts w:ascii="Times New Roman" w:eastAsia="Batang" w:hAnsi="Times New Roman" w:cs="Times New Roman"/>
          <w:sz w:val="20"/>
          <w:szCs w:val="20"/>
        </w:rPr>
        <w:t>NVT=non-vaccine type</w:t>
      </w:r>
    </w:p>
    <w:p w14:paraId="0C1E7732" w14:textId="36E05DCF" w:rsidR="000A6225" w:rsidRPr="000A6225" w:rsidRDefault="000A6225" w:rsidP="00653A4C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53A4C">
        <w:rPr>
          <w:rFonts w:ascii="Times New Roman" w:eastAsia="Batang" w:hAnsi="Times New Roman" w:cs="Times New Roman"/>
          <w:sz w:val="20"/>
          <w:szCs w:val="20"/>
        </w:rPr>
        <w:t>Chi-Square P&lt;0.05</w:t>
      </w:r>
    </w:p>
    <w:p w14:paraId="661DF8D8" w14:textId="77777777" w:rsidR="000A6225" w:rsidRDefault="001D6F20" w:rsidP="00653A4C">
      <w:pPr>
        <w:rPr>
          <w:rFonts w:ascii="Times New Roman" w:eastAsia="Batang" w:hAnsi="Times New Roman" w:cs="Times New Roman"/>
          <w:sz w:val="20"/>
          <w:szCs w:val="20"/>
        </w:rPr>
      </w:pPr>
      <w:proofErr w:type="gramStart"/>
      <w:r w:rsidRPr="00E15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E1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A4C">
        <w:rPr>
          <w:rFonts w:ascii="Times New Roman" w:eastAsia="Batang" w:hAnsi="Times New Roman" w:cs="Times New Roman"/>
          <w:sz w:val="20"/>
          <w:szCs w:val="20"/>
        </w:rPr>
        <w:t>Current refers to the day of interview</w:t>
      </w:r>
    </w:p>
    <w:p w14:paraId="243FCC4D" w14:textId="43CDAA2B" w:rsidR="001D6F20" w:rsidRPr="000A6225" w:rsidRDefault="00304B48">
      <w:pPr>
        <w:rPr>
          <w:rFonts w:ascii="Times New Roman" w:eastAsia="Batang" w:hAnsi="Times New Roman" w:cs="Times New Roman"/>
          <w:sz w:val="20"/>
          <w:szCs w:val="20"/>
        </w:rPr>
      </w:pPr>
      <w:r w:rsidRPr="00304B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="00653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A4C" w:rsidRPr="00F74701">
        <w:rPr>
          <w:rFonts w:ascii="Times New Roman" w:eastAsia="Batang" w:hAnsi="Times New Roman" w:cs="Times New Roman"/>
          <w:sz w:val="20"/>
          <w:szCs w:val="20"/>
        </w:rPr>
        <w:t xml:space="preserve">The categories of antibiotic use in this table are not mutually exclusive (i.e., “within the past 30 days” include those who reported current use and use within the past 7 days), therefore, the adjusted prevalence ratios </w:t>
      </w:r>
      <w:r w:rsidR="00653A4C">
        <w:rPr>
          <w:rFonts w:ascii="Times New Roman" w:hAnsi="Times New Roman" w:cs="Times New Roman"/>
          <w:sz w:val="20"/>
          <w:szCs w:val="20"/>
        </w:rPr>
        <w:t xml:space="preserve">“within the past 7 days” and “within the past 30 days” </w:t>
      </w:r>
      <w:r w:rsidR="00653A4C" w:rsidRPr="00F74701">
        <w:rPr>
          <w:rFonts w:ascii="Times New Roman" w:eastAsia="Batang" w:hAnsi="Times New Roman" w:cs="Times New Roman"/>
          <w:sz w:val="20"/>
          <w:szCs w:val="20"/>
        </w:rPr>
        <w:t>were calculat</w:t>
      </w:r>
      <w:r w:rsidR="00653A4C">
        <w:rPr>
          <w:rFonts w:ascii="Times New Roman" w:hAnsi="Times New Roman" w:cs="Times New Roman"/>
          <w:sz w:val="20"/>
          <w:szCs w:val="20"/>
        </w:rPr>
        <w:t>ed using separate models which only include one antibiotic use category.</w:t>
      </w:r>
      <w:r w:rsidR="001D6F20">
        <w:rPr>
          <w:rFonts w:ascii="Times New Roman" w:hAnsi="Times New Roman" w:cs="Times New Roman"/>
          <w:sz w:val="24"/>
          <w:szCs w:val="24"/>
        </w:rPr>
        <w:br w:type="page"/>
      </w:r>
    </w:p>
    <w:p w14:paraId="000B47BF" w14:textId="38B7D61E" w:rsidR="00B07C7D" w:rsidRDefault="00273728" w:rsidP="00273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6B65B7">
        <w:rPr>
          <w:rFonts w:ascii="Times New Roman" w:hAnsi="Times New Roman" w:cs="Times New Roman"/>
          <w:sz w:val="24"/>
          <w:szCs w:val="24"/>
        </w:rPr>
        <w:t>5</w:t>
      </w:r>
      <w:r w:rsidRPr="00E15203">
        <w:rPr>
          <w:rFonts w:ascii="Times New Roman" w:hAnsi="Times New Roman" w:cs="Times New Roman"/>
          <w:sz w:val="24"/>
          <w:szCs w:val="24"/>
        </w:rPr>
        <w:t>. Factors as</w:t>
      </w:r>
      <w:r>
        <w:rPr>
          <w:rFonts w:ascii="Times New Roman" w:hAnsi="Times New Roman" w:cs="Times New Roman"/>
          <w:sz w:val="24"/>
          <w:szCs w:val="24"/>
        </w:rPr>
        <w:t xml:space="preserve">sociated with multidrug-resistance </w:t>
      </w:r>
      <w:r w:rsidRPr="00E15203">
        <w:rPr>
          <w:rFonts w:ascii="Times New Roman" w:hAnsi="Times New Roman" w:cs="Times New Roman"/>
          <w:sz w:val="24"/>
          <w:szCs w:val="24"/>
        </w:rPr>
        <w:t xml:space="preserve">among children in </w:t>
      </w:r>
      <w:proofErr w:type="spellStart"/>
      <w:r w:rsidRPr="00E15203">
        <w:rPr>
          <w:rFonts w:ascii="Times New Roman" w:hAnsi="Times New Roman" w:cs="Times New Roman"/>
          <w:sz w:val="24"/>
          <w:szCs w:val="24"/>
        </w:rPr>
        <w:t>Lwak</w:t>
      </w:r>
      <w:proofErr w:type="spellEnd"/>
      <w:r w:rsidRPr="00E152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15203">
        <w:rPr>
          <w:rFonts w:ascii="Times New Roman" w:hAnsi="Times New Roman" w:cs="Times New Roman"/>
          <w:sz w:val="24"/>
          <w:szCs w:val="24"/>
        </w:rPr>
        <w:t>Kibera</w:t>
      </w:r>
      <w:proofErr w:type="spellEnd"/>
      <w:r w:rsidRPr="00E15203">
        <w:rPr>
          <w:rFonts w:ascii="Times New Roman" w:hAnsi="Times New Roman" w:cs="Times New Roman"/>
          <w:sz w:val="24"/>
          <w:szCs w:val="24"/>
        </w:rPr>
        <w:t>, 2009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2053"/>
        <w:gridCol w:w="550"/>
        <w:gridCol w:w="1785"/>
        <w:gridCol w:w="2015"/>
        <w:gridCol w:w="1839"/>
        <w:gridCol w:w="1838"/>
      </w:tblGrid>
      <w:tr w:rsidR="009370DE" w:rsidRPr="00E15203" w14:paraId="07827D30" w14:textId="77777777" w:rsidTr="005E1A27">
        <w:trPr>
          <w:trHeight w:val="960"/>
        </w:trPr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E32671" w14:textId="52ED7264" w:rsidR="009370DE" w:rsidRPr="00E15203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942EE" w14:textId="77777777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number of children</w:t>
            </w:r>
          </w:p>
          <w:p w14:paraId="3544A31F" w14:textId="40D961D4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N=694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9C70" w14:textId="506E5F23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Multidrug-resistant</w:t>
            </w:r>
          </w:p>
          <w:p w14:paraId="14EC30EF" w14:textId="77777777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N=94</w:t>
            </w:r>
          </w:p>
          <w:p w14:paraId="441DF5CC" w14:textId="7A4A48DB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(Weighted </w:t>
            </w:r>
            <w:r w:rsidRPr="00E1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6B7D0F" w14:textId="77777777" w:rsidR="009370DE" w:rsidRPr="008A32E7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CI)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9636" w14:textId="77777777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Unadjusted </w:t>
            </w:r>
            <w:r w:rsidRPr="00E1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Prevalence Ratio</w:t>
            </w:r>
          </w:p>
          <w:p w14:paraId="36C48FF1" w14:textId="7B4787BB" w:rsidR="009370DE" w:rsidRPr="008A32E7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(95% CI)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2ABB15" w14:textId="77777777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Adjusted </w:t>
            </w:r>
            <w:r w:rsidRPr="00E1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Prevalence Ratio</w:t>
            </w:r>
          </w:p>
          <w:p w14:paraId="2DD2E66C" w14:textId="4657C615" w:rsidR="009370DE" w:rsidRPr="00E15203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(95% CI)</w:t>
            </w:r>
          </w:p>
        </w:tc>
      </w:tr>
      <w:tr w:rsidR="009370DE" w:rsidRPr="00110662" w14:paraId="675A50AC" w14:textId="77777777" w:rsidTr="005E1A27">
        <w:trPr>
          <w:trHeight w:val="630"/>
        </w:trPr>
        <w:tc>
          <w:tcPr>
            <w:tcW w:w="2053" w:type="dxa"/>
            <w:tcBorders>
              <w:top w:val="nil"/>
              <w:left w:val="nil"/>
            </w:tcBorders>
            <w:vAlign w:val="center"/>
          </w:tcPr>
          <w:p w14:paraId="26444C53" w14:textId="77777777" w:rsidR="009370DE" w:rsidRPr="00A241F3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53A7D5" w14:textId="2532BB33" w:rsidR="009370DE" w:rsidRPr="00A241F3" w:rsidRDefault="009370DE" w:rsidP="005E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Place of residence</w:t>
            </w:r>
          </w:p>
        </w:tc>
      </w:tr>
      <w:tr w:rsidR="009370DE" w:rsidRPr="00110662" w14:paraId="54A7566B" w14:textId="77777777" w:rsidTr="005E1A27">
        <w:trPr>
          <w:trHeight w:val="630"/>
        </w:trPr>
        <w:tc>
          <w:tcPr>
            <w:tcW w:w="260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8C898A" w14:textId="77777777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Lwak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2267E5" w14:textId="022F0347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63D2" w14:textId="2802BDBE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(12.9; 7.6–18.2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76AF" w14:textId="568D8857" w:rsidR="009370DE" w:rsidRPr="00110662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2FCFA1B" w14:textId="77777777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9370DE" w:rsidRPr="00110662" w14:paraId="11286B8C" w14:textId="77777777" w:rsidTr="005E1A27">
        <w:trPr>
          <w:trHeight w:val="630"/>
        </w:trPr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1A44" w14:textId="77777777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Kibera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68B7" w14:textId="609D7576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82E9" w14:textId="710D8EEC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(15.8; 12.4–19.1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072C" w14:textId="3E8E7EF8" w:rsidR="009370DE" w:rsidRPr="00110662" w:rsidRDefault="0087688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2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(0.77–1.94)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21DB7" w14:textId="2CF15049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7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(0.75–1.89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70DE" w:rsidRPr="00110662" w14:paraId="0AE89369" w14:textId="77777777" w:rsidTr="005E1A27">
        <w:trPr>
          <w:trHeight w:val="600"/>
        </w:trPr>
        <w:tc>
          <w:tcPr>
            <w:tcW w:w="2053" w:type="dxa"/>
            <w:tcBorders>
              <w:top w:val="single" w:sz="4" w:space="0" w:color="auto"/>
              <w:left w:val="nil"/>
            </w:tcBorders>
            <w:vAlign w:val="center"/>
          </w:tcPr>
          <w:p w14:paraId="34751250" w14:textId="77777777" w:rsidR="009370DE" w:rsidRPr="00A241F3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54BE04C" w14:textId="06C0FB4B" w:rsidR="009370DE" w:rsidRPr="00A241F3" w:rsidRDefault="009370DE" w:rsidP="005E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Serotype group</w:t>
            </w:r>
          </w:p>
        </w:tc>
      </w:tr>
      <w:tr w:rsidR="009370DE" w:rsidRPr="00110662" w14:paraId="5727C338" w14:textId="77777777" w:rsidTr="005E1A27">
        <w:trPr>
          <w:trHeight w:val="600"/>
        </w:trPr>
        <w:tc>
          <w:tcPr>
            <w:tcW w:w="260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54B445" w14:textId="77777777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NVT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00FFB3" w14:textId="2E6E7E56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ACA8" w14:textId="607596A8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6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="00A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13.0; 9.1–</w:t>
            </w:r>
            <w:r w:rsidR="00D67412" w:rsidRPr="00D6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DE72" w14:textId="75C968E8" w:rsidR="009370DE" w:rsidRPr="00110662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323945A" w14:textId="1A574336" w:rsidR="009370DE" w:rsidRPr="00110662" w:rsidRDefault="0087688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9370DE"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</w:tr>
      <w:tr w:rsidR="009370DE" w:rsidRPr="00110662" w14:paraId="5B98B4BA" w14:textId="77777777" w:rsidTr="005E1A27">
        <w:trPr>
          <w:trHeight w:val="600"/>
        </w:trPr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2B70" w14:textId="77777777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PCV10 serotype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0CAF" w14:textId="5FF17D29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3756" w14:textId="174B9EA3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6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="00D67412" w:rsidRPr="00D6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16.6; 12.0</w:t>
            </w:r>
            <w:r w:rsidR="00A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67412" w:rsidRPr="00D6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BB4F" w14:textId="0ED9F44B" w:rsidR="009370DE" w:rsidRPr="00110662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 (0.85–1.92)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D69BD" w14:textId="5A7DA91A" w:rsidR="009370DE" w:rsidRPr="00110662" w:rsidRDefault="0087688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 (0.85–1.92</w:t>
            </w:r>
            <w:r w:rsidR="00937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70DE" w:rsidRPr="00110662" w14:paraId="03511DB1" w14:textId="77777777" w:rsidTr="005E1A27">
        <w:trPr>
          <w:trHeight w:val="630"/>
        </w:trPr>
        <w:tc>
          <w:tcPr>
            <w:tcW w:w="2053" w:type="dxa"/>
            <w:tcBorders>
              <w:top w:val="single" w:sz="4" w:space="0" w:color="auto"/>
              <w:left w:val="nil"/>
            </w:tcBorders>
            <w:vAlign w:val="center"/>
          </w:tcPr>
          <w:p w14:paraId="4CA415AA" w14:textId="77777777" w:rsidR="009370DE" w:rsidRPr="00A241F3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7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EC05387" w14:textId="5A536705" w:rsidR="009370DE" w:rsidRPr="00A241F3" w:rsidRDefault="009370DE" w:rsidP="005E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group</w:t>
            </w:r>
          </w:p>
        </w:tc>
      </w:tr>
      <w:tr w:rsidR="009370DE" w:rsidRPr="00110662" w14:paraId="1C661608" w14:textId="77777777" w:rsidTr="005E1A27">
        <w:trPr>
          <w:trHeight w:val="630"/>
        </w:trPr>
        <w:tc>
          <w:tcPr>
            <w:tcW w:w="260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58F0" w14:textId="57126963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&lt;1 years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vAlign w:val="center"/>
          </w:tcPr>
          <w:p w14:paraId="23D421F6" w14:textId="4E5B7884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16CDD3" w14:textId="7CCD4A6C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(10.</w:t>
            </w:r>
            <w:r w:rsidR="00D674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5.2–</w:t>
            </w:r>
            <w:r w:rsidR="00D67412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47E2DAF0" w14:textId="64D8820E" w:rsidR="009370DE" w:rsidRPr="00110662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64F6075F" w14:textId="627BD215" w:rsidR="009370DE" w:rsidRPr="00110662" w:rsidRDefault="0087688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9370DE"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ef</w:t>
            </w:r>
          </w:p>
        </w:tc>
      </w:tr>
      <w:tr w:rsidR="009370DE" w:rsidRPr="00110662" w14:paraId="6ACBA440" w14:textId="77777777" w:rsidTr="005E1A27">
        <w:trPr>
          <w:trHeight w:val="630"/>
        </w:trPr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7EE80" w14:textId="77777777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AAC9E" w14:textId="262B4C00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563D1" w14:textId="414D6D8A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="00D67412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D67412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67412"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30F0F" w14:textId="7861E25D" w:rsidR="009370DE" w:rsidRPr="00110662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1.42 (0.81–2.48)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58CE3" w14:textId="46884135" w:rsidR="009370DE" w:rsidRPr="00110662" w:rsidRDefault="0087688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1.53</w:t>
            </w:r>
            <w:r w:rsidR="0093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(0.91–2.59</w:t>
            </w:r>
            <w:r w:rsidR="009370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0DE" w:rsidRPr="00110662" w14:paraId="0174FDB6" w14:textId="77777777" w:rsidTr="005E1A27">
        <w:trPr>
          <w:trHeight w:val="630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14:paraId="5A4E5FB6" w14:textId="77777777" w:rsidR="009370DE" w:rsidRPr="00A241F3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529042" w14:textId="497CF84C" w:rsidR="009370DE" w:rsidRPr="00A241F3" w:rsidRDefault="009370DE" w:rsidP="005E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children &lt;5 years in home</w:t>
            </w:r>
          </w:p>
        </w:tc>
      </w:tr>
      <w:tr w:rsidR="009370DE" w:rsidRPr="00110662" w14:paraId="6CBE3D29" w14:textId="77777777" w:rsidTr="005E1A27">
        <w:trPr>
          <w:trHeight w:val="630"/>
        </w:trPr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A4E9" w14:textId="5E35FD19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73631" w14:textId="660F72FD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05F3B" w14:textId="0BBABCBC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14:paraId="5BB21327" w14:textId="1DBD6849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67412"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D67412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674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E7229" w14:textId="0F5CB413" w:rsidR="009370DE" w:rsidRPr="00110662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056E7759" w14:textId="7D794C41" w:rsidR="009370DE" w:rsidRPr="00110662" w:rsidRDefault="0087688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9370DE"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ef</w:t>
            </w:r>
          </w:p>
        </w:tc>
      </w:tr>
      <w:tr w:rsidR="009370DE" w:rsidRPr="00110662" w14:paraId="4399249B" w14:textId="77777777" w:rsidTr="005E1A27">
        <w:trPr>
          <w:trHeight w:val="630"/>
        </w:trPr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D3ECF" w14:textId="77777777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2 or more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9C9824" w14:textId="79BB4FB0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F8137" w14:textId="7D9DF496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="00D67412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D67412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67412"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CD1AF" w14:textId="583B96E6" w:rsidR="009370DE" w:rsidRPr="00110662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0.93 (0.62–1.43)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4CA9D" w14:textId="192AB83C" w:rsidR="009370DE" w:rsidRPr="00110662" w:rsidRDefault="0087688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 (0.65–1.50</w:t>
            </w:r>
            <w:r w:rsidR="009370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0DE" w:rsidRPr="00110662" w14:paraId="037A543B" w14:textId="77777777" w:rsidTr="005E1A27">
        <w:trPr>
          <w:trHeight w:val="630"/>
        </w:trPr>
        <w:tc>
          <w:tcPr>
            <w:tcW w:w="2053" w:type="dxa"/>
            <w:tcBorders>
              <w:left w:val="nil"/>
              <w:bottom w:val="nil"/>
            </w:tcBorders>
            <w:vAlign w:val="center"/>
          </w:tcPr>
          <w:p w14:paraId="09C0A5A4" w14:textId="77777777" w:rsidR="009370DE" w:rsidRPr="00A241F3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7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F56795B" w14:textId="048552A8" w:rsidR="009370DE" w:rsidRPr="00A241F3" w:rsidRDefault="009370DE" w:rsidP="005E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days attending school or daycare per week</w:t>
            </w:r>
          </w:p>
        </w:tc>
      </w:tr>
      <w:tr w:rsidR="009370DE" w:rsidRPr="00110662" w14:paraId="3494E6B1" w14:textId="77777777" w:rsidTr="005E1A27">
        <w:trPr>
          <w:trHeight w:val="630"/>
        </w:trPr>
        <w:tc>
          <w:tcPr>
            <w:tcW w:w="260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78850" w14:textId="77777777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9840C" w14:textId="21ED15D7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0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7543B3" w14:textId="3E9F374E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14:paraId="4CB2ED50" w14:textId="6DC1ACE6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67412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D67412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67412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4FB17" w14:textId="78A685B3" w:rsidR="009370DE" w:rsidRPr="00110662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83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7F171E7" w14:textId="40087AF0" w:rsidR="009370DE" w:rsidRPr="00110662" w:rsidRDefault="0087688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9370DE" w:rsidRPr="00110662">
              <w:rPr>
                <w:rFonts w:ascii="Times New Roman" w:eastAsia="Times New Roman" w:hAnsi="Times New Roman" w:cs="Times New Roman"/>
                <w:sz w:val="24"/>
                <w:szCs w:val="24"/>
              </w:rPr>
              <w:t>ef</w:t>
            </w:r>
          </w:p>
        </w:tc>
      </w:tr>
      <w:tr w:rsidR="009370DE" w:rsidRPr="00110662" w14:paraId="223E1FF1" w14:textId="77777777" w:rsidTr="005E1A27">
        <w:trPr>
          <w:trHeight w:val="630"/>
        </w:trPr>
        <w:tc>
          <w:tcPr>
            <w:tcW w:w="26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DA6F" w14:textId="77777777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or more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21EC" w14:textId="1F6B992C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AEC4" w14:textId="39C71A59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="00D6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D6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6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51E5" w14:textId="0118E833" w:rsidR="009370DE" w:rsidRPr="00110662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 (0.58–1.36)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D9CFA" w14:textId="3513E8F5" w:rsidR="009370DE" w:rsidRPr="00110662" w:rsidRDefault="0087688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 (0.60–1.41</w:t>
            </w:r>
            <w:r w:rsidR="00937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70DE" w:rsidRPr="00110662" w14:paraId="6B955674" w14:textId="77777777" w:rsidTr="005E1A27">
        <w:trPr>
          <w:trHeight w:val="645"/>
        </w:trPr>
        <w:tc>
          <w:tcPr>
            <w:tcW w:w="2053" w:type="dxa"/>
            <w:tcBorders>
              <w:top w:val="nil"/>
              <w:left w:val="nil"/>
            </w:tcBorders>
            <w:vAlign w:val="center"/>
          </w:tcPr>
          <w:p w14:paraId="05B8EECC" w14:textId="77777777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0C2287" w14:textId="66592A4E" w:rsidR="009370DE" w:rsidRDefault="009370DE" w:rsidP="005E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Recent illness (within 30 days, compared to those with no illness)</w:t>
            </w:r>
          </w:p>
        </w:tc>
      </w:tr>
      <w:tr w:rsidR="009370DE" w:rsidRPr="00110662" w14:paraId="740A26FB" w14:textId="77777777" w:rsidTr="00D67412">
        <w:trPr>
          <w:trHeight w:val="645"/>
        </w:trPr>
        <w:tc>
          <w:tcPr>
            <w:tcW w:w="260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03CF3" w14:textId="5EE1E798" w:rsidR="009370DE" w:rsidRPr="005E1A27" w:rsidRDefault="009370DE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cough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8F0315" w14:textId="45056A4C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F713" w14:textId="342C39F0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  <w:r w:rsidR="00A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(14.9; 10.4–</w:t>
            </w:r>
            <w:r w:rsidRPr="00937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6175" w14:textId="747DA0F2" w:rsidR="009370DE" w:rsidRPr="00110662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66B78E7" w14:textId="774A7D1D" w:rsidR="009370DE" w:rsidRDefault="0087688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9370DE" w:rsidRPr="00110662" w14:paraId="552F80BA" w14:textId="77777777" w:rsidTr="005E1A27">
        <w:trPr>
          <w:trHeight w:val="645"/>
        </w:trPr>
        <w:tc>
          <w:tcPr>
            <w:tcW w:w="260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D43C" w14:textId="77777777" w:rsidR="009370DE" w:rsidRPr="005E1A27" w:rsidRDefault="009370DE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Cough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502EB0" w14:textId="7BCBC3F1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EB39" w14:textId="1FFBD1CC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(14.0; 10.0–18.1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B310" w14:textId="33909C8F" w:rsidR="009370DE" w:rsidRPr="00110662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 (0.62–1.43)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6FC3FFC" w14:textId="406C2E03" w:rsidR="009370DE" w:rsidRPr="00110662" w:rsidRDefault="0087688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 (0.54–1.36</w:t>
            </w:r>
            <w:r w:rsidR="00937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70DE" w:rsidRPr="00110662" w14:paraId="3F3C3867" w14:textId="77777777" w:rsidTr="00D67412">
        <w:trPr>
          <w:trHeight w:val="645"/>
        </w:trPr>
        <w:tc>
          <w:tcPr>
            <w:tcW w:w="260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13B601" w14:textId="208DA2FE" w:rsidR="009370DE" w:rsidRPr="005E1A27" w:rsidRDefault="009370DE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 pneumonia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3A1CA1" w14:textId="5328E8B0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2547" w14:textId="5D6FB9CB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 </w:t>
            </w:r>
            <w:r w:rsidR="00A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(14.9; 11.7–</w:t>
            </w:r>
            <w:r w:rsidRPr="00937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801" w14:textId="41F4DBB4" w:rsidR="009370DE" w:rsidRPr="00110662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681DE5D" w14:textId="4475B92C" w:rsidR="009370DE" w:rsidRDefault="0087688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9370DE" w:rsidRPr="00110662" w14:paraId="0D5C8149" w14:textId="77777777" w:rsidTr="005E1A27">
        <w:trPr>
          <w:trHeight w:val="645"/>
        </w:trPr>
        <w:tc>
          <w:tcPr>
            <w:tcW w:w="260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2D1" w14:textId="4DD2DDFC" w:rsidR="009370DE" w:rsidRPr="005E1A27" w:rsidRDefault="009370DE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Pneumonia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BDC70F" w14:textId="637396C1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4E32" w14:textId="5CE0C1DC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(6.9; 0–14.7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BEEF" w14:textId="2D9AEF31" w:rsidR="009370DE" w:rsidRPr="00110662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 (0.15–1.45)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269D0E1" w14:textId="01ACF8C0" w:rsidR="009370DE" w:rsidRPr="00110662" w:rsidRDefault="00D67412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 (0.14–1.24</w:t>
            </w:r>
            <w:r w:rsidR="00937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70DE" w:rsidRPr="00110662" w14:paraId="5BE67AA6" w14:textId="77777777" w:rsidTr="00D67412">
        <w:trPr>
          <w:trHeight w:val="645"/>
        </w:trPr>
        <w:tc>
          <w:tcPr>
            <w:tcW w:w="260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CEBD0A" w14:textId="74B2B0EE" w:rsidR="009370DE" w:rsidRPr="005E1A27" w:rsidRDefault="009370DE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fast breathing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36E135" w14:textId="646B5CC0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670D" w14:textId="46F06C72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t xml:space="preserve"> </w:t>
            </w:r>
            <w:r w:rsidR="00A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(14.3; 11.1–</w:t>
            </w:r>
            <w:r w:rsidRPr="00937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2B6C" w14:textId="041C4F4E" w:rsidR="009370DE" w:rsidRPr="00110662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68EB5EF" w14:textId="44C64CAF" w:rsidR="009370DE" w:rsidRDefault="00D67412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9370DE" w:rsidRPr="00110662" w14:paraId="1F678D44" w14:textId="77777777" w:rsidTr="005E1A27">
        <w:trPr>
          <w:trHeight w:val="645"/>
        </w:trPr>
        <w:tc>
          <w:tcPr>
            <w:tcW w:w="260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7FDF" w14:textId="77777777" w:rsidR="009370DE" w:rsidRPr="005E1A27" w:rsidRDefault="009370DE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Fast breathing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2423EE" w14:textId="05D22E82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6A3F" w14:textId="6DA80A17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(15.7; 6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2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2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E3BA" w14:textId="2BD6F67B" w:rsidR="009370DE" w:rsidRPr="00110662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 (0.60–2.00)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3E345B1" w14:textId="6B765D53" w:rsidR="009370DE" w:rsidRPr="00110662" w:rsidRDefault="00D67412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 (0.61–2.06</w:t>
            </w:r>
            <w:r w:rsidR="00937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70DE" w:rsidRPr="00110662" w14:paraId="478F2140" w14:textId="77777777" w:rsidTr="005E1A27">
        <w:trPr>
          <w:trHeight w:val="645"/>
        </w:trPr>
        <w:tc>
          <w:tcPr>
            <w:tcW w:w="260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C0DA5" w14:textId="59038AB1" w:rsidR="009370DE" w:rsidRPr="005E1A27" w:rsidRDefault="009370DE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fever</w:t>
            </w:r>
          </w:p>
        </w:tc>
        <w:tc>
          <w:tcPr>
            <w:tcW w:w="1785" w:type="dxa"/>
            <w:tcBorders>
              <w:top w:val="nil"/>
            </w:tcBorders>
            <w:vAlign w:val="center"/>
          </w:tcPr>
          <w:p w14:paraId="2D645121" w14:textId="6B4EF542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6331D27A" w14:textId="70BA91B1" w:rsidR="00320948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14:paraId="7C891ED3" w14:textId="4074184E" w:rsidR="009370DE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(13.2; 9.2–17.1)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vAlign w:val="center"/>
          </w:tcPr>
          <w:p w14:paraId="33707B91" w14:textId="0550E0BC" w:rsidR="009370DE" w:rsidRPr="00110662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14:paraId="7D412757" w14:textId="3B25F9AA" w:rsidR="009370DE" w:rsidRDefault="00D67412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9370DE" w:rsidRPr="00110662" w14:paraId="2354BD0C" w14:textId="77777777" w:rsidTr="005E1A27">
        <w:trPr>
          <w:trHeight w:val="645"/>
        </w:trPr>
        <w:tc>
          <w:tcPr>
            <w:tcW w:w="26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2F3C" w14:textId="40D53C7B" w:rsidR="009370DE" w:rsidRPr="005E1A27" w:rsidRDefault="009370DE" w:rsidP="005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Fever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5DD7" w14:textId="4F23E27B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0038" w14:textId="074C8A83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="0032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32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2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</w:t>
            </w:r>
            <w:r w:rsidRPr="0011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1BA4" w14:textId="4F7E13D9" w:rsidR="009370DE" w:rsidRPr="00110662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 (0.81–1.85)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A3E5F" w14:textId="18BD8CEE" w:rsidR="009370DE" w:rsidRPr="00110662" w:rsidRDefault="00D67412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  <w:r w:rsidR="00937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1–2.16</w:t>
            </w:r>
            <w:r w:rsidR="00937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70DE" w:rsidRPr="00110662" w14:paraId="785961E3" w14:textId="77777777" w:rsidTr="005E1A27">
        <w:trPr>
          <w:trHeight w:val="630"/>
        </w:trPr>
        <w:tc>
          <w:tcPr>
            <w:tcW w:w="2053" w:type="dxa"/>
            <w:tcBorders>
              <w:top w:val="nil"/>
              <w:left w:val="nil"/>
            </w:tcBorders>
            <w:vAlign w:val="center"/>
          </w:tcPr>
          <w:p w14:paraId="470B902E" w14:textId="77777777" w:rsidR="009370DE" w:rsidRPr="00110662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3D5102" w14:textId="6D53E881" w:rsidR="009370DE" w:rsidRDefault="009370DE" w:rsidP="005E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Any antibiotic use</w:t>
            </w:r>
            <w:r w:rsidRPr="00110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10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(compared to those with no antibiotic use)</w:t>
            </w:r>
            <w:r w:rsidRPr="00F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9370DE" w:rsidRPr="00110662" w14:paraId="2B75FA28" w14:textId="77777777" w:rsidTr="00D67412">
        <w:trPr>
          <w:trHeight w:val="630"/>
        </w:trPr>
        <w:tc>
          <w:tcPr>
            <w:tcW w:w="260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3A316E" w14:textId="32CC4B84" w:rsidR="009370DE" w:rsidRPr="005E1A27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current use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8736E2" w14:textId="2EB46C1D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E14C" w14:textId="77777777" w:rsidR="00320948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</w:t>
            </w:r>
          </w:p>
          <w:p w14:paraId="08514190" w14:textId="2E80BC4F" w:rsidR="009370DE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15.1; 11.9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–18.2)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F367" w14:textId="3CFBC08C" w:rsidR="009370DE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32271D7" w14:textId="401DD3D3" w:rsidR="009370DE" w:rsidRDefault="00D67412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9370DE" w:rsidRPr="00110662" w14:paraId="0FA62BD2" w14:textId="77777777" w:rsidTr="005E1A27">
        <w:trPr>
          <w:trHeight w:val="630"/>
        </w:trPr>
        <w:tc>
          <w:tcPr>
            <w:tcW w:w="260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39465C" w14:textId="4E4F5F44" w:rsidR="009370DE" w:rsidRPr="005E1A27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</w:t>
            </w: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4B26E7" w14:textId="5AA46FCC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6D5B" w14:textId="21A6FD2B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3B4CDA1D" w14:textId="764C8E80" w:rsidR="009370DE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2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0–</w:t>
            </w:r>
            <w:r w:rsidR="0032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6833" w14:textId="689D67C6" w:rsidR="009370DE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 (0.07–1.14)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0A221F3" w14:textId="5E122D64" w:rsidR="009370DE" w:rsidRDefault="00D67412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 (0.08–1.23</w:t>
            </w:r>
            <w:r w:rsidR="00937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70DE" w:rsidRPr="00F7241D" w14:paraId="1263F30E" w14:textId="77777777" w:rsidTr="00D67412">
        <w:trPr>
          <w:trHeight w:val="630"/>
        </w:trPr>
        <w:tc>
          <w:tcPr>
            <w:tcW w:w="260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B76BE1" w14:textId="06CC065A" w:rsidR="009370DE" w:rsidRPr="005E1A27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use within the past 7 days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B2560E" w14:textId="7161C816" w:rsidR="009370DE" w:rsidRPr="00F7241D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D555" w14:textId="79A3030C" w:rsidR="00320948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14:paraId="3B9C1D38" w14:textId="6F6C680D" w:rsidR="009370DE" w:rsidRPr="00F7241D" w:rsidRDefault="00AE53D1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(14.6; 11.3–</w:t>
            </w:r>
            <w:r w:rsidR="00320948">
              <w:rPr>
                <w:rFonts w:ascii="Times New Roman" w:eastAsia="Times New Roman" w:hAnsi="Times New Roman" w:cs="Times New Roman"/>
                <w:sz w:val="24"/>
                <w:szCs w:val="24"/>
              </w:rPr>
              <w:t>17.9)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C7C8" w14:textId="7C89CFBB" w:rsidR="009370DE" w:rsidRPr="00F7241D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B1226B6" w14:textId="77777777" w:rsidR="009370DE" w:rsidRPr="00F7241D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0DE" w:rsidRPr="00F7241D" w14:paraId="5826520D" w14:textId="77777777" w:rsidTr="005E1A27">
        <w:trPr>
          <w:trHeight w:val="630"/>
        </w:trPr>
        <w:tc>
          <w:tcPr>
            <w:tcW w:w="260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BB8FF8" w14:textId="65F2E797" w:rsidR="009370DE" w:rsidRPr="005E1A27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Within the past 7 days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DCFD51" w14:textId="4F45F22C" w:rsidR="009370DE" w:rsidRPr="00F7241D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28FF" w14:textId="44201BF2" w:rsidR="009370DE" w:rsidRPr="00F7241D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14:paraId="4F8F0F82" w14:textId="600D880A" w:rsidR="009370DE" w:rsidRPr="00F7241D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20948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  <w:r w:rsidRPr="00F72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320948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  <w:r w:rsidRPr="00F724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20948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  <w:r w:rsidRPr="00F724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D627" w14:textId="399CF606" w:rsidR="009370DE" w:rsidRPr="00F7241D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0.96 (0.54–1.69)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AEE6D8A" w14:textId="7AFDAFEB" w:rsidR="009370DE" w:rsidRPr="00F7241D" w:rsidRDefault="00D67412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0.98 (0.54–1.75</w:t>
            </w:r>
            <w:r w:rsidR="009370DE" w:rsidRPr="00F724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0DE" w:rsidRPr="00F7241D" w14:paraId="178B87B5" w14:textId="77777777" w:rsidTr="005E1A27">
        <w:trPr>
          <w:trHeight w:val="630"/>
        </w:trPr>
        <w:tc>
          <w:tcPr>
            <w:tcW w:w="260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36B85FAD" w14:textId="5C1C4EBC" w:rsidR="009370DE" w:rsidRPr="005E1A27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use within the past 30 days</w:t>
            </w:r>
          </w:p>
        </w:tc>
        <w:tc>
          <w:tcPr>
            <w:tcW w:w="1785" w:type="dxa"/>
            <w:tcBorders>
              <w:top w:val="nil"/>
            </w:tcBorders>
            <w:vAlign w:val="center"/>
          </w:tcPr>
          <w:p w14:paraId="5A3B3C59" w14:textId="49685754" w:rsidR="009370DE" w:rsidRPr="00F7241D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14:paraId="2D870DA1" w14:textId="43B51053" w:rsidR="009370DE" w:rsidRPr="00F7241D" w:rsidRDefault="00AE53D1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 (13.7; 9.9–</w:t>
            </w:r>
            <w:r w:rsidR="00320948">
              <w:rPr>
                <w:rFonts w:ascii="Times New Roman" w:eastAsia="Times New Roman" w:hAnsi="Times New Roman" w:cs="Times New Roman"/>
                <w:sz w:val="24"/>
                <w:szCs w:val="24"/>
              </w:rPr>
              <w:t>17.4)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vAlign w:val="center"/>
          </w:tcPr>
          <w:p w14:paraId="3122B786" w14:textId="40DC95F3" w:rsidR="009370DE" w:rsidRPr="00F7241D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14:paraId="1BE767F3" w14:textId="77777777" w:rsidR="009370DE" w:rsidRPr="00F7241D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0DE" w:rsidRPr="00F7241D" w14:paraId="5C9AD4BC" w14:textId="77777777" w:rsidTr="005E1A27">
        <w:trPr>
          <w:trHeight w:val="630"/>
        </w:trPr>
        <w:tc>
          <w:tcPr>
            <w:tcW w:w="26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4010" w14:textId="4D68A3C7" w:rsidR="009370DE" w:rsidRPr="005E1A27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Within the past 30 days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573F" w14:textId="42EB0715" w:rsidR="009370DE" w:rsidRPr="00F7241D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90F6" w14:textId="1EEEBD35" w:rsidR="009370DE" w:rsidRPr="00F7241D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1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14:paraId="35C5FD9E" w14:textId="73BD6238" w:rsidR="009370DE" w:rsidRPr="00F7241D" w:rsidRDefault="009370DE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20948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  <w:r w:rsidRPr="00F72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320948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  <w:r w:rsidRPr="00F724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20948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  <w:r w:rsidRPr="00F724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5E7C" w14:textId="1E371C38" w:rsidR="009370DE" w:rsidRPr="00F7241D" w:rsidRDefault="00320948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 (0.76–1.78)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8647C" w14:textId="26F5AFB7" w:rsidR="009370DE" w:rsidRPr="00F7241D" w:rsidRDefault="00D67412" w:rsidP="00D6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 (0.76–1.91</w:t>
            </w:r>
            <w:r w:rsidR="009370DE" w:rsidRPr="00F724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8C5A3AC" w14:textId="5124EB8E" w:rsidR="00D67412" w:rsidRPr="00D03170" w:rsidRDefault="00273728" w:rsidP="00273728">
      <w:pPr>
        <w:pStyle w:val="NoSpacing"/>
        <w:rPr>
          <w:rFonts w:ascii="Times New Roman" w:hAnsi="Times New Roman" w:cs="Times New Roman"/>
          <w:sz w:val="20"/>
        </w:rPr>
      </w:pPr>
      <w:r w:rsidRPr="00D03170">
        <w:rPr>
          <w:rFonts w:ascii="Times New Roman" w:hAnsi="Times New Roman" w:cs="Times New Roman"/>
          <w:sz w:val="20"/>
        </w:rPr>
        <w:t>NVT: non-vaccine type</w:t>
      </w:r>
    </w:p>
    <w:p w14:paraId="422DB8A7" w14:textId="77777777" w:rsidR="00273728" w:rsidRDefault="00273728" w:rsidP="00273728">
      <w:pPr>
        <w:pStyle w:val="NoSpacing"/>
        <w:rPr>
          <w:rFonts w:ascii="Times New Roman" w:hAnsi="Times New Roman" w:cs="Times New Roman"/>
          <w:sz w:val="20"/>
        </w:rPr>
      </w:pPr>
      <w:proofErr w:type="gramStart"/>
      <w:r w:rsidRPr="00D03170">
        <w:rPr>
          <w:rFonts w:ascii="Times New Roman" w:hAnsi="Times New Roman" w:cs="Times New Roman"/>
          <w:sz w:val="20"/>
          <w:vertAlign w:val="superscript"/>
        </w:rPr>
        <w:t>a</w:t>
      </w:r>
      <w:proofErr w:type="gramEnd"/>
      <w:r w:rsidRPr="00D03170">
        <w:rPr>
          <w:rFonts w:ascii="Times New Roman" w:hAnsi="Times New Roman" w:cs="Times New Roman"/>
          <w:sz w:val="20"/>
        </w:rPr>
        <w:t xml:space="preserve"> Current refers to the day of interview.</w:t>
      </w:r>
    </w:p>
    <w:p w14:paraId="011A4328" w14:textId="13860D51" w:rsidR="00C530BF" w:rsidRDefault="00117BE9" w:rsidP="00C530BF">
      <w:pPr>
        <w:pStyle w:val="NoSpacing"/>
        <w:rPr>
          <w:rFonts w:ascii="Times New Roman" w:hAnsi="Times New Roman" w:cs="Times New Roman"/>
          <w:sz w:val="20"/>
        </w:rPr>
      </w:pPr>
      <w:r w:rsidRPr="00117BE9">
        <w:rPr>
          <w:rFonts w:ascii="Times New Roman" w:hAnsi="Times New Roman" w:cs="Times New Roman"/>
          <w:sz w:val="20"/>
          <w:vertAlign w:val="superscript"/>
        </w:rPr>
        <w:t>b</w:t>
      </w:r>
      <w:r w:rsidR="00C530BF">
        <w:rPr>
          <w:rFonts w:ascii="Times New Roman" w:hAnsi="Times New Roman" w:cs="Times New Roman"/>
          <w:sz w:val="20"/>
          <w:vertAlign w:val="superscript"/>
        </w:rPr>
        <w:t xml:space="preserve">  </w:t>
      </w:r>
      <w:r w:rsidR="00E17C13" w:rsidRPr="00F74701">
        <w:rPr>
          <w:rFonts w:ascii="Times New Roman" w:hAnsi="Times New Roman" w:cs="Times New Roman"/>
          <w:sz w:val="20"/>
          <w:szCs w:val="20"/>
        </w:rPr>
        <w:t xml:space="preserve">The categories of antibiotic use in this table are not mutually exclusive (i.e., “within the past 30 days” include those who reported current use and use within the past 7 days), therefore, the adjusted prevalence ratios </w:t>
      </w:r>
      <w:r w:rsidR="00E17C13">
        <w:rPr>
          <w:rFonts w:ascii="Times New Roman" w:hAnsi="Times New Roman" w:cs="Times New Roman"/>
          <w:sz w:val="20"/>
          <w:szCs w:val="20"/>
        </w:rPr>
        <w:t xml:space="preserve">“within the past 7 days” and “within the past 30 days” </w:t>
      </w:r>
      <w:r w:rsidR="00E17C13" w:rsidRPr="00F74701">
        <w:rPr>
          <w:rFonts w:ascii="Times New Roman" w:hAnsi="Times New Roman" w:cs="Times New Roman"/>
          <w:sz w:val="20"/>
          <w:szCs w:val="20"/>
        </w:rPr>
        <w:t>were calculat</w:t>
      </w:r>
      <w:r w:rsidR="00E17C13">
        <w:rPr>
          <w:rFonts w:ascii="Times New Roman" w:hAnsi="Times New Roman" w:cs="Times New Roman"/>
          <w:sz w:val="20"/>
          <w:szCs w:val="20"/>
        </w:rPr>
        <w:t>ed using separate models which only include one antibiotic use category.</w:t>
      </w:r>
    </w:p>
    <w:p w14:paraId="13A41EA3" w14:textId="77777777" w:rsidR="00273728" w:rsidRPr="00913E6B" w:rsidRDefault="00273728">
      <w:pPr>
        <w:rPr>
          <w:rFonts w:ascii="Times New Roman" w:eastAsia="Batang" w:hAnsi="Times New Roman" w:cs="Times New Roman"/>
          <w:sz w:val="24"/>
          <w:szCs w:val="24"/>
        </w:rPr>
      </w:pPr>
    </w:p>
    <w:p w14:paraId="1A3814C8" w14:textId="77777777" w:rsidR="00913E6B" w:rsidRDefault="00913E6B"/>
    <w:p w14:paraId="7481EDA8" w14:textId="77777777" w:rsidR="0042379D" w:rsidRDefault="0042379D"/>
    <w:sectPr w:rsidR="0042379D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C9AA2" w14:textId="77777777" w:rsidR="007A1FE3" w:rsidRDefault="007A1FE3" w:rsidP="008B5D54">
      <w:pPr>
        <w:spacing w:after="0" w:line="240" w:lineRule="auto"/>
      </w:pPr>
      <w:r>
        <w:separator/>
      </w:r>
    </w:p>
  </w:endnote>
  <w:endnote w:type="continuationSeparator" w:id="0">
    <w:p w14:paraId="69CD7B60" w14:textId="77777777" w:rsidR="007A1FE3" w:rsidRDefault="007A1FE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ED382" w14:textId="77777777" w:rsidR="007A1FE3" w:rsidRDefault="007A1F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EC790" w14:textId="77777777" w:rsidR="007A1FE3" w:rsidRDefault="007A1F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7715D" w14:textId="77777777" w:rsidR="007A1FE3" w:rsidRDefault="007A1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1AF2B" w14:textId="77777777" w:rsidR="007A1FE3" w:rsidRDefault="007A1FE3" w:rsidP="008B5D54">
      <w:pPr>
        <w:spacing w:after="0" w:line="240" w:lineRule="auto"/>
      </w:pPr>
      <w:r>
        <w:separator/>
      </w:r>
    </w:p>
  </w:footnote>
  <w:footnote w:type="continuationSeparator" w:id="0">
    <w:p w14:paraId="223D2DD7" w14:textId="77777777" w:rsidR="007A1FE3" w:rsidRDefault="007A1FE3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7DB67" w14:textId="77777777" w:rsidR="007A1FE3" w:rsidRDefault="007A1F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5931A" w14:textId="77777777" w:rsidR="007A1FE3" w:rsidRDefault="007A1F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72030" w14:textId="77777777" w:rsidR="007A1FE3" w:rsidRDefault="007A1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9D"/>
    <w:rsid w:val="00026465"/>
    <w:rsid w:val="000A6225"/>
    <w:rsid w:val="000D437F"/>
    <w:rsid w:val="001044C8"/>
    <w:rsid w:val="00111CEC"/>
    <w:rsid w:val="00117BE9"/>
    <w:rsid w:val="001420E0"/>
    <w:rsid w:val="001655BE"/>
    <w:rsid w:val="001A1DF8"/>
    <w:rsid w:val="001D6F20"/>
    <w:rsid w:val="00222D85"/>
    <w:rsid w:val="00273728"/>
    <w:rsid w:val="002B3F4D"/>
    <w:rsid w:val="00304B48"/>
    <w:rsid w:val="00320948"/>
    <w:rsid w:val="00363AA0"/>
    <w:rsid w:val="003741CB"/>
    <w:rsid w:val="00393091"/>
    <w:rsid w:val="00393801"/>
    <w:rsid w:val="004203A2"/>
    <w:rsid w:val="0042379D"/>
    <w:rsid w:val="00427926"/>
    <w:rsid w:val="0043699E"/>
    <w:rsid w:val="00482B6D"/>
    <w:rsid w:val="004A1CEB"/>
    <w:rsid w:val="004A4A6E"/>
    <w:rsid w:val="00502FD6"/>
    <w:rsid w:val="0050355A"/>
    <w:rsid w:val="00510E64"/>
    <w:rsid w:val="00554336"/>
    <w:rsid w:val="005547AB"/>
    <w:rsid w:val="005D218B"/>
    <w:rsid w:val="005E0A99"/>
    <w:rsid w:val="005E1A27"/>
    <w:rsid w:val="00651014"/>
    <w:rsid w:val="00653A4C"/>
    <w:rsid w:val="00694296"/>
    <w:rsid w:val="006B65B7"/>
    <w:rsid w:val="006C6578"/>
    <w:rsid w:val="007121FE"/>
    <w:rsid w:val="007454A1"/>
    <w:rsid w:val="007A1FE3"/>
    <w:rsid w:val="007A6267"/>
    <w:rsid w:val="0081540B"/>
    <w:rsid w:val="00873D05"/>
    <w:rsid w:val="0087688E"/>
    <w:rsid w:val="008B5D54"/>
    <w:rsid w:val="008F056D"/>
    <w:rsid w:val="008F7C5F"/>
    <w:rsid w:val="00913E6B"/>
    <w:rsid w:val="009370DE"/>
    <w:rsid w:val="00986BAD"/>
    <w:rsid w:val="009E2769"/>
    <w:rsid w:val="00A07D2A"/>
    <w:rsid w:val="00A241F3"/>
    <w:rsid w:val="00AB4279"/>
    <w:rsid w:val="00AE4DE0"/>
    <w:rsid w:val="00AE53D1"/>
    <w:rsid w:val="00B07C7D"/>
    <w:rsid w:val="00B55735"/>
    <w:rsid w:val="00B608AC"/>
    <w:rsid w:val="00BA598F"/>
    <w:rsid w:val="00C502C7"/>
    <w:rsid w:val="00C530BF"/>
    <w:rsid w:val="00C77080"/>
    <w:rsid w:val="00CC0006"/>
    <w:rsid w:val="00CF05BF"/>
    <w:rsid w:val="00D67412"/>
    <w:rsid w:val="00DC57CC"/>
    <w:rsid w:val="00DE0207"/>
    <w:rsid w:val="00DF36BB"/>
    <w:rsid w:val="00E17C13"/>
    <w:rsid w:val="00E7352F"/>
    <w:rsid w:val="00E9536A"/>
    <w:rsid w:val="00EE2999"/>
    <w:rsid w:val="00F04A44"/>
    <w:rsid w:val="00F7241D"/>
    <w:rsid w:val="00F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8E97A8"/>
  <w15:chartTrackingRefBased/>
  <w15:docId w15:val="{63064BC3-09C4-4CCB-9B77-F3C4E057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02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728"/>
    <w:pPr>
      <w:spacing w:after="0" w:line="240" w:lineRule="auto"/>
    </w:pPr>
    <w:rPr>
      <w:rFonts w:eastAsia="Batang"/>
    </w:rPr>
  </w:style>
  <w:style w:type="character" w:styleId="CommentReference">
    <w:name w:val="annotation reference"/>
    <w:basedOn w:val="DefaultParagraphFont"/>
    <w:uiPriority w:val="99"/>
    <w:semiHidden/>
    <w:unhideWhenUsed/>
    <w:rsid w:val="001D6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F20"/>
    <w:pPr>
      <w:spacing w:line="240" w:lineRule="auto"/>
    </w:pPr>
    <w:rPr>
      <w:rFonts w:eastAsia="Batang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F20"/>
    <w:rPr>
      <w:rFonts w:eastAsia="Batang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2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336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336"/>
    <w:rPr>
      <w:rFonts w:eastAsia="Batang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A99E-DD76-4323-9679-62298203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Kobayashi, Miwako (CDC/OID/NCIRD) (CTR)</dc:creator>
  <cp:keywords/>
  <dc:description/>
  <cp:lastModifiedBy>Kobayashi, Miwako (CDC/OID/NCIRD) (CTR)</cp:lastModifiedBy>
  <cp:revision>3</cp:revision>
  <dcterms:created xsi:type="dcterms:W3CDTF">2016-12-02T18:59:00Z</dcterms:created>
  <dcterms:modified xsi:type="dcterms:W3CDTF">2016-12-02T19:06:00Z</dcterms:modified>
</cp:coreProperties>
</file>