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7E" w:rsidRPr="00204C1A" w:rsidRDefault="00204C1A">
      <w:pPr>
        <w:rPr>
          <w:b/>
        </w:rPr>
      </w:pPr>
      <w:r w:rsidRPr="00204C1A">
        <w:rPr>
          <w:b/>
        </w:rPr>
        <w:t>S</w:t>
      </w:r>
      <w:r w:rsidR="00B20F38" w:rsidRPr="00204C1A">
        <w:rPr>
          <w:b/>
        </w:rPr>
        <w:t>upplementary material</w:t>
      </w:r>
    </w:p>
    <w:p w:rsidR="00B20F38" w:rsidRPr="00283B8A" w:rsidRDefault="00204C1A">
      <w:pPr>
        <w:rPr>
          <w:b/>
        </w:rPr>
      </w:pPr>
      <w:r>
        <w:rPr>
          <w:b/>
        </w:rPr>
        <w:t xml:space="preserve">Table S1: </w:t>
      </w:r>
      <w:r w:rsidR="00B20F38" w:rsidRPr="00283B8A">
        <w:rPr>
          <w:b/>
        </w:rPr>
        <w:t>Baseline characteristics of patients in workplace and community programme</w:t>
      </w:r>
    </w:p>
    <w:p w:rsidR="00B20F38" w:rsidRDefault="00B20F38"/>
    <w:tbl>
      <w:tblPr>
        <w:tblStyle w:val="LightShading"/>
        <w:tblW w:w="10065" w:type="dxa"/>
        <w:tblLook w:val="04A0"/>
      </w:tblPr>
      <w:tblGrid>
        <w:gridCol w:w="284"/>
        <w:gridCol w:w="1843"/>
        <w:gridCol w:w="1276"/>
        <w:gridCol w:w="1275"/>
        <w:gridCol w:w="1276"/>
        <w:gridCol w:w="1418"/>
        <w:gridCol w:w="1417"/>
        <w:gridCol w:w="1276"/>
      </w:tblGrid>
      <w:tr w:rsidR="00B20F38" w:rsidTr="00204C1A">
        <w:trPr>
          <w:cnfStyle w:val="100000000000"/>
          <w:trHeight w:val="330"/>
        </w:trPr>
        <w:tc>
          <w:tcPr>
            <w:cnfStyle w:val="001000000000"/>
            <w:tcW w:w="2127" w:type="dxa"/>
            <w:gridSpan w:val="2"/>
          </w:tcPr>
          <w:p w:rsidR="00B20F38" w:rsidRPr="00F80B0A" w:rsidRDefault="00B20F38" w:rsidP="00C3278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sz w:val="20"/>
              </w:rPr>
            </w:pP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 </w:t>
            </w:r>
          </w:p>
        </w:tc>
        <w:tc>
          <w:tcPr>
            <w:tcW w:w="3827" w:type="dxa"/>
            <w:gridSpan w:val="3"/>
            <w:noWrap/>
            <w:hideMark/>
          </w:tcPr>
          <w:p w:rsidR="00B20F38" w:rsidRPr="003558D2" w:rsidRDefault="00B20F38" w:rsidP="00C32787">
            <w:pPr>
              <w:spacing w:line="480" w:lineRule="auto"/>
              <w:jc w:val="center"/>
              <w:cnfStyle w:val="10000000000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Patients with samples, N (%)</w:t>
            </w:r>
          </w:p>
        </w:tc>
        <w:tc>
          <w:tcPr>
            <w:tcW w:w="4111" w:type="dxa"/>
            <w:gridSpan w:val="3"/>
          </w:tcPr>
          <w:p w:rsidR="00B20F38" w:rsidRDefault="00B20F38" w:rsidP="00C32787">
            <w:pPr>
              <w:spacing w:line="480" w:lineRule="auto"/>
              <w:jc w:val="center"/>
              <w:cnfStyle w:val="10000000000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Patients without samples, N (%)</w:t>
            </w:r>
          </w:p>
        </w:tc>
      </w:tr>
      <w:tr w:rsidR="00B20F38" w:rsidRPr="001206C3" w:rsidTr="00204C1A">
        <w:trPr>
          <w:cnfStyle w:val="000000100000"/>
          <w:trHeight w:val="330"/>
        </w:trPr>
        <w:tc>
          <w:tcPr>
            <w:cnfStyle w:val="001000000000"/>
            <w:tcW w:w="2127" w:type="dxa"/>
            <w:gridSpan w:val="2"/>
          </w:tcPr>
          <w:p w:rsidR="00B20F38" w:rsidRPr="00F80B0A" w:rsidRDefault="00B20F38" w:rsidP="00C3278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sz w:val="20"/>
              </w:rPr>
            </w:pP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 xml:space="preserve">All </w:t>
            </w:r>
          </w:p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(N=122)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0"/>
              </w:rPr>
              <w:t>Workplace</w:t>
            </w:r>
            <w:r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0"/>
              </w:rPr>
              <w:t xml:space="preserve"> </w:t>
            </w:r>
            <w:r w:rsidRPr="001206C3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0"/>
              </w:rPr>
              <w:t>(N=27)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0"/>
              </w:rPr>
              <w:t>Community</w:t>
            </w:r>
            <w:r w:rsidRPr="001206C3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0"/>
              </w:rPr>
              <w:t xml:space="preserve"> (N=95)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All </w:t>
            </w:r>
          </w:p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(N=295)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0"/>
              </w:rPr>
              <w:t>Workplace</w:t>
            </w:r>
          </w:p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0"/>
              </w:rPr>
              <w:t>(N</w:t>
            </w:r>
            <w:r w:rsidRPr="001206C3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0"/>
              </w:rPr>
              <w:t>=178)</w:t>
            </w:r>
          </w:p>
        </w:tc>
        <w:tc>
          <w:tcPr>
            <w:tcW w:w="1276" w:type="dxa"/>
          </w:tcPr>
          <w:p w:rsidR="00B20F38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0"/>
              </w:rPr>
              <w:t>Community</w:t>
            </w:r>
          </w:p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0"/>
              </w:rPr>
              <w:t>(N</w:t>
            </w:r>
            <w:r w:rsidRPr="001206C3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0"/>
              </w:rPr>
              <w:t>=117)</w:t>
            </w:r>
          </w:p>
        </w:tc>
      </w:tr>
      <w:tr w:rsidR="00B20F38" w:rsidRPr="001206C3" w:rsidTr="00204C1A">
        <w:trPr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</w:rPr>
            </w:pP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Age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at switch</w:t>
            </w: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, years </w:t>
            </w:r>
          </w:p>
          <w:p w:rsidR="00B20F38" w:rsidRPr="00E36BDF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(median, IQR)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36 (31-44)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44 (36-49)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35 (31-44)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40 (35-48)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42 (37-50)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37 (32-43)</w:t>
            </w:r>
          </w:p>
        </w:tc>
      </w:tr>
      <w:tr w:rsidR="00B20F38" w:rsidRPr="001206C3" w:rsidTr="00204C1A">
        <w:trPr>
          <w:cnfStyle w:val="000000100000"/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Pr="00E36BDF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Sex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, male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60 (49.2)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26 (96.3)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34 (35.8)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210 (71.2)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162 (91.0)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48 (41.0)</w:t>
            </w:r>
          </w:p>
        </w:tc>
      </w:tr>
      <w:tr w:rsidR="00B20F38" w:rsidRPr="001206C3" w:rsidTr="00204C1A">
        <w:trPr>
          <w:trHeight w:val="333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Transfers into programme on ART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40/112 (32.8)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2/26 (7.7)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38/86 (44.2)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80/265 (30.2)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18/159 (11.3)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62/106 (58.5)</w:t>
            </w:r>
          </w:p>
        </w:tc>
      </w:tr>
      <w:tr w:rsidR="00B20F38" w:rsidRPr="001206C3" w:rsidTr="00204C1A">
        <w:trPr>
          <w:cnfStyle w:val="000000100000"/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Pr="00825E5A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Cs w:val="0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R</w:t>
            </w: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eason for switch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</w:tr>
      <w:tr w:rsidR="00B20F38" w:rsidRPr="001206C3" w:rsidTr="00204C1A">
        <w:trPr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Pr="003558D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C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825E5A" w:rsidRDefault="00B20F38" w:rsidP="00C32787">
            <w:pPr>
              <w:spacing w:line="480" w:lineRule="auto"/>
              <w:cnfStyle w:val="0000000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F</w:t>
            </w:r>
            <w:r w:rsidRPr="00825E5A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ailure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93/111 (83.8)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19/24 (79.2)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74/77 (96.1)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214/261 (82.0)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129/156 (82.7)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86/105 (81.9)</w:t>
            </w:r>
          </w:p>
        </w:tc>
      </w:tr>
      <w:tr w:rsidR="00B20F38" w:rsidRPr="001206C3" w:rsidTr="00204C1A">
        <w:trPr>
          <w:cnfStyle w:val="000000100000"/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Pr="003558D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C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825E5A" w:rsidRDefault="00B20F38" w:rsidP="00C32787">
            <w:pPr>
              <w:spacing w:line="480" w:lineRule="auto"/>
              <w:cnfStyle w:val="0000001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 w:rsidRPr="00825E5A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Non-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a</w:t>
            </w:r>
            <w:r w:rsidRPr="00825E5A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dherence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5 (4.5)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4 (16.7)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 (1.3)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10/261 (3.8)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9/156 (5.8)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0/105 (0)</w:t>
            </w:r>
          </w:p>
        </w:tc>
      </w:tr>
      <w:tr w:rsidR="00B20F38" w:rsidRPr="001206C3" w:rsidTr="00204C1A">
        <w:trPr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Pr="003558D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C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825E5A" w:rsidRDefault="00B20F38" w:rsidP="00C32787">
            <w:pPr>
              <w:spacing w:line="480" w:lineRule="auto"/>
              <w:cnfStyle w:val="0000000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 w:rsidRPr="00825E5A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Other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13 (11.7)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 (4.2)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12 (15.6)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37/261 (14.2)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18/156 (11.5)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19/105 (18.1)</w:t>
            </w:r>
          </w:p>
        </w:tc>
      </w:tr>
      <w:tr w:rsidR="00B20F38" w:rsidRPr="001206C3" w:rsidTr="00204C1A">
        <w:trPr>
          <w:cnfStyle w:val="000000100000"/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Pr="003558D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Year of switch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</w:tr>
      <w:tr w:rsidR="00B20F38" w:rsidRPr="001206C3" w:rsidTr="00204C1A">
        <w:trPr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Pr="003558D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C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3558D2" w:rsidRDefault="00B20F38" w:rsidP="00C32787">
            <w:pPr>
              <w:spacing w:line="480" w:lineRule="auto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≤2005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17 (13.9)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11 (40.7)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6 (6.3)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37 (12.5)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32 (18.0)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5 (4.3)</w:t>
            </w:r>
          </w:p>
        </w:tc>
      </w:tr>
      <w:tr w:rsidR="00B20F38" w:rsidRPr="001206C3" w:rsidTr="00204C1A">
        <w:trPr>
          <w:cnfStyle w:val="000000100000"/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Pr="003558D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C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3558D2" w:rsidRDefault="00B20F38" w:rsidP="00C32787">
            <w:pPr>
              <w:spacing w:line="480" w:lineRule="auto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2006-07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34 (27.9)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11 (40.7)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23 (24.2)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107 (36.3)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46 (25.8)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61 (52.1)</w:t>
            </w:r>
          </w:p>
        </w:tc>
      </w:tr>
      <w:tr w:rsidR="00B20F38" w:rsidRPr="001206C3" w:rsidTr="00204C1A">
        <w:trPr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Pr="003558D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C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3558D2" w:rsidRDefault="00B20F38" w:rsidP="00C32787">
            <w:pPr>
              <w:spacing w:line="480" w:lineRule="auto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2008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71 (58.2)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5 (18.5)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66 (69.5)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151 (51.2)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100 (56.2)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51 (43.6)</w:t>
            </w:r>
          </w:p>
        </w:tc>
      </w:tr>
      <w:tr w:rsidR="00B20F38" w:rsidRPr="001206C3" w:rsidTr="00204C1A">
        <w:trPr>
          <w:cnfStyle w:val="000000100000"/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Pr="00C0700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Reported non-adherence, 1</w:t>
            </w:r>
            <w:r w:rsidRPr="00D05B32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</w:rPr>
              <w:t>st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-line ART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16 (13.1)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13 (48.1)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3 (3.2)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46 (15.6)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41 (23.0)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5 (4.3)</w:t>
            </w:r>
          </w:p>
        </w:tc>
      </w:tr>
      <w:tr w:rsidR="00B20F38" w:rsidRPr="001206C3" w:rsidTr="00204C1A">
        <w:trPr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Pr="00C0700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</w:rPr>
            </w:pP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V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L &lt;400 copies/ml, 1</w:t>
            </w:r>
            <w:r w:rsidRPr="00C07002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</w:rPr>
              <w:t>st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-line ART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61/98 (62.2)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12/25 (48.0)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49/73 (67.1)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177/243 (72.8)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118/165 (71.5)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59/78 (75.6)</w:t>
            </w:r>
          </w:p>
        </w:tc>
      </w:tr>
      <w:tr w:rsidR="00B20F38" w:rsidRPr="001206C3" w:rsidTr="00204C1A">
        <w:trPr>
          <w:cnfStyle w:val="000000100000"/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</w:rPr>
            </w:pP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D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ays on 1</w:t>
            </w:r>
            <w:r w:rsidRPr="0055776B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</w:rPr>
              <w:t>st</w:t>
            </w: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-line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ART</w:t>
            </w: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</w:t>
            </w:r>
          </w:p>
          <w:p w:rsidR="00B20F38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</w:rPr>
            </w:pP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(median, IQR)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545 (311-810)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620 (376-805)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536 (295-818)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601 (393-907)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705 (449-1031)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510 (306-691)</w:t>
            </w:r>
          </w:p>
        </w:tc>
      </w:tr>
      <w:tr w:rsidR="00B20F38" w:rsidRPr="001206C3" w:rsidTr="00204C1A">
        <w:trPr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Pr="00D730E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</w:rPr>
            </w:pP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Durat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ion of viraemia 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</w:tr>
      <w:tr w:rsidR="00B20F38" w:rsidRPr="001206C3" w:rsidTr="00204C1A">
        <w:trPr>
          <w:cnfStyle w:val="000000100000"/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C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3558D2" w:rsidRDefault="00B20F38" w:rsidP="00C32787">
            <w:pPr>
              <w:spacing w:line="480" w:lineRule="auto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&lt;12 months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54/119 (45.4)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11/27 (40.7)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43/92 (46.7)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123/293 (42.0)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71/178 (39.9)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52/115 (45.2)</w:t>
            </w:r>
          </w:p>
        </w:tc>
      </w:tr>
      <w:tr w:rsidR="00B20F38" w:rsidRPr="001206C3" w:rsidTr="00204C1A">
        <w:trPr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Pr="003558D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C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3558D2" w:rsidRDefault="00B20F38" w:rsidP="00C32787">
            <w:pPr>
              <w:spacing w:line="480" w:lineRule="auto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≥12 months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65/119 (54.6)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16/27 (59.3)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49/92 (53.3)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170/293 (58.0)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107/178 (60.1)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63/115 (54.8)</w:t>
            </w:r>
          </w:p>
        </w:tc>
      </w:tr>
      <w:tr w:rsidR="00B20F38" w:rsidRPr="001206C3" w:rsidTr="00204C1A">
        <w:trPr>
          <w:cnfStyle w:val="000000100000"/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Pr="0055776B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Cs w:val="0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NNRTI pre-switch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</w:tr>
      <w:tr w:rsidR="00B20F38" w:rsidRPr="001206C3" w:rsidTr="00204C1A">
        <w:trPr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55776B" w:rsidRDefault="00B20F38" w:rsidP="00C32787">
            <w:pPr>
              <w:spacing w:line="480" w:lineRule="auto"/>
              <w:cnfStyle w:val="0000000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 w:rsidRPr="0055776B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EFV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78</w:t>
            </w: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 xml:space="preserve"> (6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3</w:t>
            </w: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9</w:t>
            </w: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4</w:t>
            </w: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 xml:space="preserve"> (</w:t>
            </w: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88.9</w:t>
            </w: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4</w:t>
            </w: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 xml:space="preserve"> (5</w:t>
            </w: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6</w:t>
            </w: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.</w:t>
            </w: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8</w:t>
            </w: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220 (74.6)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164 (92.1)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56 (47.9)</w:t>
            </w:r>
          </w:p>
        </w:tc>
      </w:tr>
      <w:tr w:rsidR="00B20F38" w:rsidRPr="001206C3" w:rsidTr="00204C1A">
        <w:trPr>
          <w:cnfStyle w:val="000000100000"/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55776B" w:rsidRDefault="00B20F38" w:rsidP="00C32787">
            <w:pPr>
              <w:spacing w:line="480" w:lineRule="auto"/>
              <w:cnfStyle w:val="0000001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 w:rsidRPr="0055776B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NVP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4</w:t>
            </w: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 xml:space="preserve"> (3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6</w:t>
            </w: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</w:t>
            </w: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3</w:t>
            </w: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 xml:space="preserve"> (</w:t>
            </w: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11.1</w:t>
            </w: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</w:t>
            </w: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 xml:space="preserve"> (4</w:t>
            </w: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3</w:t>
            </w: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.</w:t>
            </w: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2</w:t>
            </w: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75 (25.4)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14 (7.9)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61 (52.1)</w:t>
            </w:r>
          </w:p>
        </w:tc>
      </w:tr>
      <w:tr w:rsidR="00B20F38" w:rsidRPr="001206C3" w:rsidTr="00204C1A">
        <w:trPr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Pr="0055776B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Cs w:val="0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NRTIs pre-switch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</w:tr>
      <w:tr w:rsidR="00B20F38" w:rsidRPr="001206C3" w:rsidTr="00204C1A">
        <w:trPr>
          <w:cnfStyle w:val="000000100000"/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55776B" w:rsidRDefault="00B20F38" w:rsidP="00C32787">
            <w:pPr>
              <w:spacing w:line="480" w:lineRule="auto"/>
              <w:cnfStyle w:val="0000001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 w:rsidRPr="0055776B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AZT+ 3TC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44 (36.1)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26 (96.3)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18 (18.9)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182 (61.7)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164 (92.1)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18 (15.4)</w:t>
            </w:r>
          </w:p>
        </w:tc>
      </w:tr>
      <w:tr w:rsidR="00B20F38" w:rsidRPr="001206C3" w:rsidTr="00204C1A">
        <w:trPr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55776B" w:rsidRDefault="00B20F38" w:rsidP="00C32787">
            <w:pPr>
              <w:spacing w:line="480" w:lineRule="auto"/>
              <w:cnfStyle w:val="0000000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 w:rsidRPr="0055776B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d4T+ 3TC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75 (61.5)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 (3.7)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74 (77.9)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111 (37.6)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12 (6.7)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99 (84.6)</w:t>
            </w:r>
          </w:p>
        </w:tc>
      </w:tr>
      <w:tr w:rsidR="00B20F38" w:rsidRPr="001206C3" w:rsidTr="00204C1A">
        <w:trPr>
          <w:cnfStyle w:val="000000100000"/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55776B" w:rsidRDefault="00B20F38" w:rsidP="00C32787">
            <w:pPr>
              <w:spacing w:line="480" w:lineRule="auto"/>
              <w:cnfStyle w:val="0000001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 w:rsidRPr="0055776B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 xml:space="preserve">Other 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3 (2.5)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3 (3.2</w:t>
            </w: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2 (0.6)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2</w:t>
            </w: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 xml:space="preserve"> (</w:t>
            </w: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1.2</w:t>
            </w: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0</w:t>
            </w:r>
          </w:p>
        </w:tc>
      </w:tr>
      <w:tr w:rsidR="00B20F38" w:rsidRPr="001206C3" w:rsidTr="00204C1A">
        <w:trPr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Pr="003558D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Switch: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bPI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+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</w:p>
        </w:tc>
      </w:tr>
      <w:tr w:rsidR="00B20F38" w:rsidRPr="001206C3" w:rsidTr="00204C1A">
        <w:trPr>
          <w:cnfStyle w:val="000000100000"/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Pr="003558D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C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3558D2" w:rsidRDefault="00B20F38" w:rsidP="00C32787">
            <w:pPr>
              <w:spacing w:line="480" w:lineRule="auto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AZT/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ddI</w:t>
            </w:r>
            <w:proofErr w:type="spellEnd"/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59 (48.4)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59 (62.1)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67 (22.7)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 (0.6)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66 (56.4)</w:t>
            </w:r>
          </w:p>
        </w:tc>
      </w:tr>
      <w:tr w:rsidR="00B20F38" w:rsidRPr="001206C3" w:rsidTr="00204C1A">
        <w:trPr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Pr="003558D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C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3558D2" w:rsidRDefault="00B20F38" w:rsidP="00C32787">
            <w:pPr>
              <w:spacing w:line="480" w:lineRule="auto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ABC/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ddI</w:t>
            </w:r>
            <w:proofErr w:type="spellEnd"/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36 (29.5)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25 (92.6)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11 (11.6)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171 (58.0)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161 (90.4)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10 (8.5)</w:t>
            </w:r>
          </w:p>
        </w:tc>
      </w:tr>
      <w:tr w:rsidR="00B20F38" w:rsidRPr="001206C3" w:rsidTr="00204C1A">
        <w:trPr>
          <w:cnfStyle w:val="000000100000"/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Pr="003558D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C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3558D2" w:rsidRDefault="00B20F38" w:rsidP="00C32787">
            <w:pPr>
              <w:spacing w:line="480" w:lineRule="auto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TDF/FTC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9 (7.4)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9 (9.5)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13 (4.4)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2 (1.1)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11 (9.4)</w:t>
            </w:r>
          </w:p>
        </w:tc>
      </w:tr>
      <w:tr w:rsidR="00B20F38" w:rsidRPr="001206C3" w:rsidTr="00204C1A">
        <w:trPr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Pr="003558D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C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3558D2" w:rsidRDefault="00B20F38" w:rsidP="00C32787">
            <w:pPr>
              <w:spacing w:line="480" w:lineRule="auto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Other 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18 (14.7)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2 (7.4)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16 (16.8)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44 (14.9)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10 (5.6)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29 (24.7)</w:t>
            </w:r>
          </w:p>
        </w:tc>
      </w:tr>
      <w:tr w:rsidR="00B20F38" w:rsidRPr="001206C3" w:rsidTr="00204C1A">
        <w:trPr>
          <w:cnfStyle w:val="000000100000"/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</w:rPr>
            </w:pP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CD4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count,</w:t>
            </w: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cells/mm</w:t>
            </w: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</w:rPr>
              <w:t>3</w:t>
            </w: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</w:t>
            </w:r>
          </w:p>
          <w:p w:rsidR="00B20F38" w:rsidRPr="003558D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(median,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</w:t>
            </w: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IQR)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177 (77-263)</w:t>
            </w:r>
          </w:p>
        </w:tc>
        <w:tc>
          <w:tcPr>
            <w:tcW w:w="1275" w:type="dxa"/>
            <w:noWrap/>
            <w:hideMark/>
          </w:tcPr>
          <w:p w:rsidR="00B20F38" w:rsidRPr="007564AC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7564AC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157 (58-198)</w:t>
            </w:r>
          </w:p>
        </w:tc>
        <w:tc>
          <w:tcPr>
            <w:tcW w:w="1276" w:type="dxa"/>
          </w:tcPr>
          <w:p w:rsidR="00B20F38" w:rsidRPr="007564AC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7564AC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185 (89-295)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176 (102-257)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172 (102-237)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188 (110-269)</w:t>
            </w:r>
          </w:p>
        </w:tc>
      </w:tr>
      <w:tr w:rsidR="00B20F38" w:rsidRPr="001206C3" w:rsidTr="00204C1A">
        <w:trPr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Pr="003558D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>log</w:t>
            </w: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  <w:vertAlign w:val="subscript"/>
              </w:rPr>
              <w:t>10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vertAlign w:val="subscript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VL</w:t>
            </w:r>
            <w:r w:rsidRPr="003558D2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(median, IQR)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4.3 (3.8-4.7)</w:t>
            </w:r>
          </w:p>
        </w:tc>
        <w:tc>
          <w:tcPr>
            <w:tcW w:w="1275" w:type="dxa"/>
            <w:noWrap/>
            <w:hideMark/>
          </w:tcPr>
          <w:p w:rsidR="00B20F38" w:rsidRPr="007564AC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7564AC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4.6 (4.2-5)</w:t>
            </w:r>
          </w:p>
        </w:tc>
        <w:tc>
          <w:tcPr>
            <w:tcW w:w="1276" w:type="dxa"/>
          </w:tcPr>
          <w:p w:rsidR="00B20F38" w:rsidRPr="007564AC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7564AC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4.3 (3.7-4.6)</w:t>
            </w:r>
          </w:p>
        </w:tc>
        <w:tc>
          <w:tcPr>
            <w:tcW w:w="1418" w:type="dxa"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4.5 (4.0-4.9)</w:t>
            </w:r>
          </w:p>
        </w:tc>
        <w:tc>
          <w:tcPr>
            <w:tcW w:w="1417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4.6 (4.1-5.1)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4.2 (3.8-4.6)</w:t>
            </w:r>
          </w:p>
        </w:tc>
      </w:tr>
      <w:tr w:rsidR="00B20F38" w:rsidRPr="00EF49A5" w:rsidTr="00204C1A">
        <w:trPr>
          <w:cnfStyle w:val="000000100000"/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Pr="00C0438C" w:rsidRDefault="00B20F38" w:rsidP="00204C1A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‘Sub-therapeutic’ 1</w:t>
            </w:r>
            <w:r w:rsidRPr="0055776B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</w:rPr>
              <w:t>st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-line ART pre-switch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44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/80</w:t>
            </w: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 xml:space="preserve"> (55)</w:t>
            </w:r>
          </w:p>
        </w:tc>
        <w:tc>
          <w:tcPr>
            <w:tcW w:w="1275" w:type="dxa"/>
            <w:noWrap/>
            <w:hideMark/>
          </w:tcPr>
          <w:p w:rsidR="00B20F38" w:rsidRPr="007564AC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11/15 (73</w:t>
            </w:r>
            <w:r w:rsidRPr="007564AC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)</w:t>
            </w:r>
            <w:r w:rsidR="00204C1A" w:rsidRPr="00204C1A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</w:rPr>
              <w:t xml:space="preserve"> 1</w:t>
            </w:r>
          </w:p>
        </w:tc>
        <w:tc>
          <w:tcPr>
            <w:tcW w:w="1276" w:type="dxa"/>
          </w:tcPr>
          <w:p w:rsidR="00B20F38" w:rsidRPr="007564AC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33/65 (51</w:t>
            </w:r>
            <w:r w:rsidRPr="007564AC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)</w:t>
            </w:r>
            <w:r w:rsidR="00204C1A" w:rsidRPr="00204C1A">
              <w:rPr>
                <w:rFonts w:ascii="Arial Narrow" w:eastAsia="Times New Roman" w:hAnsi="Arial Narrow" w:cs="Times New Roman"/>
                <w:color w:val="000000"/>
                <w:sz w:val="20"/>
                <w:vertAlign w:val="superscript"/>
              </w:rPr>
              <w:t xml:space="preserve"> 1</w:t>
            </w:r>
          </w:p>
        </w:tc>
        <w:tc>
          <w:tcPr>
            <w:tcW w:w="1418" w:type="dxa"/>
          </w:tcPr>
          <w:p w:rsidR="00B20F38" w:rsidRPr="00EF49A5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417" w:type="dxa"/>
          </w:tcPr>
          <w:p w:rsidR="00B20F38" w:rsidRPr="00EF49A5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B20F38" w:rsidRPr="00EF49A5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highlight w:val="yellow"/>
              </w:rPr>
            </w:pPr>
          </w:p>
        </w:tc>
      </w:tr>
      <w:tr w:rsidR="00B20F38" w:rsidRPr="00DB2008" w:rsidTr="00204C1A">
        <w:trPr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Pr="00386C41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HIV subtype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N=115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N=27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N=88</w:t>
            </w:r>
          </w:p>
        </w:tc>
        <w:tc>
          <w:tcPr>
            <w:tcW w:w="1418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</w:tr>
      <w:tr w:rsidR="00B20F38" w:rsidRPr="00DB2008" w:rsidTr="00204C1A">
        <w:trPr>
          <w:cnfStyle w:val="000000100000"/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Pr="0002620F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C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386C41" w:rsidRDefault="00B20F38" w:rsidP="00C32787">
            <w:pPr>
              <w:spacing w:line="480" w:lineRule="auto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386C41">
              <w:rPr>
                <w:rFonts w:ascii="Arial Narrow" w:eastAsia="Times New Roman" w:hAnsi="Arial Narrow" w:cs="Times New Roman"/>
                <w:color w:val="000000"/>
                <w:sz w:val="20"/>
              </w:rPr>
              <w:t>A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 (0.9</w:t>
            </w: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1 (1.1)</w:t>
            </w:r>
          </w:p>
        </w:tc>
        <w:tc>
          <w:tcPr>
            <w:tcW w:w="1418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</w:tr>
      <w:tr w:rsidR="00B20F38" w:rsidRPr="00DB2008" w:rsidTr="00204C1A">
        <w:trPr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Pr="0002620F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C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386C41" w:rsidRDefault="00B20F38" w:rsidP="00C32787">
            <w:pPr>
              <w:spacing w:line="480" w:lineRule="auto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386C41">
              <w:rPr>
                <w:rFonts w:ascii="Arial Narrow" w:eastAsia="Times New Roman" w:hAnsi="Arial Narrow" w:cs="Times New Roman"/>
                <w:color w:val="000000"/>
                <w:sz w:val="20"/>
              </w:rPr>
              <w:t>B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2 (1.7</w:t>
            </w: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2 (2.3</w:t>
            </w: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)</w:t>
            </w:r>
          </w:p>
        </w:tc>
        <w:tc>
          <w:tcPr>
            <w:tcW w:w="1418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</w:tr>
      <w:tr w:rsidR="00B20F38" w:rsidRPr="00DB2008" w:rsidTr="00204C1A">
        <w:trPr>
          <w:cnfStyle w:val="000000100000"/>
          <w:trHeight w:val="330"/>
        </w:trPr>
        <w:tc>
          <w:tcPr>
            <w:cnfStyle w:val="001000000000"/>
            <w:tcW w:w="284" w:type="dxa"/>
            <w:noWrap/>
            <w:hideMark/>
          </w:tcPr>
          <w:p w:rsidR="00B20F38" w:rsidRPr="003558D2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C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B20F38" w:rsidRPr="00386C41" w:rsidRDefault="00B20F38" w:rsidP="00C32787">
            <w:pPr>
              <w:spacing w:line="480" w:lineRule="auto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386C41">
              <w:rPr>
                <w:rFonts w:ascii="Arial Narrow" w:eastAsia="Times New Roman" w:hAnsi="Arial Narrow" w:cs="Times New Roman"/>
                <w:color w:val="000000"/>
                <w:sz w:val="20"/>
              </w:rPr>
              <w:t>C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112 (97.4</w:t>
            </w:r>
            <w:r w:rsidRPr="0089752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27 (100.0)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85 (96.6</w:t>
            </w:r>
            <w:r w:rsidRPr="001206C3">
              <w:rPr>
                <w:rFonts w:ascii="Arial Narrow" w:eastAsia="Times New Roman" w:hAnsi="Arial Narrow" w:cs="Times New Roman"/>
                <w:i/>
                <w:color w:val="000000"/>
                <w:sz w:val="20"/>
              </w:rPr>
              <w:t>)</w:t>
            </w:r>
          </w:p>
        </w:tc>
        <w:tc>
          <w:tcPr>
            <w:tcW w:w="1418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</w:tr>
      <w:tr w:rsidR="00B20F38" w:rsidRPr="00DB2008" w:rsidTr="00204C1A">
        <w:trPr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Pr="00DB2008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</w:rPr>
            </w:pPr>
            <w:r w:rsidRPr="00DB2008">
              <w:rPr>
                <w:rFonts w:ascii="Arial Narrow" w:eastAsia="Times New Roman" w:hAnsi="Arial Narrow" w:cs="Times New Roman"/>
                <w:color w:val="000000"/>
                <w:sz w:val="20"/>
              </w:rPr>
              <w:t>No major DRM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26 (22.6)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  <w:t>8 (29.6)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  <w:t>18 (20.</w:t>
            </w:r>
            <w:r w:rsidRPr="001206C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  <w:t>5)</w:t>
            </w:r>
          </w:p>
        </w:tc>
        <w:tc>
          <w:tcPr>
            <w:tcW w:w="1418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</w:tc>
      </w:tr>
      <w:tr w:rsidR="00B20F38" w:rsidRPr="00DB2008" w:rsidTr="00204C1A">
        <w:trPr>
          <w:cnfStyle w:val="000000100000"/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Pr="00DB2008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</w:rPr>
            </w:pPr>
            <w:r w:rsidRPr="00DB2008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Any NNRTI mutation 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85 (73.9)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  <w:t>18 (66.</w:t>
            </w:r>
            <w:r w:rsidRPr="001206C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  <w:t>7)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  <w:t>67 (76.1)</w:t>
            </w:r>
          </w:p>
        </w:tc>
        <w:tc>
          <w:tcPr>
            <w:tcW w:w="1418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</w:tc>
      </w:tr>
      <w:tr w:rsidR="00B20F38" w:rsidTr="00204C1A">
        <w:trPr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Pr="00DB2008" w:rsidRDefault="00B20F38" w:rsidP="00204C1A">
            <w:pPr>
              <w:spacing w:line="480" w:lineRule="auto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Any NRTI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80 (69.6</w:t>
            </w:r>
            <w:r w:rsidRPr="008975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  <w:t>16 (59.3</w:t>
            </w:r>
            <w:r w:rsidRPr="001206C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  <w:t>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  <w:t>64 (72.7)</w:t>
            </w:r>
          </w:p>
        </w:tc>
        <w:tc>
          <w:tcPr>
            <w:tcW w:w="1418" w:type="dxa"/>
          </w:tcPr>
          <w:p w:rsidR="00B20F38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20F38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</w:tc>
      </w:tr>
      <w:tr w:rsidR="00B20F38" w:rsidTr="00204C1A">
        <w:trPr>
          <w:cnfStyle w:val="000000100000"/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Pr="00DB2008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NRTI, other than M184V/I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 w:rsidRPr="008975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42 (36.5)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  <w:t>9 (33.3)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  <w:t>33 (37.5)</w:t>
            </w:r>
          </w:p>
        </w:tc>
        <w:tc>
          <w:tcPr>
            <w:tcW w:w="1418" w:type="dxa"/>
          </w:tcPr>
          <w:p w:rsidR="00B20F38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20F38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</w:tc>
      </w:tr>
      <w:tr w:rsidR="00B20F38" w:rsidRPr="00DB2008" w:rsidTr="00204C1A">
        <w:trPr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Pr="00DB2008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NRTI cross-resistance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lastRenderedPageBreak/>
              <w:t>mutations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lastRenderedPageBreak/>
              <w:t>19 (16.5</w:t>
            </w:r>
            <w:r w:rsidRPr="008975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  <w:t>6 (22.2)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  <w:t>13 (14.8</w:t>
            </w:r>
            <w:r w:rsidRPr="001206C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  <w:t>)</w:t>
            </w:r>
          </w:p>
        </w:tc>
        <w:tc>
          <w:tcPr>
            <w:tcW w:w="1418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0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</w:tc>
      </w:tr>
      <w:tr w:rsidR="00B20F38" w:rsidRPr="00DB2008" w:rsidTr="00204C1A">
        <w:trPr>
          <w:cnfStyle w:val="000000100000"/>
          <w:trHeight w:val="330"/>
        </w:trPr>
        <w:tc>
          <w:tcPr>
            <w:cnfStyle w:val="001000000000"/>
            <w:tcW w:w="2127" w:type="dxa"/>
            <w:gridSpan w:val="2"/>
            <w:noWrap/>
            <w:hideMark/>
          </w:tcPr>
          <w:p w:rsidR="00B20F38" w:rsidRPr="00DB2008" w:rsidRDefault="00B20F38" w:rsidP="00C32787">
            <w:pPr>
              <w:spacing w:line="480" w:lineRule="auto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</w:rPr>
            </w:pPr>
            <w:r w:rsidRPr="00DB2008">
              <w:rPr>
                <w:rFonts w:ascii="Arial Narrow" w:eastAsia="Times New Roman" w:hAnsi="Arial Narrow" w:cs="Times New Roman"/>
                <w:color w:val="000000"/>
                <w:sz w:val="20"/>
              </w:rPr>
              <w:lastRenderedPageBreak/>
              <w:t>Two class resistance</w:t>
            </w:r>
          </w:p>
        </w:tc>
        <w:tc>
          <w:tcPr>
            <w:tcW w:w="1276" w:type="dxa"/>
            <w:noWrap/>
            <w:hideMark/>
          </w:tcPr>
          <w:p w:rsidR="00B20F38" w:rsidRPr="0089752E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76 (66.1</w:t>
            </w:r>
            <w:r w:rsidRPr="008975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)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1275" w:type="dxa"/>
            <w:noWrap/>
            <w:hideMark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  <w:t>15 (55.</w:t>
            </w:r>
            <w:r w:rsidRPr="001206C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  <w:t>6)</w:t>
            </w:r>
          </w:p>
        </w:tc>
        <w:tc>
          <w:tcPr>
            <w:tcW w:w="1276" w:type="dxa"/>
          </w:tcPr>
          <w:p w:rsidR="00B20F38" w:rsidRPr="001206C3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</w:pPr>
            <w:r w:rsidRPr="001206C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</w:rPr>
              <w:t>61 (69.3)</w:t>
            </w:r>
          </w:p>
        </w:tc>
        <w:tc>
          <w:tcPr>
            <w:tcW w:w="1418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B20F38" w:rsidRPr="00DB2008" w:rsidRDefault="00B20F38" w:rsidP="00C32787">
            <w:pPr>
              <w:spacing w:line="480" w:lineRule="auto"/>
              <w:jc w:val="center"/>
              <w:cnfStyle w:val="000000100000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</w:tc>
      </w:tr>
    </w:tbl>
    <w:p w:rsidR="00204C1A" w:rsidRDefault="00204C1A" w:rsidP="00204C1A">
      <w:pPr>
        <w:spacing w:line="480" w:lineRule="auto"/>
      </w:pPr>
      <w:proofErr w:type="gramStart"/>
      <w:r w:rsidRPr="007E6467">
        <w:rPr>
          <w:vertAlign w:val="superscript"/>
        </w:rPr>
        <w:t>a</w:t>
      </w:r>
      <w:r w:rsidRPr="002461EB">
        <w:t>in</w:t>
      </w:r>
      <w:proofErr w:type="gramEnd"/>
      <w:r w:rsidRPr="002461EB">
        <w:t xml:space="preserve"> 36/76 patients</w:t>
      </w:r>
      <w:r>
        <w:t>’</w:t>
      </w:r>
      <w:r w:rsidRPr="002461EB">
        <w:t xml:space="preserve"> dual class resistance was on the basis of NNRTI mutations and M184V/I alone</w:t>
      </w:r>
    </w:p>
    <w:p w:rsidR="00204C1A" w:rsidRPr="00204C1A" w:rsidRDefault="00204C1A" w:rsidP="00204C1A">
      <w:pPr>
        <w:spacing w:line="480" w:lineRule="auto"/>
      </w:pPr>
      <w:r w:rsidRPr="00204C1A">
        <w:rPr>
          <w:vertAlign w:val="superscript"/>
        </w:rPr>
        <w:t>1</w:t>
      </w:r>
      <w:r>
        <w:t>p=0.15</w:t>
      </w:r>
    </w:p>
    <w:p w:rsidR="00204C1A" w:rsidRDefault="00204C1A" w:rsidP="00204C1A">
      <w:pPr>
        <w:spacing w:line="480" w:lineRule="auto"/>
        <w:rPr>
          <w:b/>
        </w:rPr>
      </w:pPr>
      <w:r>
        <w:rPr>
          <w:b/>
        </w:rPr>
        <w:t xml:space="preserve">Abbreviations: </w:t>
      </w:r>
      <w:r w:rsidRPr="00E10415">
        <w:t>IQR, inter-quartile range; NNRT</w:t>
      </w:r>
      <w:r>
        <w:t>I</w:t>
      </w:r>
      <w:r w:rsidRPr="00E10415">
        <w:t xml:space="preserve">, non-nucleoside reverse transcriptase inhibitor; NRTI, nucleoside reverse transcriptase inhibitor; </w:t>
      </w:r>
      <w:proofErr w:type="spellStart"/>
      <w:r w:rsidRPr="00E10415">
        <w:t>bPI</w:t>
      </w:r>
      <w:proofErr w:type="spellEnd"/>
      <w:r w:rsidRPr="00E10415">
        <w:t xml:space="preserve">, </w:t>
      </w:r>
      <w:proofErr w:type="spellStart"/>
      <w:r w:rsidRPr="00E10415">
        <w:t>ritonavir</w:t>
      </w:r>
      <w:proofErr w:type="spellEnd"/>
      <w:r w:rsidRPr="00E10415">
        <w:t xml:space="preserve"> boosted protease inhibitor; VL, viral load; DRM, drug resistance mutation</w:t>
      </w:r>
      <w:r>
        <w:t>.</w:t>
      </w:r>
    </w:p>
    <w:p w:rsidR="00B20F38" w:rsidRDefault="00B20F38"/>
    <w:sectPr w:rsidR="00B20F38" w:rsidSect="00795C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F38"/>
    <w:rsid w:val="00033822"/>
    <w:rsid w:val="00137770"/>
    <w:rsid w:val="00204C1A"/>
    <w:rsid w:val="00283B8A"/>
    <w:rsid w:val="00690589"/>
    <w:rsid w:val="00795C7E"/>
    <w:rsid w:val="008A70B5"/>
    <w:rsid w:val="00B20F38"/>
    <w:rsid w:val="00B339F0"/>
    <w:rsid w:val="00D66C1F"/>
    <w:rsid w:val="00F6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04C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2843</Characters>
  <Application>Microsoft Office Word</Application>
  <DocSecurity>0</DocSecurity>
  <Lines>23</Lines>
  <Paragraphs>6</Paragraphs>
  <ScaleCrop>false</ScaleCrop>
  <Company>London School of Hygiene &amp; Tropical Medicine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2</cp:revision>
  <dcterms:created xsi:type="dcterms:W3CDTF">2013-05-25T13:01:00Z</dcterms:created>
  <dcterms:modified xsi:type="dcterms:W3CDTF">2013-05-25T13:01:00Z</dcterms:modified>
</cp:coreProperties>
</file>