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C80" w:rsidRDefault="00EF5C80" w:rsidP="004C71C6">
      <w:pPr>
        <w:pStyle w:val="EndNoteBibliography"/>
        <w:spacing w:line="480" w:lineRule="auto"/>
        <w:rPr>
          <w:rFonts w:ascii="Times New Roman" w:hAnsi="Times New Roman" w:cs="Times New Roman"/>
          <w:szCs w:val="24"/>
        </w:rPr>
      </w:pPr>
    </w:p>
    <w:p w:rsidR="00EF5C80" w:rsidRDefault="00EF5C80" w:rsidP="004C71C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  <w:r>
        <w:drawing>
          <wp:inline distT="0" distB="0" distL="0" distR="0">
            <wp:extent cx="5943600" cy="370522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F5C80" w:rsidRPr="00EF5C80" w:rsidRDefault="00EF5C80" w:rsidP="00EF5C80"/>
    <w:p w:rsidR="00EF5C80" w:rsidRDefault="00EF5C80" w:rsidP="00EF5C80"/>
    <w:p w:rsidR="00EF5C80" w:rsidRPr="00EF5C80" w:rsidRDefault="00EF5C80" w:rsidP="00EF5C80">
      <w:pPr>
        <w:tabs>
          <w:tab w:val="left" w:pos="1440"/>
        </w:tabs>
      </w:pPr>
      <w:bookmarkStart w:id="0" w:name="_GoBack"/>
      <w:bookmarkEnd w:id="0"/>
    </w:p>
    <w:sectPr w:rsidR="00EF5C80" w:rsidRPr="00EF5C80" w:rsidSect="004F7B2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6AA" w:rsidRDefault="004006AA" w:rsidP="00687751">
      <w:r>
        <w:separator/>
      </w:r>
    </w:p>
  </w:endnote>
  <w:endnote w:type="continuationSeparator" w:id="0">
    <w:p w:rsidR="004006AA" w:rsidRDefault="004006AA" w:rsidP="0068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F6" w:rsidRDefault="000842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6AA" w:rsidRDefault="004006AA" w:rsidP="00687751">
      <w:r>
        <w:separator/>
      </w:r>
    </w:p>
  </w:footnote>
  <w:footnote w:type="continuationSeparator" w:id="0">
    <w:p w:rsidR="004006AA" w:rsidRDefault="004006AA" w:rsidP="00687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6879"/>
    <w:multiLevelType w:val="hybridMultilevel"/>
    <w:tmpl w:val="4E7C60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7321"/>
    <w:multiLevelType w:val="hybridMultilevel"/>
    <w:tmpl w:val="18EA42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82989"/>
    <w:multiLevelType w:val="hybridMultilevel"/>
    <w:tmpl w:val="F4A86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24D88"/>
    <w:multiLevelType w:val="hybridMultilevel"/>
    <w:tmpl w:val="EE90C5B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FA3B6C"/>
    <w:multiLevelType w:val="hybridMultilevel"/>
    <w:tmpl w:val="A476DDBA"/>
    <w:lvl w:ilvl="0" w:tplc="ADFE97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87751"/>
    <w:rsid w:val="000842F6"/>
    <w:rsid w:val="00266BDA"/>
    <w:rsid w:val="00270A39"/>
    <w:rsid w:val="002B13C2"/>
    <w:rsid w:val="00361722"/>
    <w:rsid w:val="003A0C7E"/>
    <w:rsid w:val="004006AA"/>
    <w:rsid w:val="0048420B"/>
    <w:rsid w:val="004C71C6"/>
    <w:rsid w:val="004F7B2C"/>
    <w:rsid w:val="005C55B3"/>
    <w:rsid w:val="005C7AEF"/>
    <w:rsid w:val="00641BD6"/>
    <w:rsid w:val="00684C6B"/>
    <w:rsid w:val="00687751"/>
    <w:rsid w:val="006D753A"/>
    <w:rsid w:val="007104CD"/>
    <w:rsid w:val="007F3D13"/>
    <w:rsid w:val="00875064"/>
    <w:rsid w:val="009061A3"/>
    <w:rsid w:val="00A01F99"/>
    <w:rsid w:val="00A113CA"/>
    <w:rsid w:val="00A8068D"/>
    <w:rsid w:val="00BA3DCC"/>
    <w:rsid w:val="00CD61C2"/>
    <w:rsid w:val="00EF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751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87751"/>
  </w:style>
  <w:style w:type="character" w:styleId="Strong">
    <w:name w:val="Strong"/>
    <w:basedOn w:val="DefaultParagraphFont"/>
    <w:uiPriority w:val="22"/>
    <w:qFormat/>
    <w:rsid w:val="0068775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8775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name">
    <w:name w:val="name"/>
    <w:basedOn w:val="DefaultParagraphFont"/>
    <w:rsid w:val="00687751"/>
  </w:style>
  <w:style w:type="character" w:styleId="Hyperlink">
    <w:name w:val="Hyperlink"/>
    <w:basedOn w:val="DefaultParagraphFont"/>
    <w:uiPriority w:val="99"/>
    <w:unhideWhenUsed/>
    <w:rsid w:val="00687751"/>
    <w:rPr>
      <w:color w:val="0000FF"/>
      <w:u w:val="single"/>
    </w:rPr>
  </w:style>
  <w:style w:type="character" w:customStyle="1" w:styleId="affiliation">
    <w:name w:val="affiliation"/>
    <w:basedOn w:val="DefaultParagraphFont"/>
    <w:rsid w:val="00687751"/>
  </w:style>
  <w:style w:type="table" w:styleId="TableGrid">
    <w:name w:val="Table Grid"/>
    <w:basedOn w:val="TableNormal"/>
    <w:uiPriority w:val="59"/>
    <w:rsid w:val="00687751"/>
    <w:pPr>
      <w:spacing w:after="0" w:line="240" w:lineRule="auto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7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75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7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7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7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75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8775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87751"/>
    <w:rPr>
      <w:color w:val="800080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687751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87751"/>
    <w:rPr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687751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87751"/>
    <w:rPr>
      <w:noProof/>
      <w:sz w:val="24"/>
    </w:rPr>
  </w:style>
  <w:style w:type="paragraph" w:styleId="Header">
    <w:name w:val="header"/>
    <w:basedOn w:val="Normal"/>
    <w:link w:val="HeaderChar"/>
    <w:uiPriority w:val="99"/>
    <w:unhideWhenUsed/>
    <w:rsid w:val="006877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751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877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751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77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77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77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751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87751"/>
  </w:style>
  <w:style w:type="character" w:styleId="Strong">
    <w:name w:val="Strong"/>
    <w:basedOn w:val="DefaultParagraphFont"/>
    <w:uiPriority w:val="22"/>
    <w:qFormat/>
    <w:rsid w:val="0068775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8775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name">
    <w:name w:val="name"/>
    <w:basedOn w:val="DefaultParagraphFont"/>
    <w:rsid w:val="00687751"/>
  </w:style>
  <w:style w:type="character" w:styleId="Hyperlink">
    <w:name w:val="Hyperlink"/>
    <w:basedOn w:val="DefaultParagraphFont"/>
    <w:uiPriority w:val="99"/>
    <w:unhideWhenUsed/>
    <w:rsid w:val="00687751"/>
    <w:rPr>
      <w:color w:val="0000FF"/>
      <w:u w:val="single"/>
    </w:rPr>
  </w:style>
  <w:style w:type="character" w:customStyle="1" w:styleId="affiliation">
    <w:name w:val="affiliation"/>
    <w:basedOn w:val="DefaultParagraphFont"/>
    <w:rsid w:val="00687751"/>
  </w:style>
  <w:style w:type="table" w:styleId="TableGrid">
    <w:name w:val="Table Grid"/>
    <w:basedOn w:val="TableNormal"/>
    <w:uiPriority w:val="59"/>
    <w:rsid w:val="00687751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7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75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7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7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7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75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8775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87751"/>
    <w:rPr>
      <w:color w:val="800080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687751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87751"/>
    <w:rPr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687751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87751"/>
    <w:rPr>
      <w:noProof/>
      <w:sz w:val="24"/>
    </w:rPr>
  </w:style>
  <w:style w:type="paragraph" w:styleId="Header">
    <w:name w:val="header"/>
    <w:basedOn w:val="Normal"/>
    <w:link w:val="HeaderChar"/>
    <w:uiPriority w:val="99"/>
    <w:unhideWhenUsed/>
    <w:rsid w:val="006877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751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877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751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77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77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775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ictor%202\Dropbox\Motorcycle\AJE\Online%20Figure%20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 algn="l">
              <a:defRPr sz="140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defRPr>
            </a:pPr>
            <a:r>
              <a:rPr lang="en-US" sz="120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Additional file 3: Figure S2</a:t>
            </a:r>
            <a:r>
              <a:rPr lang="en-US" sz="1200" b="1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.</a:t>
            </a:r>
            <a:r>
              <a:rPr lang="en-US" sz="1200" b="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 </a:t>
            </a:r>
            <a:r>
              <a:rPr lang="en-US" sz="1200" b="0" i="0" u="none" strike="noStrike" baseline="0">
                <a:effectLst/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Intrinsic Estimator Cohort effect</a:t>
            </a:r>
          </a:p>
          <a:p>
            <a:pPr algn="l">
              <a:defRPr sz="140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defRPr>
            </a:pPr>
            <a:r>
              <a:rPr lang="en-US" sz="1200" b="0" i="0" u="none" strike="noStrike" baseline="0">
                <a:effectLst/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rPr>
              <a:t>in the United States, 1975-2014</a:t>
            </a:r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strRef>
              <c:f>'C:\Users\Victor 2\Dropbox\Motorcycle\Databases\[APC Analisis 75-14 Continental US only.xlsx]IE_Total'!$J$21</c:f>
              <c:strCache>
                <c:ptCount val="1"/>
                <c:pt idx="0">
                  <c:v>Log Coef.</c:v>
                </c:pt>
              </c:strCache>
            </c:strRef>
          </c:tx>
          <c:spPr>
            <a:ln>
              <a:solidFill>
                <a:schemeClr val="tx2"/>
              </a:solidFill>
            </a:ln>
          </c:spPr>
          <c:marker>
            <c:symbol val="none"/>
          </c:marker>
          <c:cat>
            <c:strRef>
              <c:f>'C:\Users\Victor 2\Dropbox\Motorcycle\Databases\[APC Analisis 75-14 Continental US only.xlsx]IE_Total'!$I$44:$I$64</c:f>
              <c:strCache>
                <c:ptCount val="21"/>
                <c:pt idx="0">
                  <c:v>1895-1899</c:v>
                </c:pt>
                <c:pt idx="1">
                  <c:v>1900-1904</c:v>
                </c:pt>
                <c:pt idx="2">
                  <c:v>1905-1909</c:v>
                </c:pt>
                <c:pt idx="3">
                  <c:v>1910-1914</c:v>
                </c:pt>
                <c:pt idx="4">
                  <c:v>1915-1919</c:v>
                </c:pt>
                <c:pt idx="5">
                  <c:v>1920-1924</c:v>
                </c:pt>
                <c:pt idx="6">
                  <c:v>1925-1929</c:v>
                </c:pt>
                <c:pt idx="7">
                  <c:v>1930-1934</c:v>
                </c:pt>
                <c:pt idx="8">
                  <c:v>1935-1939</c:v>
                </c:pt>
                <c:pt idx="9">
                  <c:v>1940-1944</c:v>
                </c:pt>
                <c:pt idx="10">
                  <c:v>1945-1949</c:v>
                </c:pt>
                <c:pt idx="11">
                  <c:v>1950-1954</c:v>
                </c:pt>
                <c:pt idx="12">
                  <c:v>1955-1959</c:v>
                </c:pt>
                <c:pt idx="13">
                  <c:v>1960-1964</c:v>
                </c:pt>
                <c:pt idx="14">
                  <c:v>1965-1969</c:v>
                </c:pt>
                <c:pt idx="15">
                  <c:v>1970-1974</c:v>
                </c:pt>
                <c:pt idx="16">
                  <c:v>1975-1979</c:v>
                </c:pt>
                <c:pt idx="17">
                  <c:v>1980-1984</c:v>
                </c:pt>
                <c:pt idx="18">
                  <c:v>1985-1989</c:v>
                </c:pt>
                <c:pt idx="19">
                  <c:v>1990-1994</c:v>
                </c:pt>
                <c:pt idx="20">
                  <c:v>1995-1999</c:v>
                </c:pt>
              </c:strCache>
            </c:strRef>
          </c:cat>
          <c:val>
            <c:numRef>
              <c:f>'C:\Users\Victor 2\Dropbox\Motorcycle\Databases\[APC Analisis 75-14 Continental US only.xlsx]IE_Total'!$J$44:$J$64</c:f>
              <c:numCache>
                <c:formatCode>General</c:formatCode>
                <c:ptCount val="21"/>
                <c:pt idx="0">
                  <c:v>-1.4144489999999998</c:v>
                </c:pt>
                <c:pt idx="1">
                  <c:v>-0.89180910000000002</c:v>
                </c:pt>
                <c:pt idx="2">
                  <c:v>-0.76148780000000005</c:v>
                </c:pt>
                <c:pt idx="3">
                  <c:v>-0.7760667</c:v>
                </c:pt>
                <c:pt idx="4">
                  <c:v>-0.42889450000000007</c:v>
                </c:pt>
                <c:pt idx="5">
                  <c:v>-0.24442520000000004</c:v>
                </c:pt>
                <c:pt idx="6">
                  <c:v>-0.17408810000000002</c:v>
                </c:pt>
                <c:pt idx="7">
                  <c:v>0.14412810000000001</c:v>
                </c:pt>
                <c:pt idx="8">
                  <c:v>0.47683290000000006</c:v>
                </c:pt>
                <c:pt idx="9">
                  <c:v>0.75548209999999993</c:v>
                </c:pt>
                <c:pt idx="10">
                  <c:v>0.98709789999999997</c:v>
                </c:pt>
                <c:pt idx="11">
                  <c:v>1.0856109999999999</c:v>
                </c:pt>
                <c:pt idx="12">
                  <c:v>1.1041180000000002</c:v>
                </c:pt>
                <c:pt idx="13">
                  <c:v>1.048081</c:v>
                </c:pt>
                <c:pt idx="14">
                  <c:v>0.90372430000000004</c:v>
                </c:pt>
                <c:pt idx="15">
                  <c:v>0.72827910000000007</c:v>
                </c:pt>
                <c:pt idx="16">
                  <c:v>0.37970450000000006</c:v>
                </c:pt>
                <c:pt idx="17">
                  <c:v>-3.7061799999999999E-2</c:v>
                </c:pt>
                <c:pt idx="18">
                  <c:v>-0.32864850000000007</c:v>
                </c:pt>
                <c:pt idx="19">
                  <c:v>-0.8522573</c:v>
                </c:pt>
                <c:pt idx="20">
                  <c:v>-1.7038709999999997</c:v>
                </c:pt>
              </c:numCache>
            </c:numRef>
          </c:val>
        </c:ser>
        <c:ser>
          <c:idx val="4"/>
          <c:order val="1"/>
          <c:tx>
            <c:strRef>
              <c:f>'C:\Users\Victor 2\Dropbox\Motorcycle\Databases\[APC Analisis 75-14 Continental US only.xlsx]IE_Total'!$K$21</c:f>
              <c:strCache>
                <c:ptCount val="1"/>
                <c:pt idx="0">
                  <c:v>LCI</c:v>
                </c:pt>
              </c:strCache>
            </c:strRef>
          </c:tx>
          <c:marker>
            <c:symbol val="none"/>
          </c:marker>
          <c:cat>
            <c:strRef>
              <c:f>'C:\Users\Victor 2\Dropbox\Motorcycle\Databases\[APC Analisis 75-14 Continental US only.xlsx]IE_Total'!$I$44:$I$64</c:f>
              <c:strCache>
                <c:ptCount val="21"/>
                <c:pt idx="0">
                  <c:v>1895-1899</c:v>
                </c:pt>
                <c:pt idx="1">
                  <c:v>1900-1904</c:v>
                </c:pt>
                <c:pt idx="2">
                  <c:v>1905-1909</c:v>
                </c:pt>
                <c:pt idx="3">
                  <c:v>1910-1914</c:v>
                </c:pt>
                <c:pt idx="4">
                  <c:v>1915-1919</c:v>
                </c:pt>
                <c:pt idx="5">
                  <c:v>1920-1924</c:v>
                </c:pt>
                <c:pt idx="6">
                  <c:v>1925-1929</c:v>
                </c:pt>
                <c:pt idx="7">
                  <c:v>1930-1934</c:v>
                </c:pt>
                <c:pt idx="8">
                  <c:v>1935-1939</c:v>
                </c:pt>
                <c:pt idx="9">
                  <c:v>1940-1944</c:v>
                </c:pt>
                <c:pt idx="10">
                  <c:v>1945-1949</c:v>
                </c:pt>
                <c:pt idx="11">
                  <c:v>1950-1954</c:v>
                </c:pt>
                <c:pt idx="12">
                  <c:v>1955-1959</c:v>
                </c:pt>
                <c:pt idx="13">
                  <c:v>1960-1964</c:v>
                </c:pt>
                <c:pt idx="14">
                  <c:v>1965-1969</c:v>
                </c:pt>
                <c:pt idx="15">
                  <c:v>1970-1974</c:v>
                </c:pt>
                <c:pt idx="16">
                  <c:v>1975-1979</c:v>
                </c:pt>
                <c:pt idx="17">
                  <c:v>1980-1984</c:v>
                </c:pt>
                <c:pt idx="18">
                  <c:v>1985-1989</c:v>
                </c:pt>
                <c:pt idx="19">
                  <c:v>1990-1994</c:v>
                </c:pt>
                <c:pt idx="20">
                  <c:v>1995-1999</c:v>
                </c:pt>
              </c:strCache>
            </c:strRef>
          </c:cat>
          <c:val>
            <c:numRef>
              <c:f>'C:\Users\Victor 2\Dropbox\Motorcycle\Databases\[APC Analisis 75-14 Continental US only.xlsx]IE_Total'!$K$44:$K$64</c:f>
              <c:numCache>
                <c:formatCode>General</c:formatCode>
                <c:ptCount val="21"/>
                <c:pt idx="0">
                  <c:v>-5.2025539999999992</c:v>
                </c:pt>
                <c:pt idx="1">
                  <c:v>-2.6027779999999998</c:v>
                </c:pt>
                <c:pt idx="2">
                  <c:v>-1.9146110000000001</c:v>
                </c:pt>
                <c:pt idx="3">
                  <c:v>-1.6946140000000001</c:v>
                </c:pt>
                <c:pt idx="4">
                  <c:v>-1.1535489999999999</c:v>
                </c:pt>
                <c:pt idx="5">
                  <c:v>-0.85307679999999997</c:v>
                </c:pt>
                <c:pt idx="6">
                  <c:v>-0.70141379999999987</c:v>
                </c:pt>
                <c:pt idx="7">
                  <c:v>-0.30420340000000001</c:v>
                </c:pt>
                <c:pt idx="8">
                  <c:v>9.2411399999999991E-2</c:v>
                </c:pt>
                <c:pt idx="9">
                  <c:v>0.43302580000000007</c:v>
                </c:pt>
                <c:pt idx="10">
                  <c:v>0.72458329999999993</c:v>
                </c:pt>
                <c:pt idx="11">
                  <c:v>0.87946480000000005</c:v>
                </c:pt>
                <c:pt idx="12">
                  <c:v>0.95195759999999996</c:v>
                </c:pt>
                <c:pt idx="13">
                  <c:v>0.94499060000000012</c:v>
                </c:pt>
                <c:pt idx="14">
                  <c:v>0.83196409999999998</c:v>
                </c:pt>
                <c:pt idx="15">
                  <c:v>0.65268630000000005</c:v>
                </c:pt>
                <c:pt idx="16">
                  <c:v>0.26628310000000005</c:v>
                </c:pt>
                <c:pt idx="17">
                  <c:v>-0.1961686</c:v>
                </c:pt>
                <c:pt idx="18">
                  <c:v>-0.53663850000000002</c:v>
                </c:pt>
                <c:pt idx="19">
                  <c:v>-1.120619</c:v>
                </c:pt>
                <c:pt idx="20">
                  <c:v>-2.1262279999999998</c:v>
                </c:pt>
              </c:numCache>
            </c:numRef>
          </c:val>
        </c:ser>
        <c:ser>
          <c:idx val="5"/>
          <c:order val="2"/>
          <c:tx>
            <c:strRef>
              <c:f>'C:\Users\Victor 2\Dropbox\Motorcycle\Databases\[APC Analisis 75-14 Continental US only.xlsx]IE_Total'!$L$21</c:f>
              <c:strCache>
                <c:ptCount val="1"/>
                <c:pt idx="0">
                  <c:v>UCI</c:v>
                </c:pt>
              </c:strCache>
            </c:strRef>
          </c:tx>
          <c:marker>
            <c:symbol val="none"/>
          </c:marker>
          <c:cat>
            <c:strRef>
              <c:f>'C:\Users\Victor 2\Dropbox\Motorcycle\Databases\[APC Analisis 75-14 Continental US only.xlsx]IE_Total'!$I$44:$I$64</c:f>
              <c:strCache>
                <c:ptCount val="21"/>
                <c:pt idx="0">
                  <c:v>1895-1899</c:v>
                </c:pt>
                <c:pt idx="1">
                  <c:v>1900-1904</c:v>
                </c:pt>
                <c:pt idx="2">
                  <c:v>1905-1909</c:v>
                </c:pt>
                <c:pt idx="3">
                  <c:v>1910-1914</c:v>
                </c:pt>
                <c:pt idx="4">
                  <c:v>1915-1919</c:v>
                </c:pt>
                <c:pt idx="5">
                  <c:v>1920-1924</c:v>
                </c:pt>
                <c:pt idx="6">
                  <c:v>1925-1929</c:v>
                </c:pt>
                <c:pt idx="7">
                  <c:v>1930-1934</c:v>
                </c:pt>
                <c:pt idx="8">
                  <c:v>1935-1939</c:v>
                </c:pt>
                <c:pt idx="9">
                  <c:v>1940-1944</c:v>
                </c:pt>
                <c:pt idx="10">
                  <c:v>1945-1949</c:v>
                </c:pt>
                <c:pt idx="11">
                  <c:v>1950-1954</c:v>
                </c:pt>
                <c:pt idx="12">
                  <c:v>1955-1959</c:v>
                </c:pt>
                <c:pt idx="13">
                  <c:v>1960-1964</c:v>
                </c:pt>
                <c:pt idx="14">
                  <c:v>1965-1969</c:v>
                </c:pt>
                <c:pt idx="15">
                  <c:v>1970-1974</c:v>
                </c:pt>
                <c:pt idx="16">
                  <c:v>1975-1979</c:v>
                </c:pt>
                <c:pt idx="17">
                  <c:v>1980-1984</c:v>
                </c:pt>
                <c:pt idx="18">
                  <c:v>1985-1989</c:v>
                </c:pt>
                <c:pt idx="19">
                  <c:v>1990-1994</c:v>
                </c:pt>
                <c:pt idx="20">
                  <c:v>1995-1999</c:v>
                </c:pt>
              </c:strCache>
            </c:strRef>
          </c:cat>
          <c:val>
            <c:numRef>
              <c:f>'C:\Users\Victor 2\Dropbox\Motorcycle\Databases\[APC Analisis 75-14 Continental US only.xlsx]IE_Total'!$L$44:$L$64</c:f>
              <c:numCache>
                <c:formatCode>General</c:formatCode>
                <c:ptCount val="21"/>
                <c:pt idx="0">
                  <c:v>2.3736559999999995</c:v>
                </c:pt>
                <c:pt idx="1">
                  <c:v>0.81915939999999998</c:v>
                </c:pt>
                <c:pt idx="2">
                  <c:v>0.39163530000000002</c:v>
                </c:pt>
                <c:pt idx="3">
                  <c:v>0.14248030000000003</c:v>
                </c:pt>
                <c:pt idx="4">
                  <c:v>0.29576050000000004</c:v>
                </c:pt>
                <c:pt idx="5">
                  <c:v>0.36422640000000006</c:v>
                </c:pt>
                <c:pt idx="6">
                  <c:v>0.35323759999999998</c:v>
                </c:pt>
                <c:pt idx="7">
                  <c:v>0.59245959999999986</c:v>
                </c:pt>
                <c:pt idx="8">
                  <c:v>0.86125430000000003</c:v>
                </c:pt>
                <c:pt idx="9">
                  <c:v>1.0779379999999998</c:v>
                </c:pt>
                <c:pt idx="10">
                  <c:v>1.2496129999999999</c:v>
                </c:pt>
                <c:pt idx="11">
                  <c:v>1.291758</c:v>
                </c:pt>
                <c:pt idx="12">
                  <c:v>1.2562789999999999</c:v>
                </c:pt>
                <c:pt idx="13">
                  <c:v>1.1511709999999999</c:v>
                </c:pt>
                <c:pt idx="14">
                  <c:v>0.97548440000000003</c:v>
                </c:pt>
                <c:pt idx="15">
                  <c:v>0.80387200000000003</c:v>
                </c:pt>
                <c:pt idx="16">
                  <c:v>0.49312590000000006</c:v>
                </c:pt>
                <c:pt idx="17">
                  <c:v>0.12204500000000001</c:v>
                </c:pt>
                <c:pt idx="18">
                  <c:v>-0.1206584</c:v>
                </c:pt>
                <c:pt idx="19">
                  <c:v>-0.58389550000000001</c:v>
                </c:pt>
                <c:pt idx="20">
                  <c:v>-1.2815139999999998</c:v>
                </c:pt>
              </c:numCache>
            </c:numRef>
          </c:val>
        </c:ser>
        <c:dLbls/>
        <c:hiLowLines/>
        <c:marker val="1"/>
        <c:axId val="224623616"/>
        <c:axId val="224642176"/>
      </c:lineChart>
      <c:catAx>
        <c:axId val="22462361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200" b="1">
                    <a:latin typeface="Times New Roman" panose="02020603050405020304" pitchFamily="18" charset="0"/>
                    <a:ea typeface="Verdana" panose="020B0604030504040204" pitchFamily="34" charset="0"/>
                    <a:cs typeface="Times New Roman" panose="02020603050405020304" pitchFamily="18" charset="0"/>
                  </a:defRPr>
                </a:pPr>
                <a:r>
                  <a:rPr lang="en-US" sz="1200" b="1">
                    <a:latin typeface="Times New Roman" panose="02020603050405020304" pitchFamily="18" charset="0"/>
                    <a:ea typeface="Verdana" panose="020B0604030504040204" pitchFamily="34" charset="0"/>
                    <a:cs typeface="Times New Roman" panose="02020603050405020304" pitchFamily="18" charset="0"/>
                  </a:rPr>
                  <a:t>Birth</a:t>
                </a:r>
                <a:r>
                  <a:rPr lang="en-US" sz="1200" b="1" baseline="0">
                    <a:latin typeface="Times New Roman" panose="02020603050405020304" pitchFamily="18" charset="0"/>
                    <a:ea typeface="Verdana" panose="020B0604030504040204" pitchFamily="34" charset="0"/>
                    <a:cs typeface="Times New Roman" panose="02020603050405020304" pitchFamily="18" charset="0"/>
                  </a:rPr>
                  <a:t> Cohort</a:t>
                </a:r>
                <a:endParaRPr lang="en-US" sz="1200" b="1">
                  <a:latin typeface="Times New Roman" panose="02020603050405020304" pitchFamily="18" charset="0"/>
                  <a:ea typeface="Verdana" panose="020B0604030504040204" pitchFamily="34" charset="0"/>
                  <a:cs typeface="Times New Roman" panose="02020603050405020304" pitchFamily="18" charset="0"/>
                </a:endParaRPr>
              </a:p>
            </c:rich>
          </c:tx>
          <c:layout/>
        </c:title>
        <c:majorTickMark val="none"/>
        <c:tickLblPos val="low"/>
        <c:txPr>
          <a:bodyPr rot="-5400000" vert="horz" anchor="ctr" anchorCtr="0"/>
          <a:lstStyle/>
          <a:p>
            <a:pPr>
              <a:defRPr/>
            </a:pPr>
            <a:endParaRPr lang="en-US"/>
          </a:p>
        </c:txPr>
        <c:crossAx val="224642176"/>
        <c:crosses val="autoZero"/>
        <c:auto val="1"/>
        <c:lblAlgn val="ctr"/>
        <c:lblOffset val="100"/>
      </c:catAx>
      <c:valAx>
        <c:axId val="22464217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ea typeface="Verdana" panose="020B0604030504040204" pitchFamily="34" charset="0"/>
                    <a:cs typeface="Times New Roman" panose="02020603050405020304" pitchFamily="18" charset="0"/>
                  </a:defRPr>
                </a:pPr>
                <a:r>
                  <a:rPr lang="en-US" sz="1200">
                    <a:latin typeface="Times New Roman" panose="02020603050405020304" pitchFamily="18" charset="0"/>
                    <a:ea typeface="Verdana" panose="020B0604030504040204" pitchFamily="34" charset="0"/>
                    <a:cs typeface="Times New Roman" panose="02020603050405020304" pitchFamily="18" charset="0"/>
                  </a:rPr>
                  <a:t>Log Scale</a:t>
                </a:r>
              </a:p>
            </c:rich>
          </c:tx>
          <c:layout/>
        </c:title>
        <c:numFmt formatCode="0.0" sourceLinked="0"/>
        <c:tickLblPos val="nextTo"/>
        <c:crossAx val="224623616"/>
        <c:crosses val="autoZero"/>
        <c:crossBetween val="between"/>
      </c:valAx>
    </c:plotArea>
    <c:legend>
      <c:legendPos val="r"/>
      <c:layout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David Puac Polanco</dc:creator>
  <cp:lastModifiedBy>gcredo</cp:lastModifiedBy>
  <cp:revision>3</cp:revision>
  <dcterms:created xsi:type="dcterms:W3CDTF">2016-03-29T04:10:00Z</dcterms:created>
  <dcterms:modified xsi:type="dcterms:W3CDTF">2016-08-03T08:58:00Z</dcterms:modified>
</cp:coreProperties>
</file>