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FA" w:rsidRPr="00923FFA" w:rsidRDefault="00923FFA" w:rsidP="00923F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23FFA">
        <w:rPr>
          <w:rFonts w:ascii="Times New Roman" w:hAnsi="Times New Roman" w:cs="Times New Roman"/>
          <w:sz w:val="28"/>
          <w:szCs w:val="24"/>
        </w:rPr>
        <w:t xml:space="preserve">Online supporting information for the following article published in </w:t>
      </w:r>
      <w:r w:rsidRPr="00923FFA">
        <w:rPr>
          <w:rFonts w:ascii="Times New Roman" w:hAnsi="Times New Roman" w:cs="Times New Roman"/>
          <w:i/>
          <w:sz w:val="28"/>
          <w:szCs w:val="24"/>
        </w:rPr>
        <w:t>Indoor Air</w:t>
      </w:r>
    </w:p>
    <w:p w:rsidR="00923FFA" w:rsidRPr="00923FFA" w:rsidRDefault="00923FFA" w:rsidP="00923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3FFA">
        <w:rPr>
          <w:rFonts w:ascii="Times New Roman" w:hAnsi="Times New Roman" w:cs="Times New Roman"/>
          <w:sz w:val="28"/>
          <w:szCs w:val="24"/>
        </w:rPr>
        <w:t xml:space="preserve">DOI: </w:t>
      </w:r>
      <w:r w:rsidR="0070172E" w:rsidRPr="0070172E">
        <w:rPr>
          <w:rFonts w:ascii="Times New Roman" w:hAnsi="Times New Roman" w:cs="Times New Roman"/>
          <w:sz w:val="28"/>
          <w:szCs w:val="24"/>
        </w:rPr>
        <w:t>10.1111/ina.12130</w:t>
      </w:r>
    </w:p>
    <w:p w:rsidR="00835EB4" w:rsidRDefault="00835EB4" w:rsidP="00923F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FFA" w:rsidRDefault="00923FFA" w:rsidP="00923F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Polybrominated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diphenyl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ether (PBDE)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Concentrations and Resulting Exposure in Homes in California: Relationships among Passive Air, Surface Wipe and Dust Concentrations, and Temporal Variability</w:t>
      </w:r>
    </w:p>
    <w:p w:rsidR="00923FFA" w:rsidRDefault="00923FFA" w:rsidP="00923FF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H. Bennett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sz w:val="24"/>
          <w:szCs w:val="24"/>
        </w:rPr>
        <w:t>, Rebecca E. Moran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Xiangmei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(May)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Nicolle S. Tulve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Matthew Scott Clifton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Maribel Colón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Walter Weathers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Andreas Sj</w:t>
      </w:r>
      <w:r>
        <w:t>ö</w:t>
      </w:r>
      <w:r>
        <w:rPr>
          <w:rFonts w:ascii="Times New Roman" w:hAnsi="Times New Roman"/>
          <w:sz w:val="24"/>
        </w:rPr>
        <w:t>din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, Richard Jones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Hertz-Picciotto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23FFA" w:rsidRDefault="00923FFA" w:rsidP="00923FF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Department of Public Health Sciences, </w:t>
      </w:r>
      <w:r>
        <w:rPr>
          <w:rFonts w:ascii="Times New Roman" w:hAnsi="Times New Roman" w:cs="Times New Roman"/>
          <w:sz w:val="24"/>
          <w:szCs w:val="24"/>
        </w:rPr>
        <w:t>University of California, Davis, CA, United States</w:t>
      </w:r>
    </w:p>
    <w:p w:rsidR="00923FFA" w:rsidRDefault="00923FFA" w:rsidP="00923FF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2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 Exposure and Atmospheric Sciences Division, National Exposure Research Laboratory, Office of Research and Development, U.S. Environmental Protection Agency, Research Triangle Park, NC, United States</w:t>
      </w:r>
    </w:p>
    <w:p w:rsidR="00923FFA" w:rsidRDefault="00923FFA" w:rsidP="00923FF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Centers for Disease Control and Prevention, National Center for Environmental Health, Atlanta, GA, United States</w:t>
      </w:r>
    </w:p>
    <w:p w:rsidR="00923FFA" w:rsidRDefault="00923FFA" w:rsidP="00923FFA">
      <w:pPr>
        <w:pStyle w:val="CM1"/>
        <w:spacing w:before="100" w:beforeAutospacing="1" w:after="100" w:afterAutospacing="1" w:line="276" w:lineRule="auto"/>
        <w:jc w:val="both"/>
      </w:pPr>
      <w:r>
        <w:t xml:space="preserve">*Corresponding author: Department of Public Health Sciences, One Shields Avenue, MS1C, University of California at Davis, CA 95616; Tel: 1-530-754-8282; fax 1-530-752-3239; email: </w:t>
      </w:r>
      <w:hyperlink r:id="rId7" w:history="1">
        <w:r>
          <w:rPr>
            <w:rStyle w:val="Hyperlink"/>
          </w:rPr>
          <w:t>dhbennett@ucdavis.edu</w:t>
        </w:r>
      </w:hyperlink>
    </w:p>
    <w:p w:rsidR="00893E20" w:rsidRDefault="00893E20" w:rsidP="003B3A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3C88" w:rsidRPr="00333675" w:rsidRDefault="00233872" w:rsidP="001015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C3C88" w:rsidRPr="00333675">
        <w:rPr>
          <w:rFonts w:ascii="Times New Roman" w:hAnsi="Times New Roman"/>
          <w:b/>
          <w:sz w:val="24"/>
          <w:szCs w:val="24"/>
        </w:rPr>
        <w:lastRenderedPageBreak/>
        <w:t>QA/QC</w:t>
      </w:r>
    </w:p>
    <w:p w:rsidR="004D634E" w:rsidRDefault="00333675" w:rsidP="00923FFA">
      <w:pPr>
        <w:spacing w:line="276" w:lineRule="auto"/>
        <w:rPr>
          <w:rFonts w:ascii="Times New Roman" w:hAnsi="Times New Roman"/>
          <w:sz w:val="24"/>
          <w:szCs w:val="24"/>
        </w:rPr>
      </w:pPr>
      <w:r w:rsidRPr="00333675">
        <w:rPr>
          <w:rFonts w:ascii="Times New Roman" w:hAnsi="Times New Roman"/>
          <w:sz w:val="24"/>
          <w:szCs w:val="24"/>
        </w:rPr>
        <w:t xml:space="preserve">Table S1 presents the field blank concentration, estimated limit of quantification (ELOQ), method detection limit (MDL), and precision calculated from duplicate samples. </w:t>
      </w:r>
      <w:r w:rsidR="000C3C88" w:rsidRPr="00333675">
        <w:rPr>
          <w:rFonts w:ascii="Times New Roman" w:hAnsi="Times New Roman"/>
          <w:sz w:val="24"/>
          <w:szCs w:val="24"/>
        </w:rPr>
        <w:t xml:space="preserve">The ELOQ </w:t>
      </w:r>
      <w:r w:rsidR="00D42014">
        <w:rPr>
          <w:rFonts w:ascii="Times New Roman" w:hAnsi="Times New Roman"/>
          <w:sz w:val="24"/>
          <w:szCs w:val="24"/>
        </w:rPr>
        <w:t>for air and wipe samples was</w:t>
      </w:r>
      <w:r w:rsidR="00D42014" w:rsidRPr="00333675">
        <w:rPr>
          <w:rFonts w:ascii="Times New Roman" w:hAnsi="Times New Roman"/>
          <w:sz w:val="24"/>
          <w:szCs w:val="24"/>
        </w:rPr>
        <w:t xml:space="preserve"> </w:t>
      </w:r>
      <w:r w:rsidR="000C3C88" w:rsidRPr="00333675">
        <w:rPr>
          <w:rFonts w:ascii="Times New Roman" w:hAnsi="Times New Roman"/>
          <w:sz w:val="24"/>
          <w:szCs w:val="24"/>
        </w:rPr>
        <w:t>determined based on the lowest level that can be accurately quantified by the instrumentation in our laboratory. This is accomplished by analyzing standard solutions from very low, non-detectable concentrations to very high concentrations and generating least squares regression lines with a minimum of five points</w:t>
      </w:r>
      <w:r w:rsidR="00AD02DA">
        <w:rPr>
          <w:rFonts w:ascii="Times New Roman" w:hAnsi="Times New Roman"/>
          <w:sz w:val="24"/>
          <w:szCs w:val="24"/>
        </w:rPr>
        <w:t xml:space="preserve"> </w:t>
      </w:r>
      <w:r w:rsidR="000C3C88" w:rsidRPr="00333675">
        <w:rPr>
          <w:rFonts w:ascii="Times New Roman" w:hAnsi="Times New Roman"/>
          <w:sz w:val="24"/>
          <w:szCs w:val="24"/>
        </w:rPr>
        <w:t>(r</w:t>
      </w:r>
      <w:r w:rsidR="000C3C88" w:rsidRPr="00333675">
        <w:rPr>
          <w:rFonts w:ascii="Times New Roman" w:hAnsi="Times New Roman"/>
          <w:sz w:val="24"/>
          <w:szCs w:val="24"/>
          <w:vertAlign w:val="superscript"/>
        </w:rPr>
        <w:t>2</w:t>
      </w:r>
      <w:r w:rsidR="000C3C88" w:rsidRPr="00333675">
        <w:rPr>
          <w:rFonts w:ascii="Times New Roman" w:hAnsi="Times New Roman"/>
          <w:sz w:val="24"/>
          <w:szCs w:val="24"/>
        </w:rPr>
        <w:t xml:space="preserve">&gt;0.98). At the low end, </w:t>
      </w:r>
      <w:proofErr w:type="spellStart"/>
      <w:r w:rsidR="000C3C88" w:rsidRPr="00333675">
        <w:rPr>
          <w:rFonts w:ascii="Times New Roman" w:hAnsi="Times New Roman"/>
          <w:sz w:val="24"/>
          <w:szCs w:val="24"/>
        </w:rPr>
        <w:t>analyte</w:t>
      </w:r>
      <w:proofErr w:type="spellEnd"/>
      <w:r w:rsidR="000C3C88" w:rsidRPr="00333675">
        <w:rPr>
          <w:rFonts w:ascii="Times New Roman" w:hAnsi="Times New Roman"/>
          <w:sz w:val="24"/>
          <w:szCs w:val="24"/>
        </w:rPr>
        <w:t xml:space="preserve"> response will be influenced by noise, so we determine the lowest concentration where a particular </w:t>
      </w:r>
      <w:proofErr w:type="spellStart"/>
      <w:r w:rsidR="000C3C88" w:rsidRPr="00333675">
        <w:rPr>
          <w:rFonts w:ascii="Times New Roman" w:hAnsi="Times New Roman"/>
          <w:sz w:val="24"/>
          <w:szCs w:val="24"/>
        </w:rPr>
        <w:t>analyte</w:t>
      </w:r>
      <w:proofErr w:type="spellEnd"/>
      <w:r w:rsidR="000C3C88" w:rsidRPr="00333675">
        <w:rPr>
          <w:rFonts w:ascii="Times New Roman" w:hAnsi="Times New Roman"/>
          <w:sz w:val="24"/>
          <w:szCs w:val="24"/>
        </w:rPr>
        <w:t xml:space="preserve"> can be measured within a concentration + or - 25% (relative error) of the prepared concentration of the solution. Calibration ranges are also determined using this process.</w:t>
      </w:r>
      <w:r w:rsidRPr="00333675">
        <w:rPr>
          <w:rFonts w:ascii="Times New Roman" w:hAnsi="Times New Roman"/>
          <w:sz w:val="24"/>
          <w:szCs w:val="24"/>
        </w:rPr>
        <w:t xml:space="preserve"> </w:t>
      </w:r>
      <w:r w:rsidR="000C3C88" w:rsidRPr="00333675">
        <w:rPr>
          <w:rFonts w:ascii="Times New Roman" w:hAnsi="Times New Roman"/>
          <w:sz w:val="24"/>
          <w:szCs w:val="24"/>
        </w:rPr>
        <w:t>MDL is calculated using the same method as described in Clifton et al. (2013).</w:t>
      </w:r>
    </w:p>
    <w:p w:rsidR="00D42014" w:rsidRPr="00333675" w:rsidRDefault="00F40D20" w:rsidP="00923F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E722F9">
        <w:rPr>
          <w:rFonts w:ascii="Times New Roman" w:hAnsi="Times New Roman"/>
          <w:sz w:val="24"/>
          <w:szCs w:val="24"/>
        </w:rPr>
        <w:t xml:space="preserve"> procedure recommended by The International Conference on Harmonization of Technical Requirements for Registration of Pharmaceuticals for Human Use </w:t>
      </w:r>
      <w:r w:rsidR="008E37C4" w:rsidRPr="00E722F9">
        <w:rPr>
          <w:rFonts w:ascii="Times New Roman" w:hAnsi="Times New Roman"/>
          <w:sz w:val="24"/>
          <w:szCs w:val="24"/>
        </w:rPr>
        <w:fldChar w:fldCharType="begin"/>
      </w:r>
      <w:r w:rsidRPr="00E722F9">
        <w:rPr>
          <w:rFonts w:ascii="Times New Roman" w:hAnsi="Times New Roman"/>
          <w:sz w:val="24"/>
          <w:szCs w:val="24"/>
        </w:rPr>
        <w:instrText xml:space="preserve"> ADDIN EN.CITE &lt;EndNote&gt;&lt;Cite&gt;&lt;Author&gt;ICH Expert Working Group&lt;/Author&gt;&lt;Year&gt;1994&lt;/Year&gt;&lt;RecNum&gt;23&lt;/RecNum&gt;&lt;DisplayText&gt;(ICH Expert Working Group, 1994)&lt;/DisplayText&gt;&lt;record&gt;&lt;rec-number&gt;23&lt;/rec-number&gt;&lt;foreign-keys&gt;&lt;key app="EN" db-id="pdtezzzved9wwdefzf1pwdfuwz0dwxfefdfp"&gt;23&lt;/key&gt;&lt;/foreign-keys&gt;&lt;ref-type name="Report"&gt;27&lt;/ref-type&gt;&lt;contributors&gt;&lt;authors&gt;&lt;author&gt;ICH Expert Working Group,,&lt;/author&gt;&lt;/authors&gt;&lt;tertiary-authors&gt;&lt;author&gt;International Conference on Harmonisation of Technical Requirements for Registration of Pharmaceuticals for Human Use&lt;/author&gt;&lt;/tertiary-authors&gt;&lt;/contributors&gt;&lt;titles&gt;&lt;title&gt;Valdiation of analytical procedures: Text and methodology Q2 (R1)&lt;/title&gt;&lt;/titles&gt;&lt;pages&gt;17&lt;/pages&gt;&lt;dates&gt;&lt;year&gt;1994&lt;/year&gt;&lt;/dates&gt;&lt;urls&gt;&lt;related-urls&gt;&lt;url&gt;http://www.ich.org/fileadmin/Public_Web_Site/ICH_Products/Guidelines/Quality/Q2_R1/Step4/Q2_R1__Guideline.pdf&lt;/url&gt;&lt;/related-urls&gt;&lt;/urls&gt;&lt;/record&gt;&lt;/Cite&gt;&lt;/EndNote&gt;</w:instrText>
      </w:r>
      <w:r w:rsidR="008E37C4" w:rsidRPr="00E722F9">
        <w:rPr>
          <w:rFonts w:ascii="Times New Roman" w:hAnsi="Times New Roman"/>
          <w:sz w:val="24"/>
          <w:szCs w:val="24"/>
        </w:rPr>
        <w:fldChar w:fldCharType="separate"/>
      </w:r>
      <w:r w:rsidRPr="00E722F9">
        <w:rPr>
          <w:rFonts w:ascii="Times New Roman" w:hAnsi="Times New Roman"/>
          <w:noProof/>
          <w:sz w:val="24"/>
          <w:szCs w:val="24"/>
        </w:rPr>
        <w:t>(</w:t>
      </w:r>
      <w:hyperlink w:anchor="_ENREF_7" w:tooltip="ICH Expert Working Group, 1994 #23" w:history="1">
        <w:r w:rsidRPr="00E722F9">
          <w:rPr>
            <w:rFonts w:ascii="Times New Roman" w:hAnsi="Times New Roman"/>
            <w:noProof/>
            <w:sz w:val="24"/>
            <w:szCs w:val="24"/>
          </w:rPr>
          <w:t>ICH Expert Working Group, 1994</w:t>
        </w:r>
      </w:hyperlink>
      <w:r w:rsidRPr="00E722F9">
        <w:rPr>
          <w:rFonts w:ascii="Times New Roman" w:hAnsi="Times New Roman"/>
          <w:noProof/>
          <w:sz w:val="24"/>
          <w:szCs w:val="24"/>
        </w:rPr>
        <w:t>)</w:t>
      </w:r>
      <w:r w:rsidR="008E37C4" w:rsidRPr="00E722F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in determining the limit </w:t>
      </w:r>
      <w:r w:rsidRPr="00E722F9">
        <w:rPr>
          <w:rFonts w:ascii="Times New Roman" w:hAnsi="Times New Roman"/>
          <w:sz w:val="24"/>
          <w:szCs w:val="24"/>
        </w:rPr>
        <w:t xml:space="preserve">of detection limit (LOD) and </w:t>
      </w:r>
      <w:r>
        <w:rPr>
          <w:rFonts w:ascii="Times New Roman" w:hAnsi="Times New Roman"/>
          <w:sz w:val="24"/>
          <w:szCs w:val="24"/>
        </w:rPr>
        <w:t xml:space="preserve">estimated </w:t>
      </w:r>
      <w:r w:rsidRPr="00E722F9">
        <w:rPr>
          <w:rFonts w:ascii="Times New Roman" w:hAnsi="Times New Roman"/>
          <w:sz w:val="24"/>
          <w:szCs w:val="24"/>
        </w:rPr>
        <w:t>limit of quantitation (</w:t>
      </w:r>
      <w:r>
        <w:rPr>
          <w:rFonts w:ascii="Times New Roman" w:hAnsi="Times New Roman"/>
          <w:sz w:val="24"/>
          <w:szCs w:val="24"/>
        </w:rPr>
        <w:t>E</w:t>
      </w:r>
      <w:r w:rsidRPr="00E722F9"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Q) for dust samples</w:t>
      </w:r>
      <w:r w:rsidRPr="00E722F9">
        <w:rPr>
          <w:rFonts w:ascii="Times New Roman" w:hAnsi="Times New Roman"/>
          <w:sz w:val="24"/>
          <w:szCs w:val="24"/>
        </w:rPr>
        <w:t xml:space="preserve">. Using this procedure, LOD = 3.3*σ/S, where σ is the standard deviation of the y-intercept and S is slope of the regression line. The LOQ = 10*σ/S. </w:t>
      </w:r>
    </w:p>
    <w:p w:rsidR="0019027D" w:rsidRDefault="00494675" w:rsidP="00101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</w:t>
      </w:r>
      <w:r w:rsidR="00E55748">
        <w:rPr>
          <w:rFonts w:ascii="Times New Roman" w:hAnsi="Times New Roman" w:cs="Times New Roman"/>
          <w:sz w:val="24"/>
          <w:szCs w:val="24"/>
        </w:rPr>
        <w:t xml:space="preserve">QA/QC information </w:t>
      </w:r>
      <w:r>
        <w:rPr>
          <w:rFonts w:ascii="Times New Roman" w:hAnsi="Times New Roman" w:cs="Times New Roman"/>
          <w:sz w:val="24"/>
          <w:szCs w:val="24"/>
        </w:rPr>
        <w:t>for air and wipe BDE samples</w:t>
      </w:r>
      <w:r w:rsidR="00AD02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16"/>
        <w:gridCol w:w="1172"/>
        <w:gridCol w:w="1172"/>
        <w:gridCol w:w="1172"/>
        <w:gridCol w:w="1264"/>
        <w:gridCol w:w="1172"/>
        <w:gridCol w:w="1246"/>
        <w:gridCol w:w="1028"/>
        <w:gridCol w:w="866"/>
      </w:tblGrid>
      <w:tr w:rsidR="00071208" w:rsidRPr="00494675" w:rsidTr="00071208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71208" w:rsidRPr="00494675" w:rsidRDefault="0007120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071208" w:rsidRDefault="0007120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Air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071208" w:rsidRDefault="0007120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Wipe</w:t>
            </w:r>
          </w:p>
        </w:tc>
        <w:tc>
          <w:tcPr>
            <w:tcW w:w="0" w:type="auto"/>
            <w:vAlign w:val="center"/>
          </w:tcPr>
          <w:p w:rsidR="00071208" w:rsidRDefault="0007120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Dust</w:t>
            </w:r>
          </w:p>
        </w:tc>
      </w:tr>
      <w:tr w:rsidR="000C3C88" w:rsidRPr="00494675" w:rsidTr="00071208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PBDEs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FB </w:t>
            </w: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(N=9)</w:t>
            </w:r>
          </w:p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/sample)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ELOQ (</w:t>
            </w: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/sample)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MDL (</w:t>
            </w: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/sample)</w:t>
            </w:r>
          </w:p>
        </w:tc>
        <w:tc>
          <w:tcPr>
            <w:tcW w:w="1264" w:type="dxa"/>
            <w:vAlign w:val="center"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Precision (median % diff)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FB </w:t>
            </w: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(N=17)</w:t>
            </w:r>
          </w:p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/sample)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ELOQ (</w:t>
            </w: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/sample)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Precision</w:t>
            </w:r>
          </w:p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(median % diff)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ELOQ (</w:t>
            </w: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/g dust)</w:t>
            </w:r>
          </w:p>
        </w:tc>
      </w:tr>
      <w:tr w:rsidR="000C3C88" w:rsidRPr="00494675" w:rsidTr="00071208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0.04±0.03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1264" w:type="dxa"/>
            <w:vAlign w:val="center"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3.0±2.6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15%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</w:t>
            </w:r>
          </w:p>
        </w:tc>
      </w:tr>
      <w:tr w:rsidR="000C3C88" w:rsidRPr="00494675" w:rsidTr="00071208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0.05±0.04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1264" w:type="dxa"/>
            <w:vAlign w:val="center"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3.3±2.8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15%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96</w:t>
            </w:r>
          </w:p>
        </w:tc>
      </w:tr>
      <w:tr w:rsidR="000C3C88" w:rsidRPr="00494675" w:rsidTr="00071208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0.08±0.05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0.06</w:t>
            </w:r>
          </w:p>
        </w:tc>
        <w:tc>
          <w:tcPr>
            <w:tcW w:w="1264" w:type="dxa"/>
            <w:vAlign w:val="center"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3.6±6.3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30%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0C3C88" w:rsidRPr="00494675" w:rsidTr="00071208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0.10±0.09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0.004</w:t>
            </w:r>
          </w:p>
        </w:tc>
        <w:tc>
          <w:tcPr>
            <w:tcW w:w="1264" w:type="dxa"/>
            <w:vAlign w:val="center"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6.9±4.1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21%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</w:tr>
      <w:tr w:rsidR="000C3C88" w:rsidRPr="00494675" w:rsidTr="00071208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0.02±0.02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1264" w:type="dxa"/>
            <w:vAlign w:val="center"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2.2±2.1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28%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</w:tr>
      <w:tr w:rsidR="000C3C88" w:rsidRPr="00494675" w:rsidTr="00071208">
        <w:trPr>
          <w:trHeight w:val="13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172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264" w:type="dxa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C3C88" w:rsidRPr="00494675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  <w:r w:rsidRPr="0049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49%</w:t>
            </w:r>
          </w:p>
        </w:tc>
        <w:tc>
          <w:tcPr>
            <w:tcW w:w="0" w:type="auto"/>
            <w:vAlign w:val="center"/>
          </w:tcPr>
          <w:p w:rsidR="000C3C88" w:rsidRDefault="000C3C88" w:rsidP="000712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</w:t>
            </w:r>
          </w:p>
        </w:tc>
      </w:tr>
    </w:tbl>
    <w:p w:rsidR="000C3C88" w:rsidRDefault="000C3C88" w:rsidP="000C3C88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Note: FB: field blank; </w:t>
      </w:r>
      <w:r w:rsidR="00333675">
        <w:rPr>
          <w:rFonts w:ascii="Times New Roman" w:hAnsi="Times New Roman" w:cs="Times New Roman"/>
          <w:sz w:val="20"/>
          <w:szCs w:val="24"/>
        </w:rPr>
        <w:t xml:space="preserve">ELOQ=estimated limit of quantification; </w:t>
      </w:r>
      <w:r>
        <w:rPr>
          <w:rFonts w:ascii="Times New Roman" w:hAnsi="Times New Roman" w:cs="Times New Roman"/>
          <w:sz w:val="20"/>
          <w:szCs w:val="24"/>
        </w:rPr>
        <w:t>MDL: method detection limit</w:t>
      </w:r>
      <w:r w:rsidR="00333675">
        <w:rPr>
          <w:rFonts w:ascii="Times New Roman" w:hAnsi="Times New Roman" w:cs="Times New Roman"/>
          <w:sz w:val="20"/>
          <w:szCs w:val="24"/>
        </w:rPr>
        <w:t>.</w:t>
      </w:r>
      <w:r w:rsidR="005C69D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5C69D1" w:rsidRDefault="005C69D1" w:rsidP="000C3C88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The ELOQ for air samples, </w:t>
      </w:r>
      <w:proofErr w:type="gramStart"/>
      <w:r>
        <w:rPr>
          <w:rFonts w:ascii="Times New Roman" w:hAnsi="Times New Roman" w:cs="Times New Roman"/>
          <w:sz w:val="20"/>
          <w:szCs w:val="24"/>
        </w:rPr>
        <w:t>25 ng/sample,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6E21A9">
        <w:rPr>
          <w:rFonts w:ascii="Times New Roman" w:hAnsi="Times New Roman" w:cs="Times New Roman"/>
          <w:sz w:val="20"/>
          <w:szCs w:val="24"/>
        </w:rPr>
        <w:t xml:space="preserve">is </w:t>
      </w:r>
      <w:r>
        <w:rPr>
          <w:rFonts w:ascii="Times New Roman" w:hAnsi="Times New Roman" w:cs="Times New Roman"/>
          <w:sz w:val="20"/>
          <w:szCs w:val="24"/>
        </w:rPr>
        <w:t xml:space="preserve">equivalent to </w:t>
      </w:r>
      <w:r w:rsidR="007D2C60">
        <w:rPr>
          <w:rFonts w:ascii="Times New Roman" w:hAnsi="Times New Roman" w:cs="Times New Roman"/>
          <w:sz w:val="20"/>
          <w:szCs w:val="24"/>
        </w:rPr>
        <w:t xml:space="preserve">0.33 </w:t>
      </w:r>
      <w:r>
        <w:rPr>
          <w:rFonts w:ascii="Times New Roman" w:hAnsi="Times New Roman" w:cs="Times New Roman"/>
          <w:sz w:val="20"/>
          <w:szCs w:val="24"/>
        </w:rPr>
        <w:t>ng/m</w:t>
      </w:r>
      <w:r w:rsidRPr="005C69D1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4"/>
        </w:rPr>
        <w:t>, assuming the sampling flow rate is 2.5 m</w:t>
      </w:r>
      <w:r w:rsidRPr="005C69D1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4"/>
        </w:rPr>
        <w:t xml:space="preserve">/day and the sampling time is </w:t>
      </w:r>
      <w:r w:rsidR="007D2C60">
        <w:rPr>
          <w:rFonts w:ascii="Times New Roman" w:hAnsi="Times New Roman" w:cs="Times New Roman"/>
          <w:sz w:val="20"/>
          <w:szCs w:val="24"/>
        </w:rPr>
        <w:t>30</w:t>
      </w:r>
      <w:r>
        <w:rPr>
          <w:rFonts w:ascii="Times New Roman" w:hAnsi="Times New Roman" w:cs="Times New Roman"/>
          <w:sz w:val="20"/>
          <w:szCs w:val="24"/>
        </w:rPr>
        <w:t xml:space="preserve"> days.</w:t>
      </w:r>
    </w:p>
    <w:p w:rsidR="005C69D1" w:rsidRPr="005C69D1" w:rsidRDefault="005C69D1" w:rsidP="000C3C88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The ELOQ</w:t>
      </w:r>
      <w:r w:rsidR="006E21A9">
        <w:rPr>
          <w:rFonts w:ascii="Times New Roman" w:hAnsi="Times New Roman" w:cs="Times New Roman"/>
          <w:sz w:val="20"/>
          <w:szCs w:val="24"/>
        </w:rPr>
        <w:t>s</w:t>
      </w:r>
      <w:r>
        <w:rPr>
          <w:rFonts w:ascii="Times New Roman" w:hAnsi="Times New Roman" w:cs="Times New Roman"/>
          <w:sz w:val="20"/>
          <w:szCs w:val="24"/>
        </w:rPr>
        <w:t xml:space="preserve"> for wipe samples, 10/25/50 ng/sample, </w:t>
      </w:r>
      <w:r w:rsidR="006E21A9">
        <w:rPr>
          <w:rFonts w:ascii="Times New Roman" w:hAnsi="Times New Roman" w:cs="Times New Roman"/>
          <w:sz w:val="20"/>
          <w:szCs w:val="24"/>
        </w:rPr>
        <w:t xml:space="preserve">are </w:t>
      </w:r>
      <w:r>
        <w:rPr>
          <w:rFonts w:ascii="Times New Roman" w:hAnsi="Times New Roman" w:cs="Times New Roman"/>
          <w:sz w:val="20"/>
          <w:szCs w:val="24"/>
        </w:rPr>
        <w:t>equivalent to 1</w:t>
      </w:r>
      <w:r w:rsidR="00B54A8B">
        <w:rPr>
          <w:rFonts w:ascii="Times New Roman" w:hAnsi="Times New Roman" w:cs="Times New Roman"/>
          <w:sz w:val="20"/>
          <w:szCs w:val="24"/>
        </w:rPr>
        <w:t>.0</w:t>
      </w:r>
      <w:r>
        <w:rPr>
          <w:rFonts w:ascii="Times New Roman" w:hAnsi="Times New Roman" w:cs="Times New Roman"/>
          <w:sz w:val="20"/>
          <w:szCs w:val="24"/>
        </w:rPr>
        <w:t>/2</w:t>
      </w:r>
      <w:r w:rsidR="00B54A8B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5/5</w:t>
      </w:r>
      <w:r w:rsidR="00B54A8B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 xml:space="preserve">0 </w:t>
      </w:r>
      <w:r w:rsidR="00B54A8B">
        <w:rPr>
          <w:rFonts w:ascii="Times New Roman" w:hAnsi="Times New Roman" w:cs="Times New Roman"/>
          <w:sz w:val="20"/>
          <w:szCs w:val="24"/>
        </w:rPr>
        <w:t>p</w:t>
      </w:r>
      <w:r>
        <w:rPr>
          <w:rFonts w:ascii="Times New Roman" w:hAnsi="Times New Roman" w:cs="Times New Roman"/>
          <w:sz w:val="20"/>
          <w:szCs w:val="24"/>
        </w:rPr>
        <w:t>g/</w:t>
      </w:r>
      <w:r w:rsidR="00B54A8B">
        <w:rPr>
          <w:rFonts w:ascii="Times New Roman" w:hAnsi="Times New Roman" w:cs="Times New Roman"/>
          <w:sz w:val="20"/>
          <w:szCs w:val="24"/>
        </w:rPr>
        <w:t>c</w:t>
      </w:r>
      <w:r>
        <w:rPr>
          <w:rFonts w:ascii="Times New Roman" w:hAnsi="Times New Roman" w:cs="Times New Roman"/>
          <w:sz w:val="20"/>
          <w:szCs w:val="24"/>
        </w:rPr>
        <w:t>m</w:t>
      </w:r>
      <w:r w:rsidRPr="005C69D1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 xml:space="preserve"> for window wipe given the sampling area is 1 m</w:t>
      </w:r>
      <w:r w:rsidRPr="005C69D1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 xml:space="preserve">, and </w:t>
      </w:r>
      <w:r w:rsidR="006E21A9">
        <w:rPr>
          <w:rFonts w:ascii="Times New Roman" w:hAnsi="Times New Roman" w:cs="Times New Roman"/>
          <w:sz w:val="20"/>
          <w:szCs w:val="24"/>
        </w:rPr>
        <w:t xml:space="preserve">are </w:t>
      </w:r>
      <w:r>
        <w:rPr>
          <w:rFonts w:ascii="Times New Roman" w:hAnsi="Times New Roman" w:cs="Times New Roman"/>
          <w:sz w:val="20"/>
          <w:szCs w:val="24"/>
        </w:rPr>
        <w:t xml:space="preserve">equivalent to </w:t>
      </w:r>
      <w:r w:rsidR="00B54A8B">
        <w:rPr>
          <w:rFonts w:ascii="Times New Roman" w:hAnsi="Times New Roman" w:cs="Times New Roman"/>
          <w:sz w:val="20"/>
          <w:szCs w:val="24"/>
        </w:rPr>
        <w:t>0.</w:t>
      </w:r>
      <w:r w:rsidR="007D2C60">
        <w:rPr>
          <w:rFonts w:ascii="Times New Roman" w:hAnsi="Times New Roman" w:cs="Times New Roman"/>
          <w:sz w:val="20"/>
          <w:szCs w:val="24"/>
        </w:rPr>
        <w:t>6</w:t>
      </w:r>
      <w:r>
        <w:rPr>
          <w:rFonts w:ascii="Times New Roman" w:hAnsi="Times New Roman" w:cs="Times New Roman"/>
          <w:sz w:val="20"/>
          <w:szCs w:val="24"/>
        </w:rPr>
        <w:t>7/1</w:t>
      </w:r>
      <w:r w:rsidR="00B54A8B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7/3</w:t>
      </w:r>
      <w:r w:rsidR="00B54A8B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 xml:space="preserve">3 </w:t>
      </w:r>
      <w:r w:rsidR="00B54A8B">
        <w:rPr>
          <w:rFonts w:ascii="Times New Roman" w:hAnsi="Times New Roman" w:cs="Times New Roman"/>
          <w:sz w:val="20"/>
          <w:szCs w:val="24"/>
        </w:rPr>
        <w:t>p</w:t>
      </w:r>
      <w:r>
        <w:rPr>
          <w:rFonts w:ascii="Times New Roman" w:hAnsi="Times New Roman" w:cs="Times New Roman"/>
          <w:sz w:val="20"/>
          <w:szCs w:val="24"/>
        </w:rPr>
        <w:t>g/</w:t>
      </w:r>
      <w:r w:rsidR="00B54A8B">
        <w:rPr>
          <w:rFonts w:ascii="Times New Roman" w:hAnsi="Times New Roman" w:cs="Times New Roman"/>
          <w:sz w:val="20"/>
          <w:szCs w:val="24"/>
        </w:rPr>
        <w:t>c</w:t>
      </w:r>
      <w:r>
        <w:rPr>
          <w:rFonts w:ascii="Times New Roman" w:hAnsi="Times New Roman" w:cs="Times New Roman"/>
          <w:sz w:val="20"/>
          <w:szCs w:val="24"/>
        </w:rPr>
        <w:t>m</w:t>
      </w:r>
      <w:r w:rsidRPr="005C69D1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 xml:space="preserve"> for floor wipe given the sampling area is 1.5 m</w:t>
      </w:r>
      <w:r w:rsidRPr="005C69D1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451232" w:rsidRDefault="00451232" w:rsidP="00101559">
      <w:pPr>
        <w:rPr>
          <w:rFonts w:ascii="Times New Roman" w:hAnsi="Times New Roman" w:cs="Times New Roman"/>
          <w:sz w:val="24"/>
          <w:szCs w:val="24"/>
        </w:rPr>
      </w:pPr>
    </w:p>
    <w:p w:rsidR="0047520F" w:rsidRDefault="004752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E7C26" w:rsidRPr="00A07C41" w:rsidRDefault="00DE7C26" w:rsidP="00DE7C2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7C41">
        <w:rPr>
          <w:rFonts w:ascii="Times New Roman" w:hAnsi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</w:rPr>
        <w:t>S2</w:t>
      </w:r>
      <w:r w:rsidRPr="00A07C41">
        <w:rPr>
          <w:rFonts w:ascii="Times New Roman" w:hAnsi="Times New Roman"/>
          <w:sz w:val="24"/>
          <w:szCs w:val="24"/>
        </w:rPr>
        <w:t>. Limit of Detection (LOD) of BDE congeners in serum samples.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516"/>
        <w:gridCol w:w="1588"/>
        <w:gridCol w:w="866"/>
        <w:gridCol w:w="739"/>
        <w:gridCol w:w="739"/>
        <w:gridCol w:w="925"/>
      </w:tblGrid>
      <w:tr w:rsidR="00DE7C26" w:rsidRPr="00E77D70" w:rsidTr="007D2C60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Congeners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Arithmetic 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Std Dev</w:t>
            </w:r>
          </w:p>
        </w:tc>
        <w:tc>
          <w:tcPr>
            <w:tcW w:w="0" w:type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10th%</w:t>
            </w:r>
          </w:p>
        </w:tc>
        <w:tc>
          <w:tcPr>
            <w:tcW w:w="0" w:type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90th%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Range</w:t>
            </w:r>
          </w:p>
        </w:tc>
      </w:tr>
      <w:tr w:rsidR="00DE7C26" w:rsidRPr="00E77D70" w:rsidTr="007D2C60">
        <w:trPr>
          <w:trHeight w:val="242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BDE17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DE7C26" w:rsidRPr="00E77D70" w:rsidTr="007D2C60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BDE28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DE7C26" w:rsidRPr="00E77D70" w:rsidTr="007D2C60">
        <w:trPr>
          <w:trHeight w:val="197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BDE47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0.46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0.4~6.1</w:t>
            </w:r>
          </w:p>
        </w:tc>
      </w:tr>
      <w:tr w:rsidR="00DE7C26" w:rsidRPr="00E77D70" w:rsidTr="007D2C60">
        <w:trPr>
          <w:trHeight w:val="134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BDE66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DE7C26" w:rsidRPr="00E77D70" w:rsidTr="007D2C60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BDE85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DE7C26" w:rsidRPr="00E77D70" w:rsidTr="007D2C60">
        <w:trPr>
          <w:trHeight w:val="197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BDE99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0.3~4.3</w:t>
            </w:r>
          </w:p>
        </w:tc>
      </w:tr>
      <w:tr w:rsidR="00DE7C26" w:rsidRPr="00E77D70" w:rsidTr="007D2C60">
        <w:trPr>
          <w:trHeight w:val="134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BDE100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DE7C26" w:rsidRPr="00E77D70" w:rsidTr="007D2C60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BDE154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DE7C26" w:rsidRPr="00E77D70" w:rsidTr="007D2C60">
        <w:trPr>
          <w:trHeight w:val="197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BDE153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DE7C26" w:rsidRPr="00E77D70" w:rsidTr="007D2C60">
        <w:trPr>
          <w:trHeight w:val="134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BDE183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DE7C26" w:rsidRPr="00E77D70" w:rsidTr="007D2C60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BDE209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2.63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0" w:type="auto"/>
            <w:vAlign w:val="center"/>
          </w:tcPr>
          <w:p w:rsidR="00DE7C26" w:rsidRPr="00E77D70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70">
              <w:rPr>
                <w:rFonts w:ascii="Times New Roman" w:hAnsi="Times New Roman"/>
                <w:sz w:val="20"/>
                <w:szCs w:val="20"/>
              </w:rPr>
              <w:t>6.40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E7C26" w:rsidRPr="0018065F" w:rsidRDefault="00DE7C26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065F">
              <w:rPr>
                <w:rFonts w:ascii="Times New Roman" w:hAnsi="Times New Roman"/>
                <w:sz w:val="20"/>
                <w:szCs w:val="20"/>
                <w:lang w:eastAsia="zh-CN"/>
              </w:rPr>
              <w:t>2.3~37.6</w:t>
            </w:r>
          </w:p>
        </w:tc>
      </w:tr>
    </w:tbl>
    <w:p w:rsidR="0010249C" w:rsidRDefault="00DE7C26" w:rsidP="00DE7C26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0249C" w:rsidRPr="003F1D97">
        <w:rPr>
          <w:rFonts w:ascii="Times New Roman" w:hAnsi="Times New Roman" w:cs="Times New Roman"/>
          <w:sz w:val="24"/>
          <w:szCs w:val="20"/>
        </w:rPr>
        <w:lastRenderedPageBreak/>
        <w:t>Table S</w:t>
      </w:r>
      <w:r>
        <w:rPr>
          <w:rFonts w:ascii="Times New Roman" w:hAnsi="Times New Roman" w:cs="Times New Roman"/>
          <w:sz w:val="24"/>
          <w:szCs w:val="20"/>
        </w:rPr>
        <w:t>3</w:t>
      </w:r>
      <w:r w:rsidR="0010249C" w:rsidRPr="003F1D97">
        <w:rPr>
          <w:rFonts w:ascii="Times New Roman" w:hAnsi="Times New Roman" w:cs="Times New Roman"/>
          <w:sz w:val="24"/>
          <w:szCs w:val="20"/>
        </w:rPr>
        <w:t>. Demographics of study population*</w:t>
      </w:r>
    </w:p>
    <w:p w:rsidR="0010249C" w:rsidRPr="003F1D97" w:rsidRDefault="0010249C" w:rsidP="0010249C">
      <w:pPr>
        <w:pStyle w:val="PlainText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jc w:val="center"/>
        <w:tblInd w:w="198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4228"/>
        <w:gridCol w:w="1799"/>
        <w:gridCol w:w="1783"/>
      </w:tblGrid>
      <w:tr w:rsidR="0010249C" w:rsidRPr="00E2095B" w:rsidTr="007D2C60">
        <w:trPr>
          <w:trHeight w:val="245"/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Demographics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center"/>
          </w:tcPr>
          <w:p w:rsidR="0010249C" w:rsidRDefault="0010249C" w:rsidP="007D2C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15A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Northern California </w:t>
            </w:r>
          </w:p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Family </w:t>
            </w:r>
            <w:proofErr w:type="spellStart"/>
            <w:r w:rsidRPr="00415A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Cohort</w:t>
            </w:r>
            <w:r w:rsidRPr="00372E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0249C" w:rsidRDefault="0010249C" w:rsidP="007D2C6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15A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Central California </w:t>
            </w:r>
          </w:p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Older Adult Cohort</w:t>
            </w: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Households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Adult Sex</w:t>
            </w:r>
            <w:r w:rsidRPr="00E2095B">
              <w:rPr>
                <w:rFonts w:ascii="Times New Roman" w:hAnsi="Times New Roman"/>
                <w:sz w:val="20"/>
                <w:szCs w:val="20"/>
              </w:rPr>
              <w:t>- female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0249C" w:rsidRPr="00E2095B" w:rsidRDefault="0010249C" w:rsidP="007D2C60">
            <w:pPr>
              <w:tabs>
                <w:tab w:val="left" w:pos="6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(90%)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 (69%)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Adult </w:t>
            </w:r>
            <w:r w:rsidRPr="00E2095B">
              <w:rPr>
                <w:rFonts w:ascii="Times New Roman" w:hAnsi="Times New Roman"/>
                <w:b/>
                <w:bCs/>
                <w:sz w:val="20"/>
                <w:szCs w:val="20"/>
              </w:rPr>
              <w:t>Age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57FA">
              <w:rPr>
                <w:rFonts w:ascii="Times New Roman" w:hAnsi="Times New Roman"/>
                <w:bCs/>
                <w:sz w:val="20"/>
                <w:szCs w:val="20"/>
              </w:rPr>
              <w:t>(Median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year</w:t>
            </w:r>
            <w:r w:rsidRPr="005557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67.3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Default="0010249C" w:rsidP="007D2C6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Child Sex- </w:t>
            </w:r>
            <w:r w:rsidRPr="00026BF2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vAlign w:val="center"/>
          </w:tcPr>
          <w:p w:rsidR="0010249C" w:rsidRDefault="0010249C" w:rsidP="007D2C60">
            <w:pPr>
              <w:tabs>
                <w:tab w:val="left" w:pos="60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(50%)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—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Default="0010249C" w:rsidP="007D2C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Child Age </w:t>
            </w:r>
            <w:r w:rsidRPr="005557FA">
              <w:rPr>
                <w:rFonts w:ascii="Times New Roman" w:hAnsi="Times New Roman"/>
                <w:bCs/>
                <w:sz w:val="20"/>
                <w:szCs w:val="20"/>
              </w:rPr>
              <w:t>(Median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year</w:t>
            </w:r>
            <w:r w:rsidRPr="005557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10249C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—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095B">
              <w:rPr>
                <w:rFonts w:ascii="Times New Roman" w:hAnsi="Times New Roman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High school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(9%)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(10%)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College degree or some college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(64%)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(80%)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Master, Doctor, and professional degree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(26%)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095B">
              <w:rPr>
                <w:rFonts w:ascii="Times New Roman" w:hAnsi="Times New Roman"/>
                <w:b/>
                <w:bCs/>
                <w:sz w:val="20"/>
                <w:szCs w:val="20"/>
              </w:rPr>
              <w:t>Job Status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Employed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(42%)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(37%)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Unemployed (including stay-at-home parents)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(49%)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(61%)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Other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(7%)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White (not Hispanic)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(67%)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(76%)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Asian (not Hispanic)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(8%)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(0%)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Black (not Hispanic)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(2%)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(2%)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ind w:firstLine="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Other (not </w:t>
            </w:r>
            <w:r w:rsidRPr="00E2095B">
              <w:rPr>
                <w:rFonts w:ascii="Times New Roman" w:hAnsi="Times New Roman"/>
                <w:sz w:val="20"/>
                <w:szCs w:val="20"/>
              </w:rPr>
              <w:t>Hispanic)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(8%)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(10%)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Hispanic (all  races)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(14%)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(12%)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372E8D" w:rsidRDefault="0010249C" w:rsidP="007D2C6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2E8D">
              <w:rPr>
                <w:rFonts w:ascii="Times New Roman" w:hAnsi="Times New Roman"/>
                <w:b/>
                <w:sz w:val="20"/>
                <w:szCs w:val="20"/>
              </w:rPr>
              <w:t>Foreign Born</w:t>
            </w:r>
          </w:p>
        </w:tc>
        <w:tc>
          <w:tcPr>
            <w:tcW w:w="0" w:type="auto"/>
            <w:vAlign w:val="center"/>
          </w:tcPr>
          <w:p w:rsidR="0010249C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(22%)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(6%)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095B">
              <w:rPr>
                <w:rFonts w:ascii="Times New Roman" w:hAnsi="Times New Roman"/>
                <w:b/>
                <w:sz w:val="20"/>
                <w:szCs w:val="20"/>
              </w:rPr>
              <w:t>Homeowner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(79%)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(90%)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House</w:t>
            </w:r>
            <w:r w:rsidRPr="00E2095B">
              <w:rPr>
                <w:rFonts w:ascii="Times New Roman" w:hAnsi="Times New Roman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Single house detached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 (83%)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(76%)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Single attached house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(3%)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(18%)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Apartment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(12%)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(6%)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095B">
              <w:rPr>
                <w:rFonts w:ascii="Times New Roman" w:hAnsi="Times New Roman"/>
                <w:b/>
                <w:sz w:val="20"/>
                <w:szCs w:val="20"/>
              </w:rPr>
              <w:t>Neighborhood Type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Commercial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(0%)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Residential</w:t>
            </w:r>
          </w:p>
        </w:tc>
        <w:tc>
          <w:tcPr>
            <w:tcW w:w="0" w:type="auto"/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(80%)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(84%)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Rural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(6%)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(4%)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095B">
              <w:rPr>
                <w:rFonts w:ascii="Times New Roman" w:hAnsi="Times New Roman"/>
                <w:sz w:val="20"/>
                <w:szCs w:val="20"/>
              </w:rPr>
              <w:t xml:space="preserve">   Combination of above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(12%)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(10%)</w:t>
            </w:r>
          </w:p>
        </w:tc>
      </w:tr>
      <w:tr w:rsidR="0010249C" w:rsidRPr="00E2095B" w:rsidTr="007D2C60">
        <w:trPr>
          <w:trHeight w:val="245"/>
          <w:jc w:val="center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4D54">
              <w:rPr>
                <w:rFonts w:ascii="Times New Roman" w:hAnsi="Times New Roman"/>
                <w:b/>
                <w:sz w:val="20"/>
                <w:szCs w:val="20"/>
              </w:rPr>
              <w:t>Number of Children in the Household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(median)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vAlign w:val="center"/>
          </w:tcPr>
          <w:p w:rsidR="0010249C" w:rsidRPr="00E2095B" w:rsidRDefault="0010249C" w:rsidP="007D2C60">
            <w:pPr>
              <w:tabs>
                <w:tab w:val="left" w:pos="84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0249C" w:rsidRPr="00E2095B" w:rsidRDefault="0010249C" w:rsidP="007D2C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0249C" w:rsidRDefault="0010249C" w:rsidP="0010249C">
      <w:pPr>
        <w:rPr>
          <w:rFonts w:ascii="Times New Roman" w:hAnsi="Times New Roman"/>
          <w:sz w:val="24"/>
          <w:szCs w:val="24"/>
          <w:vertAlign w:val="superscript"/>
        </w:rPr>
      </w:pPr>
    </w:p>
    <w:p w:rsidR="0010249C" w:rsidRPr="00372E8D" w:rsidRDefault="0010249C" w:rsidP="0010249C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72E8D">
        <w:rPr>
          <w:rFonts w:ascii="Times New Roman" w:hAnsi="Times New Roman"/>
          <w:sz w:val="24"/>
          <w:szCs w:val="24"/>
          <w:vertAlign w:val="superscript"/>
        </w:rPr>
        <w:t>a</w:t>
      </w:r>
      <w:r w:rsidRPr="00372E8D">
        <w:rPr>
          <w:rFonts w:ascii="Times New Roman" w:hAnsi="Times New Roman"/>
          <w:sz w:val="24"/>
          <w:szCs w:val="24"/>
        </w:rPr>
        <w:t>Demographic</w:t>
      </w:r>
      <w:proofErr w:type="spellEnd"/>
      <w:proofErr w:type="gramEnd"/>
      <w:r w:rsidRPr="00372E8D">
        <w:rPr>
          <w:rFonts w:ascii="Times New Roman" w:hAnsi="Times New Roman"/>
          <w:sz w:val="24"/>
          <w:szCs w:val="24"/>
        </w:rPr>
        <w:t xml:space="preserve"> information was missing for one household. </w:t>
      </w:r>
    </w:p>
    <w:p w:rsidR="0010249C" w:rsidRDefault="0010249C" w:rsidP="00DC7D3E">
      <w:pPr>
        <w:rPr>
          <w:rFonts w:ascii="Times New Roman" w:hAnsi="Times New Roman" w:cs="Times New Roman"/>
          <w:sz w:val="24"/>
          <w:szCs w:val="24"/>
        </w:rPr>
      </w:pPr>
    </w:p>
    <w:p w:rsidR="0010249C" w:rsidRDefault="0010249C" w:rsidP="00DC7D3E">
      <w:pPr>
        <w:rPr>
          <w:rFonts w:ascii="Times New Roman" w:hAnsi="Times New Roman" w:cs="Times New Roman"/>
          <w:sz w:val="24"/>
          <w:szCs w:val="24"/>
        </w:rPr>
      </w:pPr>
    </w:p>
    <w:p w:rsidR="0010249C" w:rsidRDefault="0010249C" w:rsidP="00DC7D3E">
      <w:pPr>
        <w:rPr>
          <w:rFonts w:ascii="Times New Roman" w:hAnsi="Times New Roman" w:cs="Times New Roman"/>
          <w:sz w:val="24"/>
          <w:szCs w:val="24"/>
        </w:rPr>
      </w:pPr>
    </w:p>
    <w:p w:rsidR="0010249C" w:rsidRDefault="0010249C" w:rsidP="00DC7D3E">
      <w:pPr>
        <w:rPr>
          <w:rFonts w:ascii="Times New Roman" w:hAnsi="Times New Roman" w:cs="Times New Roman"/>
          <w:sz w:val="24"/>
          <w:szCs w:val="24"/>
        </w:rPr>
      </w:pPr>
    </w:p>
    <w:p w:rsidR="0010249C" w:rsidRDefault="0010249C" w:rsidP="00DC7D3E">
      <w:pPr>
        <w:rPr>
          <w:rFonts w:ascii="Times New Roman" w:hAnsi="Times New Roman" w:cs="Times New Roman"/>
          <w:sz w:val="24"/>
          <w:szCs w:val="24"/>
        </w:rPr>
      </w:pPr>
    </w:p>
    <w:p w:rsidR="0010249C" w:rsidRDefault="0010249C" w:rsidP="00DC7D3E">
      <w:pPr>
        <w:rPr>
          <w:rFonts w:ascii="Times New Roman" w:hAnsi="Times New Roman" w:cs="Times New Roman"/>
          <w:sz w:val="24"/>
          <w:szCs w:val="24"/>
        </w:rPr>
      </w:pPr>
    </w:p>
    <w:p w:rsidR="0010249C" w:rsidRDefault="0010249C" w:rsidP="00DC7D3E">
      <w:pPr>
        <w:rPr>
          <w:rFonts w:ascii="Times New Roman" w:hAnsi="Times New Roman" w:cs="Times New Roman"/>
          <w:sz w:val="24"/>
          <w:szCs w:val="24"/>
        </w:rPr>
      </w:pPr>
    </w:p>
    <w:p w:rsidR="00DC7D3E" w:rsidRPr="00DA342E" w:rsidRDefault="00494675" w:rsidP="00DC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10249C">
        <w:rPr>
          <w:rFonts w:ascii="Times New Roman" w:hAnsi="Times New Roman" w:cs="Times New Roman"/>
          <w:sz w:val="24"/>
          <w:szCs w:val="24"/>
        </w:rPr>
        <w:t>S</w:t>
      </w:r>
      <w:r w:rsidR="00DE7C26">
        <w:rPr>
          <w:rFonts w:ascii="Times New Roman" w:hAnsi="Times New Roman" w:cs="Times New Roman"/>
          <w:sz w:val="24"/>
          <w:szCs w:val="24"/>
        </w:rPr>
        <w:t>4</w:t>
      </w:r>
      <w:r w:rsidR="00DC7D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7D3E" w:rsidRPr="00DA342E">
        <w:rPr>
          <w:rFonts w:ascii="Times New Roman" w:hAnsi="Times New Roman" w:cs="Times New Roman"/>
          <w:sz w:val="24"/>
          <w:szCs w:val="24"/>
        </w:rPr>
        <w:t xml:space="preserve">Correlations among BDE congener concentrations </w:t>
      </w:r>
      <w:r w:rsidR="003E107E">
        <w:rPr>
          <w:rFonts w:ascii="Times New Roman" w:hAnsi="Times New Roman" w:cs="Times New Roman"/>
          <w:sz w:val="24"/>
          <w:szCs w:val="24"/>
        </w:rPr>
        <w:t>with</w:t>
      </w:r>
      <w:r w:rsidR="00DC7D3E" w:rsidRPr="00DA342E">
        <w:rPr>
          <w:rFonts w:ascii="Times New Roman" w:hAnsi="Times New Roman" w:cs="Times New Roman"/>
          <w:sz w:val="24"/>
          <w:szCs w:val="24"/>
        </w:rPr>
        <w:t xml:space="preserve">in </w:t>
      </w:r>
      <w:r w:rsidR="003E107E">
        <w:rPr>
          <w:rFonts w:ascii="Times New Roman" w:hAnsi="Times New Roman" w:cs="Times New Roman"/>
          <w:sz w:val="24"/>
          <w:szCs w:val="24"/>
        </w:rPr>
        <w:t>each environmental media</w:t>
      </w:r>
      <w:r w:rsidR="00DC7D3E" w:rsidRPr="00DA34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7320" w:type="dxa"/>
        <w:jc w:val="center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20"/>
        <w:gridCol w:w="960"/>
        <w:gridCol w:w="960"/>
        <w:gridCol w:w="960"/>
        <w:gridCol w:w="960"/>
        <w:gridCol w:w="960"/>
      </w:tblGrid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BDE154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Air (N=136)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0.90**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0.64**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0.75**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0.24**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0.35**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0.40**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0.46**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0.19*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Window wipe (N=122)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0.95**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0.88**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0.91**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0.47**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0.53**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0.67**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0.74**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0.81**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0.94**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0.77**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0.28**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0.29**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0.25**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0.22**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6020AC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Floor</w:t>
            </w: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C7D3E"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wipe (N=123)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0.83**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0.86**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0.84**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0.59**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0.65**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0.73**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0.77**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0.77**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0.91**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0.72**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0.28**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0.20*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0.27**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0.16*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0.32**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HVS3 dust (N=83)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0.96**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0.97**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0.99**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0.91**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0.97**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0.96**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0.91**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0.96**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0.95**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0.97**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0.37**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0.40**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0.38**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0.41**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0.39**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Vacuum bag dust (N=105)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0.98**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0.97**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0.98**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0.89**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0.93**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0.94**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0.92**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0.95**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0.95**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0.93**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DC7D3E" w:rsidRPr="00DC7D3E" w:rsidTr="00F518CD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BDE209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0.23*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0.24*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0.21*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0.22*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7D3E" w:rsidRPr="00DC7D3E" w:rsidRDefault="00DC7D3E" w:rsidP="00DC7D3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C7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0.25*</w:t>
            </w:r>
          </w:p>
        </w:tc>
      </w:tr>
      <w:tr w:rsidR="00F518CD" w:rsidRPr="00DC7D3E" w:rsidTr="00F518CD">
        <w:trPr>
          <w:trHeight w:val="300"/>
          <w:jc w:val="center"/>
        </w:trPr>
        <w:tc>
          <w:tcPr>
            <w:tcW w:w="7320" w:type="dxa"/>
            <w:gridSpan w:val="6"/>
            <w:shd w:val="clear" w:color="auto" w:fill="auto"/>
            <w:noWrap/>
            <w:vAlign w:val="bottom"/>
            <w:hideMark/>
          </w:tcPr>
          <w:p w:rsidR="00F518CD" w:rsidRPr="00DC7D3E" w:rsidRDefault="00F518CD" w:rsidP="00F518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A342E">
              <w:rPr>
                <w:rFonts w:ascii="Times New Roman" w:hAnsi="Times New Roman" w:cs="Times New Roman"/>
                <w:sz w:val="20"/>
                <w:szCs w:val="20"/>
              </w:rPr>
              <w:t>*p&lt;0.05; **p&lt;0.01</w:t>
            </w:r>
          </w:p>
        </w:tc>
      </w:tr>
    </w:tbl>
    <w:p w:rsidR="009275F8" w:rsidRDefault="009275F8" w:rsidP="009275F8">
      <w:pPr>
        <w:rPr>
          <w:rFonts w:ascii="Times New Roman" w:hAnsi="Times New Roman" w:cs="Times New Roman"/>
          <w:sz w:val="24"/>
          <w:szCs w:val="24"/>
        </w:rPr>
      </w:pPr>
    </w:p>
    <w:p w:rsidR="00C2675D" w:rsidRPr="00233872" w:rsidRDefault="00C2675D" w:rsidP="00C2675D">
      <w:pPr>
        <w:rPr>
          <w:rFonts w:ascii="Times New Roman" w:hAnsi="Times New Roman" w:cs="Times New Roman"/>
          <w:b/>
          <w:sz w:val="24"/>
          <w:szCs w:val="24"/>
        </w:rPr>
      </w:pPr>
      <w:r w:rsidRPr="00233872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22EFE" w:rsidRDefault="00422EFE" w:rsidP="00422E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2EFE">
        <w:rPr>
          <w:rFonts w:ascii="Times New Roman" w:hAnsi="Times New Roman" w:cs="Times New Roman"/>
          <w:sz w:val="24"/>
          <w:szCs w:val="24"/>
        </w:rPr>
        <w:t xml:space="preserve">Clifton, M.S., </w:t>
      </w:r>
      <w:proofErr w:type="spellStart"/>
      <w:r w:rsidRPr="00422EFE">
        <w:rPr>
          <w:rFonts w:ascii="Times New Roman" w:hAnsi="Times New Roman" w:cs="Times New Roman"/>
          <w:sz w:val="24"/>
          <w:szCs w:val="24"/>
        </w:rPr>
        <w:t>Wargo</w:t>
      </w:r>
      <w:proofErr w:type="spellEnd"/>
      <w:r w:rsidRPr="00422EFE">
        <w:rPr>
          <w:rFonts w:ascii="Times New Roman" w:hAnsi="Times New Roman" w:cs="Times New Roman"/>
          <w:sz w:val="24"/>
          <w:szCs w:val="24"/>
        </w:rPr>
        <w:t>, J.P., Weathers, W.S., Colon, M., Bennett, D.H., Tulve, N.S. 2013.</w:t>
      </w:r>
      <w:proofErr w:type="gramEnd"/>
      <w:r w:rsidRPr="00422EFE">
        <w:rPr>
          <w:rFonts w:ascii="Times New Roman" w:hAnsi="Times New Roman" w:cs="Times New Roman"/>
          <w:sz w:val="24"/>
          <w:szCs w:val="24"/>
        </w:rPr>
        <w:t xml:space="preserve"> Quantitative </w:t>
      </w:r>
      <w:r w:rsidR="00AD02DA">
        <w:rPr>
          <w:rFonts w:ascii="Times New Roman" w:hAnsi="Times New Roman" w:cs="Times New Roman"/>
          <w:sz w:val="24"/>
          <w:szCs w:val="24"/>
        </w:rPr>
        <w:t>a</w:t>
      </w:r>
      <w:r w:rsidR="00AD02DA" w:rsidRPr="00422EFE">
        <w:rPr>
          <w:rFonts w:ascii="Times New Roman" w:hAnsi="Times New Roman" w:cs="Times New Roman"/>
          <w:sz w:val="24"/>
          <w:szCs w:val="24"/>
        </w:rPr>
        <w:t xml:space="preserve">nalysis </w:t>
      </w:r>
      <w:r w:rsidRPr="00422EFE">
        <w:rPr>
          <w:rFonts w:ascii="Times New Roman" w:hAnsi="Times New Roman" w:cs="Times New Roman"/>
          <w:sz w:val="24"/>
          <w:szCs w:val="24"/>
        </w:rPr>
        <w:t xml:space="preserve">of </w:t>
      </w:r>
      <w:r w:rsidR="00AD02DA">
        <w:rPr>
          <w:rFonts w:ascii="Times New Roman" w:hAnsi="Times New Roman" w:cs="Times New Roman"/>
          <w:sz w:val="24"/>
          <w:szCs w:val="24"/>
        </w:rPr>
        <w:t>o</w:t>
      </w:r>
      <w:r w:rsidR="00AD02DA" w:rsidRPr="00422EFE">
        <w:rPr>
          <w:rFonts w:ascii="Times New Roman" w:hAnsi="Times New Roman" w:cs="Times New Roman"/>
          <w:sz w:val="24"/>
          <w:szCs w:val="24"/>
        </w:rPr>
        <w:t xml:space="preserve">rganophosphate </w:t>
      </w:r>
      <w:r w:rsidRPr="00422EF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AD02DA">
        <w:rPr>
          <w:rFonts w:ascii="Times New Roman" w:hAnsi="Times New Roman" w:cs="Times New Roman"/>
          <w:sz w:val="24"/>
          <w:szCs w:val="24"/>
        </w:rPr>
        <w:t>p</w:t>
      </w:r>
      <w:r w:rsidR="00AD02DA" w:rsidRPr="00422EFE">
        <w:rPr>
          <w:rFonts w:ascii="Times New Roman" w:hAnsi="Times New Roman" w:cs="Times New Roman"/>
          <w:sz w:val="24"/>
          <w:szCs w:val="24"/>
        </w:rPr>
        <w:t>yrethroid</w:t>
      </w:r>
      <w:proofErr w:type="spellEnd"/>
      <w:r w:rsidR="00AD02DA" w:rsidRPr="00422EFE">
        <w:rPr>
          <w:rFonts w:ascii="Times New Roman" w:hAnsi="Times New Roman" w:cs="Times New Roman"/>
          <w:sz w:val="24"/>
          <w:szCs w:val="24"/>
        </w:rPr>
        <w:t xml:space="preserve"> </w:t>
      </w:r>
      <w:r w:rsidR="00AD02DA">
        <w:rPr>
          <w:rFonts w:ascii="Times New Roman" w:hAnsi="Times New Roman" w:cs="Times New Roman"/>
          <w:sz w:val="24"/>
          <w:szCs w:val="24"/>
        </w:rPr>
        <w:t>i</w:t>
      </w:r>
      <w:r w:rsidR="00AD02DA" w:rsidRPr="00422EFE">
        <w:rPr>
          <w:rFonts w:ascii="Times New Roman" w:hAnsi="Times New Roman" w:cs="Times New Roman"/>
          <w:sz w:val="24"/>
          <w:szCs w:val="24"/>
        </w:rPr>
        <w:t>nsecticides</w:t>
      </w:r>
      <w:r w:rsidRPr="00422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2DA">
        <w:rPr>
          <w:rFonts w:ascii="Times New Roman" w:hAnsi="Times New Roman" w:cs="Times New Roman"/>
          <w:sz w:val="24"/>
          <w:szCs w:val="24"/>
        </w:rPr>
        <w:t>p</w:t>
      </w:r>
      <w:r w:rsidR="00AD02DA" w:rsidRPr="00422EFE">
        <w:rPr>
          <w:rFonts w:ascii="Times New Roman" w:hAnsi="Times New Roman" w:cs="Times New Roman"/>
          <w:sz w:val="24"/>
          <w:szCs w:val="24"/>
        </w:rPr>
        <w:t>yrethroid</w:t>
      </w:r>
      <w:proofErr w:type="spellEnd"/>
      <w:r w:rsidR="00AD02DA" w:rsidRPr="00422EFE">
        <w:rPr>
          <w:rFonts w:ascii="Times New Roman" w:hAnsi="Times New Roman" w:cs="Times New Roman"/>
          <w:sz w:val="24"/>
          <w:szCs w:val="24"/>
        </w:rPr>
        <w:t xml:space="preserve"> </w:t>
      </w:r>
      <w:r w:rsidR="00AD02DA">
        <w:rPr>
          <w:rFonts w:ascii="Times New Roman" w:hAnsi="Times New Roman" w:cs="Times New Roman"/>
          <w:sz w:val="24"/>
          <w:szCs w:val="24"/>
        </w:rPr>
        <w:t>t</w:t>
      </w:r>
      <w:r w:rsidR="00AD02DA" w:rsidRPr="00422EFE">
        <w:rPr>
          <w:rFonts w:ascii="Times New Roman" w:hAnsi="Times New Roman" w:cs="Times New Roman"/>
          <w:sz w:val="24"/>
          <w:szCs w:val="24"/>
        </w:rPr>
        <w:t xml:space="preserve">ransformation </w:t>
      </w:r>
      <w:r w:rsidR="00AD02DA">
        <w:rPr>
          <w:rFonts w:ascii="Times New Roman" w:hAnsi="Times New Roman" w:cs="Times New Roman"/>
          <w:sz w:val="24"/>
          <w:szCs w:val="24"/>
        </w:rPr>
        <w:t>p</w:t>
      </w:r>
      <w:r w:rsidR="00AD02DA" w:rsidRPr="00422EFE">
        <w:rPr>
          <w:rFonts w:ascii="Times New Roman" w:hAnsi="Times New Roman" w:cs="Times New Roman"/>
          <w:sz w:val="24"/>
          <w:szCs w:val="24"/>
        </w:rPr>
        <w:t>roducts</w:t>
      </w:r>
      <w:r w:rsidRPr="00422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2DA">
        <w:rPr>
          <w:rFonts w:ascii="Times New Roman" w:hAnsi="Times New Roman" w:cs="Times New Roman"/>
          <w:sz w:val="24"/>
          <w:szCs w:val="24"/>
        </w:rPr>
        <w:t>p</w:t>
      </w:r>
      <w:r w:rsidR="00AD02DA" w:rsidRPr="00422EFE">
        <w:rPr>
          <w:rFonts w:ascii="Times New Roman" w:hAnsi="Times New Roman" w:cs="Times New Roman"/>
          <w:sz w:val="24"/>
          <w:szCs w:val="24"/>
        </w:rPr>
        <w:t>olybrominated</w:t>
      </w:r>
      <w:proofErr w:type="spellEnd"/>
      <w:r w:rsidR="00AD02DA" w:rsidRPr="0042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DA">
        <w:rPr>
          <w:rFonts w:ascii="Times New Roman" w:hAnsi="Times New Roman" w:cs="Times New Roman"/>
          <w:sz w:val="24"/>
          <w:szCs w:val="24"/>
        </w:rPr>
        <w:t>d</w:t>
      </w:r>
      <w:r w:rsidR="00AD02DA" w:rsidRPr="00422EFE">
        <w:rPr>
          <w:rFonts w:ascii="Times New Roman" w:hAnsi="Times New Roman" w:cs="Times New Roman"/>
          <w:sz w:val="24"/>
          <w:szCs w:val="24"/>
        </w:rPr>
        <w:t>iphenyl</w:t>
      </w:r>
      <w:proofErr w:type="spellEnd"/>
      <w:r w:rsidR="00AD02DA" w:rsidRPr="00422EFE">
        <w:rPr>
          <w:rFonts w:ascii="Times New Roman" w:hAnsi="Times New Roman" w:cs="Times New Roman"/>
          <w:sz w:val="24"/>
          <w:szCs w:val="24"/>
        </w:rPr>
        <w:t xml:space="preserve"> </w:t>
      </w:r>
      <w:r w:rsidR="00AD02DA">
        <w:rPr>
          <w:rFonts w:ascii="Times New Roman" w:hAnsi="Times New Roman" w:cs="Times New Roman"/>
          <w:sz w:val="24"/>
          <w:szCs w:val="24"/>
        </w:rPr>
        <w:t>e</w:t>
      </w:r>
      <w:r w:rsidR="00AD02DA" w:rsidRPr="00422EFE">
        <w:rPr>
          <w:rFonts w:ascii="Times New Roman" w:hAnsi="Times New Roman" w:cs="Times New Roman"/>
          <w:sz w:val="24"/>
          <w:szCs w:val="24"/>
        </w:rPr>
        <w:t xml:space="preserve">thers </w:t>
      </w:r>
      <w:r w:rsidRPr="00422EF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AD02DA">
        <w:rPr>
          <w:rFonts w:ascii="Times New Roman" w:hAnsi="Times New Roman" w:cs="Times New Roman"/>
          <w:sz w:val="24"/>
          <w:szCs w:val="24"/>
        </w:rPr>
        <w:t>b</w:t>
      </w:r>
      <w:r w:rsidR="00AD02DA" w:rsidRPr="00422EFE">
        <w:rPr>
          <w:rFonts w:ascii="Times New Roman" w:hAnsi="Times New Roman" w:cs="Times New Roman"/>
          <w:sz w:val="24"/>
          <w:szCs w:val="24"/>
        </w:rPr>
        <w:t>isphenol</w:t>
      </w:r>
      <w:proofErr w:type="spellEnd"/>
      <w:r w:rsidR="00AD02DA" w:rsidRPr="00422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E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2EFE">
        <w:rPr>
          <w:rFonts w:ascii="Times New Roman" w:hAnsi="Times New Roman" w:cs="Times New Roman"/>
          <w:sz w:val="24"/>
          <w:szCs w:val="24"/>
        </w:rPr>
        <w:t xml:space="preserve"> in </w:t>
      </w:r>
      <w:r w:rsidR="00AD02DA">
        <w:rPr>
          <w:rFonts w:ascii="Times New Roman" w:hAnsi="Times New Roman" w:cs="Times New Roman"/>
          <w:sz w:val="24"/>
          <w:szCs w:val="24"/>
        </w:rPr>
        <w:t>r</w:t>
      </w:r>
      <w:r w:rsidR="00AD02DA" w:rsidRPr="00422EFE">
        <w:rPr>
          <w:rFonts w:ascii="Times New Roman" w:hAnsi="Times New Roman" w:cs="Times New Roman"/>
          <w:sz w:val="24"/>
          <w:szCs w:val="24"/>
        </w:rPr>
        <w:t xml:space="preserve">esidential </w:t>
      </w:r>
      <w:r w:rsidR="00AD02DA">
        <w:rPr>
          <w:rFonts w:ascii="Times New Roman" w:hAnsi="Times New Roman" w:cs="Times New Roman"/>
          <w:sz w:val="24"/>
          <w:szCs w:val="24"/>
        </w:rPr>
        <w:t>s</w:t>
      </w:r>
      <w:r w:rsidR="00AD02DA" w:rsidRPr="00422EFE">
        <w:rPr>
          <w:rFonts w:ascii="Times New Roman" w:hAnsi="Times New Roman" w:cs="Times New Roman"/>
          <w:sz w:val="24"/>
          <w:szCs w:val="24"/>
        </w:rPr>
        <w:t xml:space="preserve">urface </w:t>
      </w:r>
      <w:r w:rsidR="00AD02DA">
        <w:rPr>
          <w:rFonts w:ascii="Times New Roman" w:hAnsi="Times New Roman" w:cs="Times New Roman"/>
          <w:sz w:val="24"/>
          <w:szCs w:val="24"/>
        </w:rPr>
        <w:t>w</w:t>
      </w:r>
      <w:r w:rsidR="00AD02DA" w:rsidRPr="00422EFE">
        <w:rPr>
          <w:rFonts w:ascii="Times New Roman" w:hAnsi="Times New Roman" w:cs="Times New Roman"/>
          <w:sz w:val="24"/>
          <w:szCs w:val="24"/>
        </w:rPr>
        <w:t xml:space="preserve">ipe </w:t>
      </w:r>
      <w:r w:rsidR="00AD02DA">
        <w:rPr>
          <w:rFonts w:ascii="Times New Roman" w:hAnsi="Times New Roman" w:cs="Times New Roman"/>
          <w:sz w:val="24"/>
          <w:szCs w:val="24"/>
        </w:rPr>
        <w:t>s</w:t>
      </w:r>
      <w:r w:rsidR="00AD02DA" w:rsidRPr="00422EFE">
        <w:rPr>
          <w:rFonts w:ascii="Times New Roman" w:hAnsi="Times New Roman" w:cs="Times New Roman"/>
          <w:sz w:val="24"/>
          <w:szCs w:val="24"/>
        </w:rPr>
        <w:t>amples</w:t>
      </w:r>
      <w:r w:rsidRPr="00422EFE">
        <w:rPr>
          <w:rFonts w:ascii="Times New Roman" w:hAnsi="Times New Roman" w:cs="Times New Roman"/>
          <w:sz w:val="24"/>
          <w:szCs w:val="24"/>
        </w:rPr>
        <w:t xml:space="preserve">. Journal of Chromatography </w:t>
      </w:r>
      <w:proofErr w:type="gramStart"/>
      <w:r w:rsidRPr="00422E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2EFE">
        <w:rPr>
          <w:rFonts w:ascii="Times New Roman" w:hAnsi="Times New Roman" w:cs="Times New Roman"/>
          <w:sz w:val="24"/>
          <w:szCs w:val="24"/>
        </w:rPr>
        <w:t xml:space="preserve"> 1273, 1-11.</w:t>
      </w:r>
    </w:p>
    <w:p w:rsidR="00AD02DA" w:rsidRDefault="00AD02DA" w:rsidP="00756552">
      <w:pPr>
        <w:rPr>
          <w:rFonts w:ascii="Times New Roman" w:hAnsi="Times New Roman" w:cs="Times New Roman"/>
          <w:sz w:val="24"/>
          <w:szCs w:val="24"/>
        </w:rPr>
      </w:pPr>
    </w:p>
    <w:p w:rsidR="009275F8" w:rsidRPr="00422EFE" w:rsidRDefault="008E1077" w:rsidP="0075655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2EFE">
        <w:rPr>
          <w:rFonts w:ascii="Times New Roman" w:hAnsi="Times New Roman" w:cs="Times New Roman"/>
          <w:sz w:val="24"/>
          <w:szCs w:val="24"/>
        </w:rPr>
        <w:lastRenderedPageBreak/>
        <w:t>Shoeib</w:t>
      </w:r>
      <w:proofErr w:type="spellEnd"/>
      <w:r w:rsidRPr="00422EFE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422EFE">
        <w:rPr>
          <w:rFonts w:ascii="Times New Roman" w:hAnsi="Times New Roman" w:cs="Times New Roman"/>
          <w:sz w:val="24"/>
          <w:szCs w:val="24"/>
        </w:rPr>
        <w:t>Harner</w:t>
      </w:r>
      <w:proofErr w:type="spellEnd"/>
      <w:r w:rsidRPr="00422EFE">
        <w:rPr>
          <w:rFonts w:ascii="Times New Roman" w:hAnsi="Times New Roman" w:cs="Times New Roman"/>
          <w:sz w:val="24"/>
          <w:szCs w:val="24"/>
        </w:rPr>
        <w:t xml:space="preserve">, T. </w:t>
      </w:r>
      <w:r w:rsidR="00F43760" w:rsidRPr="00F43760">
        <w:rPr>
          <w:rFonts w:ascii="Times New Roman" w:hAnsi="Times New Roman" w:cs="Times New Roman"/>
          <w:bCs/>
          <w:sz w:val="24"/>
          <w:szCs w:val="24"/>
        </w:rPr>
        <w:t>2002</w:t>
      </w:r>
      <w:r w:rsidR="00F4376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437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22EFE">
        <w:rPr>
          <w:rFonts w:ascii="Times New Roman" w:hAnsi="Times New Roman" w:cs="Times New Roman"/>
          <w:sz w:val="24"/>
          <w:szCs w:val="24"/>
        </w:rPr>
        <w:t>Characterization and comparison of three passive air samplers for persistent organic pollutants.</w:t>
      </w:r>
      <w:proofErr w:type="gramEnd"/>
      <w:r w:rsidRPr="00422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726" w:rsidRPr="00186726">
        <w:rPr>
          <w:rFonts w:ascii="Times New Roman" w:hAnsi="Times New Roman" w:cs="Times New Roman"/>
          <w:iCs/>
          <w:sz w:val="24"/>
          <w:szCs w:val="24"/>
        </w:rPr>
        <w:t>Environ</w:t>
      </w:r>
      <w:r w:rsidR="00AD02DA">
        <w:rPr>
          <w:rFonts w:ascii="Times New Roman" w:hAnsi="Times New Roman" w:cs="Times New Roman"/>
          <w:iCs/>
          <w:sz w:val="24"/>
          <w:szCs w:val="24"/>
        </w:rPr>
        <w:t>mental</w:t>
      </w:r>
      <w:r w:rsidR="00186726" w:rsidRPr="00186726">
        <w:rPr>
          <w:rFonts w:ascii="Times New Roman" w:hAnsi="Times New Roman" w:cs="Times New Roman"/>
          <w:iCs/>
          <w:sz w:val="24"/>
          <w:szCs w:val="24"/>
        </w:rPr>
        <w:t xml:space="preserve"> Sci</w:t>
      </w:r>
      <w:r w:rsidR="00AD02DA">
        <w:rPr>
          <w:rFonts w:ascii="Times New Roman" w:hAnsi="Times New Roman" w:cs="Times New Roman"/>
          <w:iCs/>
          <w:sz w:val="24"/>
          <w:szCs w:val="24"/>
        </w:rPr>
        <w:t>ence</w:t>
      </w:r>
      <w:r w:rsidR="00186726" w:rsidRPr="001867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02DA">
        <w:rPr>
          <w:rFonts w:ascii="Times New Roman" w:hAnsi="Times New Roman" w:cs="Times New Roman"/>
          <w:iCs/>
          <w:sz w:val="24"/>
          <w:szCs w:val="24"/>
        </w:rPr>
        <w:t xml:space="preserve">&amp; </w:t>
      </w:r>
      <w:r w:rsidR="00186726" w:rsidRPr="00186726">
        <w:rPr>
          <w:rFonts w:ascii="Times New Roman" w:hAnsi="Times New Roman" w:cs="Times New Roman"/>
          <w:iCs/>
          <w:sz w:val="24"/>
          <w:szCs w:val="24"/>
        </w:rPr>
        <w:t>Technol</w:t>
      </w:r>
      <w:r w:rsidR="00AD02DA">
        <w:rPr>
          <w:rFonts w:ascii="Times New Roman" w:hAnsi="Times New Roman" w:cs="Times New Roman"/>
          <w:iCs/>
          <w:sz w:val="24"/>
          <w:szCs w:val="24"/>
        </w:rPr>
        <w:t>ogy</w:t>
      </w:r>
      <w:r w:rsidRPr="00422EFE">
        <w:rPr>
          <w:rFonts w:ascii="Times New Roman" w:hAnsi="Times New Roman" w:cs="Times New Roman"/>
          <w:sz w:val="24"/>
          <w:szCs w:val="24"/>
        </w:rPr>
        <w:t xml:space="preserve"> 36</w:t>
      </w:r>
      <w:r w:rsidR="00AD02DA">
        <w:rPr>
          <w:rFonts w:ascii="Times New Roman" w:hAnsi="Times New Roman" w:cs="Times New Roman"/>
          <w:sz w:val="24"/>
          <w:szCs w:val="24"/>
        </w:rPr>
        <w:t xml:space="preserve">, </w:t>
      </w:r>
      <w:r w:rsidRPr="00422EFE">
        <w:rPr>
          <w:rFonts w:ascii="Times New Roman" w:hAnsi="Times New Roman" w:cs="Times New Roman"/>
          <w:sz w:val="24"/>
          <w:szCs w:val="24"/>
        </w:rPr>
        <w:t>4142-4151</w:t>
      </w:r>
      <w:r w:rsidR="00AD02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9275F8" w:rsidRPr="00422EFE" w:rsidSect="00EE5B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AB" w:rsidRDefault="00FB1FAB" w:rsidP="003B0D16">
      <w:pPr>
        <w:spacing w:after="0"/>
      </w:pPr>
      <w:r>
        <w:separator/>
      </w:r>
    </w:p>
  </w:endnote>
  <w:endnote w:type="continuationSeparator" w:id="0">
    <w:p w:rsidR="00FB1FAB" w:rsidRDefault="00FB1FAB" w:rsidP="003B0D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6081"/>
      <w:docPartObj>
        <w:docPartGallery w:val="Page Numbers (Bottom of Page)"/>
        <w:docPartUnique/>
      </w:docPartObj>
    </w:sdtPr>
    <w:sdtContent>
      <w:p w:rsidR="007D2C60" w:rsidRDefault="008E37C4">
        <w:pPr>
          <w:pStyle w:val="Footer"/>
          <w:jc w:val="center"/>
        </w:pPr>
        <w:r>
          <w:fldChar w:fldCharType="begin"/>
        </w:r>
        <w:r w:rsidR="007D2C60">
          <w:instrText xml:space="preserve"> PAGE   \* MERGEFORMAT </w:instrText>
        </w:r>
        <w:r>
          <w:fldChar w:fldCharType="separate"/>
        </w:r>
        <w:r w:rsidR="00835E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C60" w:rsidRDefault="007D2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AB" w:rsidRDefault="00FB1FAB" w:rsidP="003B0D16">
      <w:pPr>
        <w:spacing w:after="0"/>
      </w:pPr>
      <w:r>
        <w:separator/>
      </w:r>
    </w:p>
  </w:footnote>
  <w:footnote w:type="continuationSeparator" w:id="0">
    <w:p w:rsidR="00FB1FAB" w:rsidRDefault="00FB1FAB" w:rsidP="003B0D1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AA6"/>
    <w:multiLevelType w:val="hybridMultilevel"/>
    <w:tmpl w:val="DB5CD514"/>
    <w:lvl w:ilvl="0" w:tplc="4ECC45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E66C0"/>
    <w:multiLevelType w:val="hybridMultilevel"/>
    <w:tmpl w:val="F80CABBA"/>
    <w:lvl w:ilvl="0" w:tplc="B24C90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D8D74992-DAD2-4D4A-B809-788A6A08582A}"/>
    <w:docVar w:name="dgnword-eventsink" w:val="101805160"/>
  </w:docVars>
  <w:rsids>
    <w:rsidRoot w:val="00987CFC"/>
    <w:rsid w:val="00003DEF"/>
    <w:rsid w:val="00011F1A"/>
    <w:rsid w:val="000314D5"/>
    <w:rsid w:val="00035E25"/>
    <w:rsid w:val="00071208"/>
    <w:rsid w:val="000728D9"/>
    <w:rsid w:val="000A5EF1"/>
    <w:rsid w:val="000A77DE"/>
    <w:rsid w:val="000C3C88"/>
    <w:rsid w:val="000E2D95"/>
    <w:rsid w:val="00101559"/>
    <w:rsid w:val="0010249C"/>
    <w:rsid w:val="00114522"/>
    <w:rsid w:val="00116CA2"/>
    <w:rsid w:val="001338B9"/>
    <w:rsid w:val="0014215E"/>
    <w:rsid w:val="0014378B"/>
    <w:rsid w:val="00145002"/>
    <w:rsid w:val="001511D0"/>
    <w:rsid w:val="0017300B"/>
    <w:rsid w:val="00186726"/>
    <w:rsid w:val="00186AE6"/>
    <w:rsid w:val="0019027D"/>
    <w:rsid w:val="001926A5"/>
    <w:rsid w:val="001C35E7"/>
    <w:rsid w:val="001C5BCE"/>
    <w:rsid w:val="001E6013"/>
    <w:rsid w:val="001F7DBB"/>
    <w:rsid w:val="00213C93"/>
    <w:rsid w:val="0021416A"/>
    <w:rsid w:val="00226042"/>
    <w:rsid w:val="00233872"/>
    <w:rsid w:val="00240E2E"/>
    <w:rsid w:val="00241FAE"/>
    <w:rsid w:val="002625B4"/>
    <w:rsid w:val="0028068E"/>
    <w:rsid w:val="002B567E"/>
    <w:rsid w:val="002B6ED9"/>
    <w:rsid w:val="002D3169"/>
    <w:rsid w:val="002E1036"/>
    <w:rsid w:val="002E5E6C"/>
    <w:rsid w:val="002E6B2B"/>
    <w:rsid w:val="002F7E0D"/>
    <w:rsid w:val="00316764"/>
    <w:rsid w:val="003241C0"/>
    <w:rsid w:val="00333675"/>
    <w:rsid w:val="003B0D16"/>
    <w:rsid w:val="003B3A66"/>
    <w:rsid w:val="003B67BA"/>
    <w:rsid w:val="003C16A8"/>
    <w:rsid w:val="003E107E"/>
    <w:rsid w:val="003E35DA"/>
    <w:rsid w:val="00422EFE"/>
    <w:rsid w:val="00423004"/>
    <w:rsid w:val="0043017F"/>
    <w:rsid w:val="00434A6A"/>
    <w:rsid w:val="004446E7"/>
    <w:rsid w:val="00451232"/>
    <w:rsid w:val="00466466"/>
    <w:rsid w:val="004733FF"/>
    <w:rsid w:val="0047520F"/>
    <w:rsid w:val="00483887"/>
    <w:rsid w:val="004927F9"/>
    <w:rsid w:val="0049318D"/>
    <w:rsid w:val="00494675"/>
    <w:rsid w:val="00497869"/>
    <w:rsid w:val="004C17C4"/>
    <w:rsid w:val="004D01D2"/>
    <w:rsid w:val="004D634E"/>
    <w:rsid w:val="004E1A5F"/>
    <w:rsid w:val="0051187C"/>
    <w:rsid w:val="0051368E"/>
    <w:rsid w:val="00551FF3"/>
    <w:rsid w:val="00554277"/>
    <w:rsid w:val="0057092F"/>
    <w:rsid w:val="00575ED7"/>
    <w:rsid w:val="005B07FF"/>
    <w:rsid w:val="005C69D1"/>
    <w:rsid w:val="005D71B2"/>
    <w:rsid w:val="005E1C8B"/>
    <w:rsid w:val="00601FD8"/>
    <w:rsid w:val="006020AC"/>
    <w:rsid w:val="00633F19"/>
    <w:rsid w:val="00652AA2"/>
    <w:rsid w:val="00657171"/>
    <w:rsid w:val="00685D2C"/>
    <w:rsid w:val="006872A6"/>
    <w:rsid w:val="006A2A96"/>
    <w:rsid w:val="006A36D2"/>
    <w:rsid w:val="006B18A3"/>
    <w:rsid w:val="006C05B4"/>
    <w:rsid w:val="006C0BCA"/>
    <w:rsid w:val="006C4F70"/>
    <w:rsid w:val="006D1EF7"/>
    <w:rsid w:val="006D29FA"/>
    <w:rsid w:val="006D32A5"/>
    <w:rsid w:val="006E21A9"/>
    <w:rsid w:val="00700786"/>
    <w:rsid w:val="0070172E"/>
    <w:rsid w:val="0074209B"/>
    <w:rsid w:val="00745D03"/>
    <w:rsid w:val="007500F9"/>
    <w:rsid w:val="00756552"/>
    <w:rsid w:val="007760F6"/>
    <w:rsid w:val="007A3399"/>
    <w:rsid w:val="007A5B91"/>
    <w:rsid w:val="007B36FB"/>
    <w:rsid w:val="007B7B2A"/>
    <w:rsid w:val="007C40D9"/>
    <w:rsid w:val="007D2C60"/>
    <w:rsid w:val="007E039D"/>
    <w:rsid w:val="008008C9"/>
    <w:rsid w:val="008012FA"/>
    <w:rsid w:val="0080711E"/>
    <w:rsid w:val="00824DC1"/>
    <w:rsid w:val="00835EB4"/>
    <w:rsid w:val="00861EF9"/>
    <w:rsid w:val="00881507"/>
    <w:rsid w:val="00886154"/>
    <w:rsid w:val="00890668"/>
    <w:rsid w:val="00893E20"/>
    <w:rsid w:val="008A3759"/>
    <w:rsid w:val="008C5A1D"/>
    <w:rsid w:val="008D1141"/>
    <w:rsid w:val="008E1077"/>
    <w:rsid w:val="008E37C4"/>
    <w:rsid w:val="00923FFA"/>
    <w:rsid w:val="0092438D"/>
    <w:rsid w:val="009275F8"/>
    <w:rsid w:val="00952B84"/>
    <w:rsid w:val="00987CFC"/>
    <w:rsid w:val="00987DA6"/>
    <w:rsid w:val="00991F62"/>
    <w:rsid w:val="00A14BF6"/>
    <w:rsid w:val="00A62E6B"/>
    <w:rsid w:val="00A63B25"/>
    <w:rsid w:val="00A93015"/>
    <w:rsid w:val="00A97954"/>
    <w:rsid w:val="00AD02DA"/>
    <w:rsid w:val="00AD27B8"/>
    <w:rsid w:val="00AD75A0"/>
    <w:rsid w:val="00AE2550"/>
    <w:rsid w:val="00AF7874"/>
    <w:rsid w:val="00B05C09"/>
    <w:rsid w:val="00B33F5F"/>
    <w:rsid w:val="00B54A8B"/>
    <w:rsid w:val="00B720CE"/>
    <w:rsid w:val="00BA03B5"/>
    <w:rsid w:val="00BA6287"/>
    <w:rsid w:val="00BA7968"/>
    <w:rsid w:val="00BC6BB4"/>
    <w:rsid w:val="00BF390E"/>
    <w:rsid w:val="00C010FB"/>
    <w:rsid w:val="00C11802"/>
    <w:rsid w:val="00C2675D"/>
    <w:rsid w:val="00C51FE3"/>
    <w:rsid w:val="00C673C4"/>
    <w:rsid w:val="00C74C2B"/>
    <w:rsid w:val="00C857AB"/>
    <w:rsid w:val="00CA7EA5"/>
    <w:rsid w:val="00CB49D5"/>
    <w:rsid w:val="00CE1BB8"/>
    <w:rsid w:val="00D13B8F"/>
    <w:rsid w:val="00D2159D"/>
    <w:rsid w:val="00D315D5"/>
    <w:rsid w:val="00D42014"/>
    <w:rsid w:val="00D46968"/>
    <w:rsid w:val="00D52E96"/>
    <w:rsid w:val="00D9481C"/>
    <w:rsid w:val="00DB72D2"/>
    <w:rsid w:val="00DC7D3E"/>
    <w:rsid w:val="00DD0567"/>
    <w:rsid w:val="00DD3CCB"/>
    <w:rsid w:val="00DE37B7"/>
    <w:rsid w:val="00DE57D8"/>
    <w:rsid w:val="00DE7C26"/>
    <w:rsid w:val="00E1002F"/>
    <w:rsid w:val="00E10A21"/>
    <w:rsid w:val="00E170AE"/>
    <w:rsid w:val="00E32693"/>
    <w:rsid w:val="00E46847"/>
    <w:rsid w:val="00E55748"/>
    <w:rsid w:val="00E60C52"/>
    <w:rsid w:val="00E70FD0"/>
    <w:rsid w:val="00E82965"/>
    <w:rsid w:val="00EA70DA"/>
    <w:rsid w:val="00EB1CDB"/>
    <w:rsid w:val="00EB3536"/>
    <w:rsid w:val="00EE3861"/>
    <w:rsid w:val="00EE5B61"/>
    <w:rsid w:val="00EE5F93"/>
    <w:rsid w:val="00EF5263"/>
    <w:rsid w:val="00F0646C"/>
    <w:rsid w:val="00F11749"/>
    <w:rsid w:val="00F118D9"/>
    <w:rsid w:val="00F170B6"/>
    <w:rsid w:val="00F25F8D"/>
    <w:rsid w:val="00F3645D"/>
    <w:rsid w:val="00F40D20"/>
    <w:rsid w:val="00F43760"/>
    <w:rsid w:val="00F518CD"/>
    <w:rsid w:val="00F8743B"/>
    <w:rsid w:val="00FA37C8"/>
    <w:rsid w:val="00FB1FAB"/>
    <w:rsid w:val="00FB3D2D"/>
    <w:rsid w:val="00F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61"/>
  </w:style>
  <w:style w:type="paragraph" w:styleId="Heading3">
    <w:name w:val="heading 3"/>
    <w:basedOn w:val="Normal"/>
    <w:link w:val="Heading3Char"/>
    <w:uiPriority w:val="9"/>
    <w:qFormat/>
    <w:rsid w:val="003B67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67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987CF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CFC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C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B67BA"/>
    <w:rPr>
      <w:color w:val="0000FF"/>
      <w:u w:val="single"/>
    </w:rPr>
  </w:style>
  <w:style w:type="paragraph" w:customStyle="1" w:styleId="CM1">
    <w:name w:val="CM1"/>
    <w:basedOn w:val="Normal"/>
    <w:next w:val="Normal"/>
    <w:rsid w:val="003B67BA"/>
    <w:pPr>
      <w:widowControl w:val="0"/>
      <w:autoSpaceDE w:val="0"/>
      <w:autoSpaceDN w:val="0"/>
      <w:adjustRightInd w:val="0"/>
      <w:spacing w:after="0" w:line="553" w:lineRule="atLeast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B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BA"/>
    <w:rPr>
      <w:b/>
      <w:bCs/>
    </w:rPr>
  </w:style>
  <w:style w:type="paragraph" w:styleId="ListParagraph">
    <w:name w:val="List Paragraph"/>
    <w:basedOn w:val="Normal"/>
    <w:uiPriority w:val="34"/>
    <w:qFormat/>
    <w:rsid w:val="003B67BA"/>
    <w:pPr>
      <w:ind w:left="720"/>
      <w:contextualSpacing/>
    </w:pPr>
  </w:style>
  <w:style w:type="character" w:customStyle="1" w:styleId="gsctg2">
    <w:name w:val="gs_ctg2"/>
    <w:basedOn w:val="DefaultParagraphFont"/>
    <w:rsid w:val="003B67BA"/>
  </w:style>
  <w:style w:type="paragraph" w:styleId="Header">
    <w:name w:val="header"/>
    <w:basedOn w:val="Normal"/>
    <w:link w:val="HeaderChar"/>
    <w:uiPriority w:val="99"/>
    <w:semiHidden/>
    <w:unhideWhenUsed/>
    <w:rsid w:val="003B0D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D16"/>
  </w:style>
  <w:style w:type="paragraph" w:styleId="Footer">
    <w:name w:val="footer"/>
    <w:basedOn w:val="Normal"/>
    <w:link w:val="FooterChar"/>
    <w:uiPriority w:val="99"/>
    <w:unhideWhenUsed/>
    <w:rsid w:val="003B0D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61"/>
  </w:style>
  <w:style w:type="paragraph" w:styleId="Heading3">
    <w:name w:val="heading 3"/>
    <w:basedOn w:val="Normal"/>
    <w:link w:val="Heading3Char"/>
    <w:uiPriority w:val="9"/>
    <w:qFormat/>
    <w:rsid w:val="003B67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67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987CF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CFC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C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B67BA"/>
    <w:rPr>
      <w:color w:val="0000FF"/>
      <w:u w:val="single"/>
    </w:rPr>
  </w:style>
  <w:style w:type="paragraph" w:customStyle="1" w:styleId="CM1">
    <w:name w:val="CM1"/>
    <w:basedOn w:val="Normal"/>
    <w:next w:val="Normal"/>
    <w:rsid w:val="003B67BA"/>
    <w:pPr>
      <w:widowControl w:val="0"/>
      <w:autoSpaceDE w:val="0"/>
      <w:autoSpaceDN w:val="0"/>
      <w:adjustRightInd w:val="0"/>
      <w:spacing w:after="0" w:line="553" w:lineRule="atLeast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B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BA"/>
    <w:rPr>
      <w:b/>
      <w:bCs/>
    </w:rPr>
  </w:style>
  <w:style w:type="paragraph" w:styleId="ListParagraph">
    <w:name w:val="List Paragraph"/>
    <w:basedOn w:val="Normal"/>
    <w:uiPriority w:val="34"/>
    <w:qFormat/>
    <w:rsid w:val="003B67BA"/>
    <w:pPr>
      <w:ind w:left="720"/>
      <w:contextualSpacing/>
    </w:pPr>
  </w:style>
  <w:style w:type="character" w:customStyle="1" w:styleId="gsctg2">
    <w:name w:val="gs_ctg2"/>
    <w:basedOn w:val="DefaultParagraphFont"/>
    <w:rsid w:val="003B67BA"/>
  </w:style>
  <w:style w:type="paragraph" w:styleId="Header">
    <w:name w:val="header"/>
    <w:basedOn w:val="Normal"/>
    <w:link w:val="HeaderChar"/>
    <w:uiPriority w:val="99"/>
    <w:semiHidden/>
    <w:unhideWhenUsed/>
    <w:rsid w:val="003B0D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D16"/>
  </w:style>
  <w:style w:type="paragraph" w:styleId="Footer">
    <w:name w:val="footer"/>
    <w:basedOn w:val="Normal"/>
    <w:link w:val="FooterChar"/>
    <w:uiPriority w:val="99"/>
    <w:unhideWhenUsed/>
    <w:rsid w:val="003B0D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bennett@ucdav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rmoran</dc:creator>
  <cp:lastModifiedBy>loginwb2</cp:lastModifiedBy>
  <cp:revision>9</cp:revision>
  <dcterms:created xsi:type="dcterms:W3CDTF">2014-04-08T22:07:00Z</dcterms:created>
  <dcterms:modified xsi:type="dcterms:W3CDTF">2014-05-13T10:40:00Z</dcterms:modified>
</cp:coreProperties>
</file>