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2EFB6" w14:textId="77777777" w:rsidR="00E362A2" w:rsidRPr="001B00E1" w:rsidRDefault="00E362A2" w:rsidP="00E362A2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00E1">
        <w:rPr>
          <w:rFonts w:ascii="Times New Roman" w:hAnsi="Times New Roman" w:cs="Times New Roman"/>
          <w:b/>
          <w:sz w:val="24"/>
          <w:szCs w:val="24"/>
        </w:rPr>
        <w:t>S1 Table. Characteristics of households and individuals included in chikungunya cluster investigations conducted in Puerto Rico, 2014 (N</w:t>
      </w:r>
      <w:r w:rsidR="002203DF" w:rsidRPr="001B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0E1">
        <w:rPr>
          <w:rFonts w:ascii="Times New Roman" w:hAnsi="Times New Roman" w:cs="Times New Roman"/>
          <w:b/>
          <w:sz w:val="24"/>
          <w:szCs w:val="24"/>
        </w:rPr>
        <w:t>=</w:t>
      </w:r>
      <w:r w:rsidR="002203DF" w:rsidRPr="001B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0E1">
        <w:rPr>
          <w:rFonts w:ascii="Times New Roman" w:hAnsi="Times New Roman" w:cs="Times New Roman"/>
          <w:b/>
          <w:sz w:val="24"/>
          <w:szCs w:val="24"/>
        </w:rPr>
        <w:t>21).</w:t>
      </w:r>
    </w:p>
    <w:tbl>
      <w:tblPr>
        <w:tblStyle w:val="TableGrid"/>
        <w:tblpPr w:leftFromText="180" w:rightFromText="180" w:vertAnchor="text" w:horzAnchor="page" w:tblpX="361" w:tblpY="90"/>
        <w:tblW w:w="15040" w:type="dxa"/>
        <w:tblLook w:val="04A0" w:firstRow="1" w:lastRow="0" w:firstColumn="1" w:lastColumn="0" w:noHBand="0" w:noVBand="1"/>
      </w:tblPr>
      <w:tblGrid>
        <w:gridCol w:w="5305"/>
        <w:gridCol w:w="1980"/>
        <w:gridCol w:w="1800"/>
        <w:gridCol w:w="1890"/>
        <w:gridCol w:w="1170"/>
        <w:gridCol w:w="1080"/>
        <w:gridCol w:w="1815"/>
      </w:tblGrid>
      <w:tr w:rsidR="00E362A2" w:rsidRPr="001B00E1" w14:paraId="05C55D87" w14:textId="77777777" w:rsidTr="00F35351">
        <w:trPr>
          <w:trHeight w:val="307"/>
        </w:trPr>
        <w:tc>
          <w:tcPr>
            <w:tcW w:w="5305" w:type="dxa"/>
            <w:vAlign w:val="bottom"/>
          </w:tcPr>
          <w:p w14:paraId="0472FDA3" w14:textId="77777777" w:rsidR="00E362A2" w:rsidRPr="001B00E1" w:rsidRDefault="00E362A2" w:rsidP="00343CB7">
            <w:pPr>
              <w:rPr>
                <w:rFonts w:ascii="Times New Roman" w:hAnsi="Times New Roman" w:cs="Times New Roman"/>
                <w:b/>
              </w:rPr>
            </w:pPr>
            <w:r w:rsidRPr="001B00E1">
              <w:rPr>
                <w:rFonts w:ascii="Times New Roman" w:hAnsi="Times New Roman" w:cs="Times New Roman"/>
                <w:b/>
              </w:rPr>
              <w:t>Characteristic, median (range)</w:t>
            </w:r>
          </w:p>
        </w:tc>
        <w:tc>
          <w:tcPr>
            <w:tcW w:w="1980" w:type="dxa"/>
            <w:vAlign w:val="bottom"/>
          </w:tcPr>
          <w:p w14:paraId="4A791036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0E1">
              <w:rPr>
                <w:rFonts w:ascii="Times New Roman" w:hAnsi="Times New Roman" w:cs="Times New Roman"/>
                <w:b/>
              </w:rPr>
              <w:t>San Juan</w:t>
            </w:r>
          </w:p>
          <w:p w14:paraId="216FB1B9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0E1">
              <w:rPr>
                <w:rFonts w:ascii="Times New Roman" w:hAnsi="Times New Roman" w:cs="Times New Roman"/>
                <w:b/>
              </w:rPr>
              <w:t>(n =</w:t>
            </w:r>
            <w:r w:rsidR="00555395" w:rsidRPr="001B00E1">
              <w:rPr>
                <w:rFonts w:ascii="Times New Roman" w:hAnsi="Times New Roman" w:cs="Times New Roman"/>
                <w:b/>
              </w:rPr>
              <w:t xml:space="preserve"> </w:t>
            </w:r>
            <w:r w:rsidRPr="001B00E1">
              <w:rPr>
                <w:rFonts w:ascii="Times New Roman" w:hAnsi="Times New Roman" w:cs="Times New Roman"/>
                <w:b/>
              </w:rPr>
              <w:t>9)</w:t>
            </w:r>
          </w:p>
        </w:tc>
        <w:tc>
          <w:tcPr>
            <w:tcW w:w="1800" w:type="dxa"/>
            <w:vAlign w:val="bottom"/>
          </w:tcPr>
          <w:p w14:paraId="5501D255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B00E1">
              <w:rPr>
                <w:rFonts w:ascii="Times New Roman" w:hAnsi="Times New Roman" w:cs="Times New Roman"/>
                <w:b/>
              </w:rPr>
              <w:t>Bayamón</w:t>
            </w:r>
            <w:proofErr w:type="spellEnd"/>
          </w:p>
          <w:p w14:paraId="41EEF5B3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0E1">
              <w:rPr>
                <w:rFonts w:ascii="Times New Roman" w:hAnsi="Times New Roman" w:cs="Times New Roman"/>
                <w:b/>
              </w:rPr>
              <w:t>(n = 8)</w:t>
            </w:r>
          </w:p>
        </w:tc>
        <w:tc>
          <w:tcPr>
            <w:tcW w:w="1890" w:type="dxa"/>
            <w:vAlign w:val="bottom"/>
          </w:tcPr>
          <w:p w14:paraId="0754A04F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0E1">
              <w:rPr>
                <w:rFonts w:ascii="Times New Roman" w:hAnsi="Times New Roman" w:cs="Times New Roman"/>
                <w:b/>
              </w:rPr>
              <w:t>Ponce</w:t>
            </w:r>
          </w:p>
          <w:p w14:paraId="5496A6BA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0E1">
              <w:rPr>
                <w:rFonts w:ascii="Times New Roman" w:hAnsi="Times New Roman" w:cs="Times New Roman"/>
                <w:b/>
              </w:rPr>
              <w:t>(n = 2)</w:t>
            </w:r>
          </w:p>
        </w:tc>
        <w:tc>
          <w:tcPr>
            <w:tcW w:w="1170" w:type="dxa"/>
          </w:tcPr>
          <w:p w14:paraId="328717F8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0E1">
              <w:rPr>
                <w:rFonts w:ascii="Times New Roman" w:hAnsi="Times New Roman" w:cs="Times New Roman"/>
                <w:b/>
              </w:rPr>
              <w:t xml:space="preserve">Arecibo </w:t>
            </w:r>
          </w:p>
          <w:p w14:paraId="03AF5C3D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0E1">
              <w:rPr>
                <w:rFonts w:ascii="Times New Roman" w:hAnsi="Times New Roman" w:cs="Times New Roman"/>
                <w:b/>
              </w:rPr>
              <w:t>(n = 1)</w:t>
            </w:r>
          </w:p>
        </w:tc>
        <w:tc>
          <w:tcPr>
            <w:tcW w:w="1080" w:type="dxa"/>
          </w:tcPr>
          <w:p w14:paraId="79724D26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0E1">
              <w:rPr>
                <w:rFonts w:ascii="Times New Roman" w:hAnsi="Times New Roman" w:cs="Times New Roman"/>
                <w:b/>
              </w:rPr>
              <w:t>Caguas</w:t>
            </w:r>
          </w:p>
          <w:p w14:paraId="3106A577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0E1">
              <w:rPr>
                <w:rFonts w:ascii="Times New Roman" w:hAnsi="Times New Roman" w:cs="Times New Roman"/>
                <w:b/>
              </w:rPr>
              <w:t>(n = 1)</w:t>
            </w:r>
          </w:p>
        </w:tc>
        <w:tc>
          <w:tcPr>
            <w:tcW w:w="1815" w:type="dxa"/>
            <w:vAlign w:val="bottom"/>
          </w:tcPr>
          <w:p w14:paraId="6706870B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0E1">
              <w:rPr>
                <w:rFonts w:ascii="Times New Roman" w:hAnsi="Times New Roman" w:cs="Times New Roman"/>
                <w:b/>
              </w:rPr>
              <w:t>ALL</w:t>
            </w:r>
          </w:p>
          <w:p w14:paraId="00778F69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0E1">
              <w:rPr>
                <w:rFonts w:ascii="Times New Roman" w:hAnsi="Times New Roman" w:cs="Times New Roman"/>
                <w:b/>
              </w:rPr>
              <w:t>(N = 21)</w:t>
            </w:r>
          </w:p>
        </w:tc>
      </w:tr>
      <w:tr w:rsidR="00E362A2" w:rsidRPr="001B00E1" w14:paraId="46E4E30D" w14:textId="77777777" w:rsidTr="00F35351">
        <w:trPr>
          <w:trHeight w:val="294"/>
        </w:trPr>
        <w:tc>
          <w:tcPr>
            <w:tcW w:w="5305" w:type="dxa"/>
          </w:tcPr>
          <w:p w14:paraId="7FA1C83A" w14:textId="77777777" w:rsidR="00E362A2" w:rsidRPr="001B00E1" w:rsidRDefault="00E362A2" w:rsidP="00343CB7">
            <w:pPr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Days from index case-patient’s illness onset to investigation</w:t>
            </w:r>
          </w:p>
        </w:tc>
        <w:tc>
          <w:tcPr>
            <w:tcW w:w="1980" w:type="dxa"/>
          </w:tcPr>
          <w:p w14:paraId="7C8B49A4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22.5 (12 – 42)</w:t>
            </w:r>
          </w:p>
        </w:tc>
        <w:tc>
          <w:tcPr>
            <w:tcW w:w="1800" w:type="dxa"/>
          </w:tcPr>
          <w:p w14:paraId="0695212D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35 (12 – 42)</w:t>
            </w:r>
          </w:p>
        </w:tc>
        <w:tc>
          <w:tcPr>
            <w:tcW w:w="1890" w:type="dxa"/>
          </w:tcPr>
          <w:p w14:paraId="222673EC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32.5 (32 – 33)</w:t>
            </w:r>
          </w:p>
        </w:tc>
        <w:tc>
          <w:tcPr>
            <w:tcW w:w="1170" w:type="dxa"/>
          </w:tcPr>
          <w:p w14:paraId="3839DD88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80" w:type="dxa"/>
          </w:tcPr>
          <w:p w14:paraId="1EF4781C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15" w:type="dxa"/>
          </w:tcPr>
          <w:p w14:paraId="23B08B83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32 (12 – 48)</w:t>
            </w:r>
          </w:p>
        </w:tc>
      </w:tr>
      <w:tr w:rsidR="00E362A2" w:rsidRPr="001B00E1" w14:paraId="685F02AE" w14:textId="77777777" w:rsidTr="00F35351">
        <w:trPr>
          <w:trHeight w:val="294"/>
        </w:trPr>
        <w:tc>
          <w:tcPr>
            <w:tcW w:w="5305" w:type="dxa"/>
          </w:tcPr>
          <w:p w14:paraId="55E747FB" w14:textId="77777777" w:rsidR="00E362A2" w:rsidRPr="001B00E1" w:rsidRDefault="00E362A2" w:rsidP="00343CB7">
            <w:pPr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Households per cluster, median (range)</w:t>
            </w:r>
          </w:p>
        </w:tc>
        <w:tc>
          <w:tcPr>
            <w:tcW w:w="1980" w:type="dxa"/>
          </w:tcPr>
          <w:p w14:paraId="24C1555B" w14:textId="77777777" w:rsidR="00E362A2" w:rsidRPr="001B00E1" w:rsidRDefault="00E362A2" w:rsidP="00343CB7">
            <w:pPr>
              <w:tabs>
                <w:tab w:val="left" w:pos="1234"/>
              </w:tabs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29 (12 – 40)</w:t>
            </w:r>
          </w:p>
        </w:tc>
        <w:tc>
          <w:tcPr>
            <w:tcW w:w="1800" w:type="dxa"/>
          </w:tcPr>
          <w:p w14:paraId="27F4507D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20 (4 – 30)</w:t>
            </w:r>
          </w:p>
        </w:tc>
        <w:tc>
          <w:tcPr>
            <w:tcW w:w="1890" w:type="dxa"/>
          </w:tcPr>
          <w:p w14:paraId="62C08960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30.5 (30 – 31)</w:t>
            </w:r>
          </w:p>
        </w:tc>
        <w:tc>
          <w:tcPr>
            <w:tcW w:w="1170" w:type="dxa"/>
          </w:tcPr>
          <w:p w14:paraId="0F630A09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14:paraId="6584ACCC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5" w:type="dxa"/>
          </w:tcPr>
          <w:p w14:paraId="2DE5EA6C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26 (4 – 40)</w:t>
            </w:r>
          </w:p>
        </w:tc>
      </w:tr>
      <w:tr w:rsidR="00E362A2" w:rsidRPr="001B00E1" w14:paraId="412219E3" w14:textId="77777777" w:rsidTr="00F35351">
        <w:trPr>
          <w:trHeight w:val="294"/>
        </w:trPr>
        <w:tc>
          <w:tcPr>
            <w:tcW w:w="5305" w:type="dxa"/>
          </w:tcPr>
          <w:p w14:paraId="1FF6B810" w14:textId="77777777" w:rsidR="00E362A2" w:rsidRPr="001B00E1" w:rsidRDefault="00E362A2" w:rsidP="00343CB7">
            <w:pPr>
              <w:ind w:left="252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Occupied households per cluster, % (range)</w:t>
            </w:r>
          </w:p>
        </w:tc>
        <w:tc>
          <w:tcPr>
            <w:tcW w:w="1980" w:type="dxa"/>
          </w:tcPr>
          <w:p w14:paraId="56FFF209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91.7 (63.6 – 100)</w:t>
            </w:r>
          </w:p>
        </w:tc>
        <w:tc>
          <w:tcPr>
            <w:tcW w:w="1800" w:type="dxa"/>
          </w:tcPr>
          <w:p w14:paraId="33F53443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89.7 (84.6–100)</w:t>
            </w:r>
          </w:p>
        </w:tc>
        <w:tc>
          <w:tcPr>
            <w:tcW w:w="1890" w:type="dxa"/>
          </w:tcPr>
          <w:p w14:paraId="60E2C4E1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67.2 (63.3–71.0)</w:t>
            </w:r>
          </w:p>
        </w:tc>
        <w:tc>
          <w:tcPr>
            <w:tcW w:w="1170" w:type="dxa"/>
          </w:tcPr>
          <w:p w14:paraId="76A7E412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75.0</w:t>
            </w:r>
          </w:p>
        </w:tc>
        <w:tc>
          <w:tcPr>
            <w:tcW w:w="1080" w:type="dxa"/>
          </w:tcPr>
          <w:p w14:paraId="21E57BCE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15" w:type="dxa"/>
          </w:tcPr>
          <w:p w14:paraId="7BCB4BA6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89.7 (63.3–100)</w:t>
            </w:r>
          </w:p>
        </w:tc>
      </w:tr>
      <w:tr w:rsidR="00E362A2" w:rsidRPr="001B00E1" w14:paraId="2C5A3C1C" w14:textId="77777777" w:rsidTr="00F35351">
        <w:trPr>
          <w:trHeight w:val="307"/>
        </w:trPr>
        <w:tc>
          <w:tcPr>
            <w:tcW w:w="5305" w:type="dxa"/>
          </w:tcPr>
          <w:p w14:paraId="5447F999" w14:textId="77777777" w:rsidR="00E362A2" w:rsidRPr="001B00E1" w:rsidRDefault="00E362A2" w:rsidP="00343CB7">
            <w:pPr>
              <w:ind w:left="522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Households offered enrollment, % (range)</w:t>
            </w:r>
          </w:p>
        </w:tc>
        <w:tc>
          <w:tcPr>
            <w:tcW w:w="1980" w:type="dxa"/>
          </w:tcPr>
          <w:p w14:paraId="683F3E24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50.0 (26.7 – 63.6)</w:t>
            </w:r>
          </w:p>
        </w:tc>
        <w:tc>
          <w:tcPr>
            <w:tcW w:w="1800" w:type="dxa"/>
          </w:tcPr>
          <w:p w14:paraId="5D3FE9EE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51.5 (13.3–100)</w:t>
            </w:r>
          </w:p>
        </w:tc>
        <w:tc>
          <w:tcPr>
            <w:tcW w:w="1890" w:type="dxa"/>
          </w:tcPr>
          <w:p w14:paraId="77FE3D27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46.8 (40.9–52.6)</w:t>
            </w:r>
          </w:p>
        </w:tc>
        <w:tc>
          <w:tcPr>
            <w:tcW w:w="1170" w:type="dxa"/>
          </w:tcPr>
          <w:p w14:paraId="6F7CFE5F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14:paraId="2937706F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1815" w:type="dxa"/>
          </w:tcPr>
          <w:p w14:paraId="4EE117C8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50.0 (13.3–100)</w:t>
            </w:r>
          </w:p>
        </w:tc>
      </w:tr>
      <w:tr w:rsidR="00E362A2" w:rsidRPr="001B00E1" w14:paraId="2D83EC0B" w14:textId="77777777" w:rsidTr="00F35351">
        <w:trPr>
          <w:trHeight w:val="294"/>
        </w:trPr>
        <w:tc>
          <w:tcPr>
            <w:tcW w:w="5305" w:type="dxa"/>
          </w:tcPr>
          <w:p w14:paraId="1CC0B998" w14:textId="77777777" w:rsidR="00E362A2" w:rsidRPr="001B00E1" w:rsidRDefault="00E362A2" w:rsidP="00343CB7">
            <w:pPr>
              <w:ind w:left="792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Households that participated, % (range)</w:t>
            </w:r>
          </w:p>
        </w:tc>
        <w:tc>
          <w:tcPr>
            <w:tcW w:w="1980" w:type="dxa"/>
          </w:tcPr>
          <w:p w14:paraId="289CB145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66.7 (61.1 – 100)</w:t>
            </w:r>
          </w:p>
        </w:tc>
        <w:tc>
          <w:tcPr>
            <w:tcW w:w="1800" w:type="dxa"/>
          </w:tcPr>
          <w:p w14:paraId="1E496E9F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64.1 (37.5–100)</w:t>
            </w:r>
          </w:p>
        </w:tc>
        <w:tc>
          <w:tcPr>
            <w:tcW w:w="1890" w:type="dxa"/>
          </w:tcPr>
          <w:p w14:paraId="02259957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79.4 (70.0–88.9)</w:t>
            </w:r>
          </w:p>
        </w:tc>
        <w:tc>
          <w:tcPr>
            <w:tcW w:w="1170" w:type="dxa"/>
          </w:tcPr>
          <w:p w14:paraId="77784E55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66.7</w:t>
            </w:r>
          </w:p>
        </w:tc>
        <w:tc>
          <w:tcPr>
            <w:tcW w:w="1080" w:type="dxa"/>
          </w:tcPr>
          <w:p w14:paraId="5D6207C5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66.7</w:t>
            </w:r>
          </w:p>
        </w:tc>
        <w:tc>
          <w:tcPr>
            <w:tcW w:w="1815" w:type="dxa"/>
          </w:tcPr>
          <w:p w14:paraId="14D0E8E9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66.7 (37.5–100)</w:t>
            </w:r>
          </w:p>
        </w:tc>
      </w:tr>
      <w:tr w:rsidR="00E362A2" w:rsidRPr="001B00E1" w14:paraId="1E9A8FF4" w14:textId="77777777" w:rsidTr="00F35351">
        <w:trPr>
          <w:trHeight w:val="294"/>
        </w:trPr>
        <w:tc>
          <w:tcPr>
            <w:tcW w:w="5305" w:type="dxa"/>
          </w:tcPr>
          <w:p w14:paraId="39031AB8" w14:textId="77777777" w:rsidR="00E362A2" w:rsidRPr="001B00E1" w:rsidRDefault="00E362A2" w:rsidP="00343CB7">
            <w:pPr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Participants per household, median (range)</w:t>
            </w:r>
          </w:p>
        </w:tc>
        <w:tc>
          <w:tcPr>
            <w:tcW w:w="1980" w:type="dxa"/>
          </w:tcPr>
          <w:p w14:paraId="4724CB93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1 (1 – 5)</w:t>
            </w:r>
          </w:p>
        </w:tc>
        <w:tc>
          <w:tcPr>
            <w:tcW w:w="1800" w:type="dxa"/>
          </w:tcPr>
          <w:p w14:paraId="69A2B239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1 (1 – 6)</w:t>
            </w:r>
          </w:p>
        </w:tc>
        <w:tc>
          <w:tcPr>
            <w:tcW w:w="1890" w:type="dxa"/>
          </w:tcPr>
          <w:p w14:paraId="219C1D29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1 (1 – 3)</w:t>
            </w:r>
          </w:p>
        </w:tc>
        <w:tc>
          <w:tcPr>
            <w:tcW w:w="1170" w:type="dxa"/>
          </w:tcPr>
          <w:p w14:paraId="7D17694F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3 (2 – 4)</w:t>
            </w:r>
          </w:p>
        </w:tc>
        <w:tc>
          <w:tcPr>
            <w:tcW w:w="1080" w:type="dxa"/>
          </w:tcPr>
          <w:p w14:paraId="062FFD7B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1 (1 – 2)</w:t>
            </w:r>
          </w:p>
        </w:tc>
        <w:tc>
          <w:tcPr>
            <w:tcW w:w="1815" w:type="dxa"/>
          </w:tcPr>
          <w:p w14:paraId="7A1BFBDF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1 (1 – 6)</w:t>
            </w:r>
          </w:p>
        </w:tc>
      </w:tr>
      <w:tr w:rsidR="00E362A2" w:rsidRPr="001B00E1" w14:paraId="71EB88A1" w14:textId="77777777" w:rsidTr="00F35351">
        <w:trPr>
          <w:trHeight w:val="294"/>
        </w:trPr>
        <w:tc>
          <w:tcPr>
            <w:tcW w:w="5305" w:type="dxa"/>
          </w:tcPr>
          <w:p w14:paraId="2A913385" w14:textId="77777777" w:rsidR="00E362A2" w:rsidRPr="001B00E1" w:rsidRDefault="00E362A2" w:rsidP="00343CB7">
            <w:pPr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Participants per cluster, median (range)</w:t>
            </w:r>
          </w:p>
        </w:tc>
        <w:tc>
          <w:tcPr>
            <w:tcW w:w="1980" w:type="dxa"/>
          </w:tcPr>
          <w:p w14:paraId="1F7251C8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16 (7 – 23)</w:t>
            </w:r>
          </w:p>
        </w:tc>
        <w:tc>
          <w:tcPr>
            <w:tcW w:w="1800" w:type="dxa"/>
          </w:tcPr>
          <w:p w14:paraId="7FB81EAC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10 (2 – 17)</w:t>
            </w:r>
          </w:p>
        </w:tc>
        <w:tc>
          <w:tcPr>
            <w:tcW w:w="1890" w:type="dxa"/>
          </w:tcPr>
          <w:p w14:paraId="557DB574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12 (11 – 13)</w:t>
            </w:r>
          </w:p>
        </w:tc>
        <w:tc>
          <w:tcPr>
            <w:tcW w:w="1170" w:type="dxa"/>
          </w:tcPr>
          <w:p w14:paraId="52A6FE7A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14:paraId="6B7D7844" w14:textId="77777777" w:rsidR="00E362A2" w:rsidRPr="001B00E1" w:rsidRDefault="00E362A2" w:rsidP="00343CB7">
            <w:pPr>
              <w:tabs>
                <w:tab w:val="left" w:pos="1346"/>
              </w:tabs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5" w:type="dxa"/>
          </w:tcPr>
          <w:p w14:paraId="477BC2C3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11 (2 – 23)</w:t>
            </w:r>
          </w:p>
        </w:tc>
      </w:tr>
      <w:tr w:rsidR="00E362A2" w:rsidRPr="001B00E1" w14:paraId="77C57828" w14:textId="77777777" w:rsidTr="00F35351">
        <w:trPr>
          <w:trHeight w:val="294"/>
        </w:trPr>
        <w:tc>
          <w:tcPr>
            <w:tcW w:w="5305" w:type="dxa"/>
          </w:tcPr>
          <w:p w14:paraId="73E587DD" w14:textId="77777777" w:rsidR="00E362A2" w:rsidRPr="001B00E1" w:rsidRDefault="00E362A2" w:rsidP="00343CB7">
            <w:pPr>
              <w:rPr>
                <w:rFonts w:ascii="Times New Roman" w:hAnsi="Times New Roman" w:cs="Times New Roman"/>
                <w:b/>
              </w:rPr>
            </w:pPr>
            <w:r w:rsidRPr="001B00E1">
              <w:rPr>
                <w:rFonts w:ascii="Times New Roman" w:hAnsi="Times New Roman" w:cs="Times New Roman"/>
                <w:b/>
              </w:rPr>
              <w:t>Individuals who agreed to participate, N</w:t>
            </w:r>
          </w:p>
        </w:tc>
        <w:tc>
          <w:tcPr>
            <w:tcW w:w="1980" w:type="dxa"/>
          </w:tcPr>
          <w:p w14:paraId="479A2165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0E1"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1800" w:type="dxa"/>
          </w:tcPr>
          <w:p w14:paraId="7F00001F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0E1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890" w:type="dxa"/>
          </w:tcPr>
          <w:p w14:paraId="3E119CB3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0E1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70" w:type="dxa"/>
          </w:tcPr>
          <w:p w14:paraId="44B5472F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0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</w:tcPr>
          <w:p w14:paraId="7978ACD7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0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15" w:type="dxa"/>
          </w:tcPr>
          <w:p w14:paraId="258B9AFC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0E1">
              <w:rPr>
                <w:rFonts w:ascii="Times New Roman" w:hAnsi="Times New Roman" w:cs="Times New Roman"/>
                <w:b/>
              </w:rPr>
              <w:t>250</w:t>
            </w:r>
          </w:p>
        </w:tc>
      </w:tr>
      <w:tr w:rsidR="00E362A2" w:rsidRPr="001B00E1" w14:paraId="10987745" w14:textId="77777777" w:rsidTr="00F35351">
        <w:trPr>
          <w:trHeight w:val="307"/>
        </w:trPr>
        <w:tc>
          <w:tcPr>
            <w:tcW w:w="5305" w:type="dxa"/>
          </w:tcPr>
          <w:p w14:paraId="6D9F82BA" w14:textId="77777777" w:rsidR="00E362A2" w:rsidRPr="001B00E1" w:rsidRDefault="00E362A2" w:rsidP="00343CB7">
            <w:pPr>
              <w:ind w:left="270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Laboratory-positive participants, n (%)</w:t>
            </w:r>
          </w:p>
        </w:tc>
        <w:tc>
          <w:tcPr>
            <w:tcW w:w="1980" w:type="dxa"/>
          </w:tcPr>
          <w:p w14:paraId="1B66FE80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40 (29.2)</w:t>
            </w:r>
          </w:p>
        </w:tc>
        <w:tc>
          <w:tcPr>
            <w:tcW w:w="1800" w:type="dxa"/>
          </w:tcPr>
          <w:p w14:paraId="593E41C0" w14:textId="5446D77B" w:rsidR="00E362A2" w:rsidRPr="001B00E1" w:rsidRDefault="00F35351" w:rsidP="00343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(24.</w:t>
            </w:r>
            <w:bookmarkStart w:id="0" w:name="_GoBack"/>
            <w:bookmarkEnd w:id="0"/>
            <w:r w:rsidR="00E362A2" w:rsidRPr="001B00E1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890" w:type="dxa"/>
          </w:tcPr>
          <w:p w14:paraId="446D4701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9 (37.5)</w:t>
            </w:r>
          </w:p>
        </w:tc>
        <w:tc>
          <w:tcPr>
            <w:tcW w:w="1170" w:type="dxa"/>
          </w:tcPr>
          <w:p w14:paraId="2F49CC8D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4 (66.7)</w:t>
            </w:r>
          </w:p>
        </w:tc>
        <w:tc>
          <w:tcPr>
            <w:tcW w:w="1080" w:type="dxa"/>
          </w:tcPr>
          <w:p w14:paraId="3D39193C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2 (40.0)</w:t>
            </w:r>
          </w:p>
        </w:tc>
        <w:tc>
          <w:tcPr>
            <w:tcW w:w="1815" w:type="dxa"/>
          </w:tcPr>
          <w:p w14:paraId="5289EEBC" w14:textId="77777777" w:rsidR="00E362A2" w:rsidRPr="001B00E1" w:rsidRDefault="00E362A2" w:rsidP="00343CB7">
            <w:pPr>
              <w:jc w:val="center"/>
              <w:rPr>
                <w:rFonts w:ascii="Times New Roman" w:hAnsi="Times New Roman" w:cs="Times New Roman"/>
              </w:rPr>
            </w:pPr>
            <w:r w:rsidRPr="001B00E1">
              <w:rPr>
                <w:rFonts w:ascii="Times New Roman" w:hAnsi="Times New Roman" w:cs="Times New Roman"/>
              </w:rPr>
              <w:t>74 (29.6)</w:t>
            </w:r>
          </w:p>
        </w:tc>
      </w:tr>
    </w:tbl>
    <w:p w14:paraId="3300BC6C" w14:textId="77777777" w:rsidR="000B10CE" w:rsidRPr="001B00E1" w:rsidRDefault="000B10CE" w:rsidP="00F6153A">
      <w:pPr>
        <w:rPr>
          <w:rFonts w:ascii="Times New Roman" w:hAnsi="Times New Roman" w:cs="Times New Roman"/>
          <w:b/>
        </w:rPr>
      </w:pPr>
    </w:p>
    <w:sectPr w:rsidR="000B10CE" w:rsidRPr="001B00E1" w:rsidSect="00BC43EF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A2"/>
    <w:rsid w:val="000B10CE"/>
    <w:rsid w:val="001822F9"/>
    <w:rsid w:val="001850F4"/>
    <w:rsid w:val="001B00E1"/>
    <w:rsid w:val="002203DF"/>
    <w:rsid w:val="002272AB"/>
    <w:rsid w:val="003C7B56"/>
    <w:rsid w:val="004C7809"/>
    <w:rsid w:val="00540190"/>
    <w:rsid w:val="00555395"/>
    <w:rsid w:val="00625BDF"/>
    <w:rsid w:val="006E2D6C"/>
    <w:rsid w:val="007078FA"/>
    <w:rsid w:val="00744D56"/>
    <w:rsid w:val="0079123F"/>
    <w:rsid w:val="007C15EA"/>
    <w:rsid w:val="008B5F02"/>
    <w:rsid w:val="008C3641"/>
    <w:rsid w:val="00A15715"/>
    <w:rsid w:val="00A335DB"/>
    <w:rsid w:val="00AA1F25"/>
    <w:rsid w:val="00B40605"/>
    <w:rsid w:val="00BD168C"/>
    <w:rsid w:val="00C06278"/>
    <w:rsid w:val="00CD5D51"/>
    <w:rsid w:val="00DF78B5"/>
    <w:rsid w:val="00E27ED9"/>
    <w:rsid w:val="00E362A2"/>
    <w:rsid w:val="00EC0FD2"/>
    <w:rsid w:val="00F35351"/>
    <w:rsid w:val="00F6153A"/>
    <w:rsid w:val="00F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8CCB"/>
  <w15:docId w15:val="{D32ACCD8-89AA-4DEC-B734-68FB43D4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2A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2A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62A2"/>
    <w:pPr>
      <w:spacing w:after="0" w:line="240" w:lineRule="auto"/>
    </w:pPr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E362A2"/>
  </w:style>
  <w:style w:type="paragraph" w:styleId="BalloonText">
    <w:name w:val="Balloon Text"/>
    <w:basedOn w:val="Normal"/>
    <w:link w:val="BalloonTextChar"/>
    <w:uiPriority w:val="99"/>
    <w:semiHidden/>
    <w:unhideWhenUsed/>
    <w:rsid w:val="001B00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0E1"/>
    <w:rPr>
      <w:rFonts w:ascii="Segoe UI" w:eastAsiaTheme="minorEastAsia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540190"/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40190"/>
    <w:rPr>
      <w:rFonts w:ascii="Cambria" w:eastAsiaTheme="minorEastAsia" w:hAnsi="Cambria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Sharp, Tyler M. (CDC/OID/NCEZID)</dc:creator>
  <cp:lastModifiedBy>Sharp, Tyler M. (CDC/OID/NCEZID)</cp:lastModifiedBy>
  <cp:revision>3</cp:revision>
  <dcterms:created xsi:type="dcterms:W3CDTF">2016-10-04T14:41:00Z</dcterms:created>
  <dcterms:modified xsi:type="dcterms:W3CDTF">2016-10-04T14:42:00Z</dcterms:modified>
</cp:coreProperties>
</file>