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AAC3D" w14:textId="00B2AB4D" w:rsidR="003E481E" w:rsidRPr="00D76B67" w:rsidRDefault="00B4297D" w:rsidP="003E481E">
      <w:pPr>
        <w:spacing w:after="0" w:line="240" w:lineRule="auto"/>
        <w:rPr>
          <w:rFonts w:cs="Times New Roman"/>
          <w:b/>
          <w:color w:val="000000" w:themeColor="text1"/>
          <w:sz w:val="20"/>
          <w:szCs w:val="20"/>
        </w:rPr>
      </w:pPr>
      <w:r w:rsidRPr="00D76B67">
        <w:rPr>
          <w:rFonts w:cs="Times New Roman"/>
          <w:b/>
          <w:color w:val="000000" w:themeColor="text1"/>
          <w:sz w:val="20"/>
          <w:szCs w:val="20"/>
        </w:rPr>
        <w:t xml:space="preserve">SUPPLEMENTAL </w:t>
      </w:r>
      <w:r w:rsidR="003E481E" w:rsidRPr="00D76B67">
        <w:rPr>
          <w:rFonts w:cs="Times New Roman"/>
          <w:b/>
          <w:color w:val="000000" w:themeColor="text1"/>
          <w:sz w:val="20"/>
          <w:szCs w:val="20"/>
        </w:rPr>
        <w:t xml:space="preserve">TABLE. Reports of </w:t>
      </w:r>
      <w:r w:rsidR="00FF2758">
        <w:rPr>
          <w:rFonts w:cs="Times New Roman"/>
          <w:b/>
          <w:color w:val="000000" w:themeColor="text1"/>
          <w:sz w:val="20"/>
          <w:szCs w:val="20"/>
        </w:rPr>
        <w:t xml:space="preserve">congenital </w:t>
      </w:r>
      <w:r w:rsidR="003E481E" w:rsidRPr="00D76B67">
        <w:rPr>
          <w:rFonts w:cs="Times New Roman"/>
          <w:b/>
          <w:color w:val="000000" w:themeColor="text1"/>
          <w:sz w:val="20"/>
          <w:szCs w:val="20"/>
        </w:rPr>
        <w:t>microcephaly</w:t>
      </w:r>
      <w:r w:rsidR="00CF71EB">
        <w:rPr>
          <w:rFonts w:cs="Times New Roman"/>
          <w:b/>
          <w:color w:val="000000" w:themeColor="text1"/>
          <w:sz w:val="20"/>
          <w:szCs w:val="20"/>
        </w:rPr>
        <w:t>*</w:t>
      </w:r>
      <w:r w:rsidR="003E481E" w:rsidRPr="00D76B67">
        <w:rPr>
          <w:rFonts w:cs="Times New Roman"/>
          <w:b/>
          <w:color w:val="000000" w:themeColor="text1"/>
          <w:sz w:val="20"/>
          <w:szCs w:val="20"/>
        </w:rPr>
        <w:t xml:space="preserve"> during epidemiologic weeks 5–45</w:t>
      </w:r>
      <w:r w:rsidR="00F10777" w:rsidRPr="00D76B67">
        <w:rPr>
          <w:rFonts w:cs="Times New Roman"/>
          <w:b/>
          <w:color w:val="000000" w:themeColor="text1"/>
          <w:sz w:val="20"/>
          <w:szCs w:val="20"/>
        </w:rPr>
        <w:t xml:space="preserve"> (January 31</w:t>
      </w:r>
      <w:r w:rsidRPr="00D76B67">
        <w:rPr>
          <w:rFonts w:cs="Times New Roman"/>
          <w:b/>
          <w:color w:val="000000" w:themeColor="text1"/>
          <w:sz w:val="20"/>
          <w:szCs w:val="20"/>
        </w:rPr>
        <w:t>–</w:t>
      </w:r>
      <w:r w:rsidR="00F10777" w:rsidRPr="00D76B67">
        <w:rPr>
          <w:rFonts w:cs="Times New Roman"/>
          <w:b/>
          <w:color w:val="000000" w:themeColor="text1"/>
          <w:sz w:val="20"/>
          <w:szCs w:val="20"/>
        </w:rPr>
        <w:t>November 12</w:t>
      </w:r>
      <w:r w:rsidR="00FE697B" w:rsidRPr="00D76B67">
        <w:rPr>
          <w:rFonts w:cs="Times New Roman"/>
          <w:b/>
          <w:color w:val="000000" w:themeColor="text1"/>
          <w:sz w:val="20"/>
          <w:szCs w:val="20"/>
        </w:rPr>
        <w:t>)</w:t>
      </w:r>
      <w:r w:rsidR="003E481E" w:rsidRPr="00D76B67">
        <w:rPr>
          <w:rFonts w:cs="Times New Roman"/>
          <w:b/>
          <w:color w:val="000000" w:themeColor="text1"/>
          <w:sz w:val="20"/>
          <w:szCs w:val="20"/>
        </w:rPr>
        <w:t>, by reporting area — Colombia, 2016</w:t>
      </w:r>
    </w:p>
    <w:tbl>
      <w:tblPr>
        <w:tblW w:w="46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126"/>
        <w:gridCol w:w="1984"/>
        <w:gridCol w:w="2087"/>
      </w:tblGrid>
      <w:tr w:rsidR="003E481E" w:rsidRPr="000257F7" w14:paraId="61391BFD" w14:textId="77777777" w:rsidTr="00035CED">
        <w:trPr>
          <w:trHeight w:val="2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5330" w14:textId="77777777" w:rsidR="003E481E" w:rsidRPr="00A036BB" w:rsidRDefault="003E481E" w:rsidP="00035C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</w:pPr>
            <w:proofErr w:type="spellStart"/>
            <w:r w:rsidRPr="00A036BB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  <w:t>Reporting</w:t>
            </w:r>
            <w:proofErr w:type="spellEnd"/>
            <w:r w:rsidRPr="00A036BB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  <w:t xml:space="preserve"> </w:t>
            </w:r>
            <w:proofErr w:type="spellStart"/>
            <w:r w:rsidRPr="00A036BB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  <w:t>area</w:t>
            </w:r>
            <w:proofErr w:type="spellEnd"/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26AA" w14:textId="22D7CE24" w:rsidR="003E481E" w:rsidRPr="00A036BB" w:rsidRDefault="003E481E" w:rsidP="00035C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A036BB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 xml:space="preserve">No. </w:t>
            </w:r>
            <w:r w:rsidR="00D76B67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 xml:space="preserve">of </w:t>
            </w:r>
            <w:r w:rsidRPr="00A036BB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microcephaly cases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2A83" w14:textId="6349BF1C" w:rsidR="003E481E" w:rsidRPr="00A036BB" w:rsidRDefault="003E481E" w:rsidP="00035C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</w:pPr>
            <w:r w:rsidRPr="00A036BB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  <w:t>No.</w:t>
            </w:r>
            <w:r w:rsidR="00D76B67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  <w:t xml:space="preserve"> of</w:t>
            </w:r>
            <w:r w:rsidRPr="00A036BB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  <w:t xml:space="preserve"> </w:t>
            </w:r>
            <w:proofErr w:type="spellStart"/>
            <w:r w:rsidRPr="00A036BB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  <w:t>live</w:t>
            </w:r>
            <w:proofErr w:type="spellEnd"/>
            <w:r w:rsidRPr="00A036BB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  <w:t xml:space="preserve"> </w:t>
            </w:r>
            <w:proofErr w:type="spellStart"/>
            <w:r w:rsidRPr="00A036BB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  <w:t>births</w:t>
            </w:r>
            <w:proofErr w:type="spellEnd"/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CCDD" w14:textId="77777777" w:rsidR="003E481E" w:rsidRPr="00A036BB" w:rsidRDefault="003E481E" w:rsidP="00035C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A036BB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Microcephaly cases per 10,000 live births</w:t>
            </w:r>
          </w:p>
        </w:tc>
      </w:tr>
      <w:tr w:rsidR="00D33345" w:rsidRPr="000257F7" w14:paraId="49AC87CE" w14:textId="77777777" w:rsidTr="00106A02">
        <w:trPr>
          <w:trHeight w:val="2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B3B7" w14:textId="369BD057" w:rsidR="00D33345" w:rsidRPr="00A0402C" w:rsidRDefault="00D33345" w:rsidP="00D333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 w:rsidRPr="00A0402C"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  <w:t>Amazonas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6885" w14:textId="11C4E08F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8584" w14:textId="48E795BB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695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EF291" w14:textId="77680138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28.8</w:t>
            </w:r>
          </w:p>
        </w:tc>
      </w:tr>
      <w:tr w:rsidR="00D33345" w:rsidRPr="000257F7" w14:paraId="407CD77F" w14:textId="77777777" w:rsidTr="00106A02">
        <w:trPr>
          <w:trHeight w:val="2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CF96" w14:textId="129460B7" w:rsidR="00D33345" w:rsidRPr="00A0402C" w:rsidRDefault="00D33345" w:rsidP="00D333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 w:rsidRPr="00A0402C"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  <w:t>Antioquia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A0F4" w14:textId="6C03BCD3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AD66" w14:textId="666FD1AD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58,541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9E617" w14:textId="6ACBD0C2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4.1</w:t>
            </w:r>
          </w:p>
        </w:tc>
      </w:tr>
      <w:tr w:rsidR="00D33345" w:rsidRPr="000257F7" w14:paraId="12C944AA" w14:textId="77777777" w:rsidTr="00D33345">
        <w:trPr>
          <w:trHeight w:val="2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067F" w14:textId="4B313702" w:rsidR="00D33345" w:rsidRPr="00A0402C" w:rsidRDefault="00D33345" w:rsidP="00D333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 w:rsidRPr="00A0402C"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  <w:t>Arauca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E411" w14:textId="2814866F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4747" w14:textId="36760FCA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3,266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E463D" w14:textId="6A488C73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</w:tr>
      <w:tr w:rsidR="00D33345" w:rsidRPr="000257F7" w14:paraId="1B6DBB20" w14:textId="77777777" w:rsidTr="00D33345">
        <w:trPr>
          <w:trHeight w:val="2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F191" w14:textId="3A1827A3" w:rsidR="00D33345" w:rsidRPr="00A0402C" w:rsidRDefault="00D33345" w:rsidP="00D333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 w:rsidRPr="003D1C1F"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  <w:t>Atlántico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3047" w14:textId="7C411055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DD26" w14:textId="671C970B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30,604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FCDF9" w14:textId="4EDB7F1A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10.1</w:t>
            </w:r>
          </w:p>
        </w:tc>
      </w:tr>
      <w:tr w:rsidR="00D33345" w:rsidRPr="000257F7" w14:paraId="7E770E9C" w14:textId="77777777" w:rsidTr="00D33345">
        <w:trPr>
          <w:trHeight w:val="2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8327" w14:textId="080575DE" w:rsidR="00D33345" w:rsidRPr="00A0402C" w:rsidRDefault="00D33345" w:rsidP="00D333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 w:rsidRPr="00A0402C"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  <w:t>Bogotá, D.C.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68C7" w14:textId="55A7D6D2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6C90" w14:textId="22E90FFB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77,754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B17" w14:textId="6216D3EB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5.8</w:t>
            </w:r>
          </w:p>
        </w:tc>
      </w:tr>
      <w:tr w:rsidR="00D33345" w:rsidRPr="000257F7" w14:paraId="2CD708FB" w14:textId="77777777" w:rsidTr="00D33345">
        <w:trPr>
          <w:trHeight w:val="2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6BC9" w14:textId="6F0D31F6" w:rsidR="00D33345" w:rsidRPr="00A0402C" w:rsidRDefault="00D33345" w:rsidP="00D333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 w:rsidRPr="00A0402C"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  <w:t>Bolívar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D442" w14:textId="20CCC001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EACD" w14:textId="69EEB3D6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25,940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E9A02" w14:textId="057611E8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10.0</w:t>
            </w:r>
          </w:p>
        </w:tc>
      </w:tr>
      <w:tr w:rsidR="00D33345" w:rsidRPr="000257F7" w14:paraId="06FFD2B5" w14:textId="77777777" w:rsidTr="00106A02">
        <w:trPr>
          <w:trHeight w:val="2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5F3F" w14:textId="1D9999BF" w:rsidR="00D33345" w:rsidRPr="00A0402C" w:rsidRDefault="00D33345" w:rsidP="00D333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Boyacá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DA76" w14:textId="28ABEB29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D442" w14:textId="66695544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11,993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2B753" w14:textId="71F8F594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4.2</w:t>
            </w:r>
          </w:p>
        </w:tc>
      </w:tr>
      <w:tr w:rsidR="00D33345" w:rsidRPr="000257F7" w14:paraId="50908FFA" w14:textId="77777777" w:rsidTr="00106A02">
        <w:trPr>
          <w:trHeight w:val="2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1E48" w14:textId="76F233D6" w:rsidR="00D33345" w:rsidRPr="00A0402C" w:rsidRDefault="00D33345" w:rsidP="00D333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Caldas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704B" w14:textId="44BB895C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D9AA" w14:textId="6991688F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7,476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048AA" w14:textId="0A65237F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5.4</w:t>
            </w:r>
          </w:p>
        </w:tc>
      </w:tr>
      <w:tr w:rsidR="00D33345" w:rsidRPr="000257F7" w14:paraId="5C28AB92" w14:textId="77777777" w:rsidTr="00106A02">
        <w:trPr>
          <w:trHeight w:val="2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4B27" w14:textId="650F880A" w:rsidR="00D33345" w:rsidRPr="00A0402C" w:rsidRDefault="00D33345" w:rsidP="00D333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Caquetá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EF23" w14:textId="1FE2DDB9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CEA2" w14:textId="5D60BFDF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5,290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EA2E" w14:textId="63ADBAA8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17.0</w:t>
            </w:r>
          </w:p>
        </w:tc>
      </w:tr>
      <w:tr w:rsidR="00D33345" w:rsidRPr="000257F7" w14:paraId="197A95BD" w14:textId="77777777" w:rsidTr="00106A02">
        <w:trPr>
          <w:trHeight w:val="2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D71C" w14:textId="1ADEA769" w:rsidR="00D33345" w:rsidRPr="00A0402C" w:rsidRDefault="00D33345" w:rsidP="00D333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Casanare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0333" w14:textId="6AC91B98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6D95" w14:textId="403475C1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4,836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6AD7F" w14:textId="3796375E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26.9</w:t>
            </w:r>
          </w:p>
        </w:tc>
      </w:tr>
      <w:tr w:rsidR="00D33345" w:rsidRPr="000257F7" w14:paraId="16AEC1F4" w14:textId="77777777" w:rsidTr="00106A02">
        <w:trPr>
          <w:trHeight w:val="2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3AC5" w14:textId="18D6EB37" w:rsidR="00D33345" w:rsidRPr="00A0402C" w:rsidRDefault="00D33345" w:rsidP="00D333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Cauca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5981" w14:textId="080A5D33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7DB6" w14:textId="10A61432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14,078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F6C69" w14:textId="4E616B26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7.1</w:t>
            </w:r>
          </w:p>
        </w:tc>
      </w:tr>
      <w:tr w:rsidR="00D33345" w:rsidRPr="000257F7" w14:paraId="6F357D65" w14:textId="77777777" w:rsidTr="00D33345">
        <w:trPr>
          <w:trHeight w:val="2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5DE5" w14:textId="3E31078C" w:rsidR="00D33345" w:rsidRPr="00A0402C" w:rsidRDefault="00D33345" w:rsidP="00D333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 w:rsidRPr="00A0402C"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  <w:t>C</w:t>
            </w:r>
            <w:r w:rsidR="003D1C1F">
              <w:rPr>
                <w:rFonts w:cs="Times New Roman"/>
                <w:color w:val="000000" w:themeColor="text1"/>
                <w:sz w:val="20"/>
                <w:szCs w:val="20"/>
                <w:lang w:val="es-CO" w:eastAsia="es-CO"/>
              </w:rPr>
              <w:t>e</w:t>
            </w:r>
            <w:r w:rsidRPr="00A0402C"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  <w:t>sar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F322" w14:textId="0A58785C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2A20" w14:textId="7F0E15F1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15,235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61877" w14:textId="5A6CCB6A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19.7</w:t>
            </w:r>
          </w:p>
        </w:tc>
      </w:tr>
      <w:tr w:rsidR="00D33345" w:rsidRPr="000257F7" w14:paraId="5F09E4AD" w14:textId="77777777" w:rsidTr="00D33345">
        <w:trPr>
          <w:trHeight w:val="2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88AB" w14:textId="6FDAC3F0" w:rsidR="00D33345" w:rsidRPr="00A0402C" w:rsidRDefault="00D33345" w:rsidP="00D333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 w:rsidRPr="00A0402C"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  <w:t>Choc</w:t>
            </w:r>
            <w:r w:rsidRPr="00A0402C">
              <w:rPr>
                <w:rFonts w:cs="Times New Roman"/>
                <w:color w:val="000000" w:themeColor="text1"/>
                <w:sz w:val="20"/>
                <w:szCs w:val="20"/>
                <w:lang w:val="es-CO" w:eastAsia="es-CO"/>
              </w:rPr>
              <w:t>ó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076D" w14:textId="1AC48DEF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AB73" w14:textId="0185B6EF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4,072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3463A" w14:textId="01C7AFA4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7.4</w:t>
            </w:r>
          </w:p>
        </w:tc>
      </w:tr>
      <w:tr w:rsidR="00D33345" w:rsidRPr="000257F7" w14:paraId="27E5EFF9" w14:textId="77777777" w:rsidTr="00106A02">
        <w:trPr>
          <w:trHeight w:val="2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B73D" w14:textId="041F7862" w:rsidR="00D33345" w:rsidRPr="00A0402C" w:rsidRDefault="00D33345" w:rsidP="00D333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Córdoba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5256" w14:textId="465A0019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8968" w14:textId="05C29747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19,902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B1E4B" w14:textId="15322A41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16.6</w:t>
            </w:r>
          </w:p>
        </w:tc>
      </w:tr>
      <w:tr w:rsidR="00D33345" w:rsidRPr="000257F7" w14:paraId="502FADBE" w14:textId="77777777" w:rsidTr="00106A02">
        <w:trPr>
          <w:trHeight w:val="2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FD4C" w14:textId="408BC094" w:rsidR="00D33345" w:rsidRPr="00A0402C" w:rsidRDefault="00D33345" w:rsidP="00D333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Cundinamarca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1E48" w14:textId="4C67B3C0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898C" w14:textId="41679941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27,938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88E15" w14:textId="3E6F178C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5.4</w:t>
            </w:r>
          </w:p>
        </w:tc>
      </w:tr>
      <w:tr w:rsidR="00D33345" w:rsidRPr="000257F7" w14:paraId="42CAFA28" w14:textId="77777777" w:rsidTr="00106A02">
        <w:trPr>
          <w:trHeight w:val="2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4470" w14:textId="46E733E5" w:rsidR="00D33345" w:rsidRPr="00A0402C" w:rsidRDefault="00D33345" w:rsidP="00D333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Exterior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6489" w14:textId="2EBEB075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D289" w14:textId="6484514B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286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D816C" w14:textId="432F8D74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</w:tr>
      <w:tr w:rsidR="00D33345" w:rsidRPr="000257F7" w14:paraId="05CE7EC3" w14:textId="77777777" w:rsidTr="00106A02">
        <w:trPr>
          <w:trHeight w:val="2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A160" w14:textId="12526180" w:rsidR="00D33345" w:rsidRPr="00A0402C" w:rsidRDefault="00D33345" w:rsidP="00D333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Guainía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DFB5" w14:textId="7D73347A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D1BD" w14:textId="47B12960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435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EEEDD" w14:textId="728D27DB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</w:tr>
      <w:tr w:rsidR="00D33345" w:rsidRPr="000257F7" w14:paraId="725E0552" w14:textId="77777777" w:rsidTr="00106A02">
        <w:trPr>
          <w:trHeight w:val="2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6BA8" w14:textId="20E9FDC1" w:rsidR="00D33345" w:rsidRPr="00A0402C" w:rsidRDefault="00D33345" w:rsidP="00D333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  <w:sz w:val="20"/>
                <w:szCs w:val="20"/>
              </w:rPr>
              <w:t>Guaviare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0AF6" w14:textId="4BB88FC8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4DAC" w14:textId="0270CE1E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888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86BD8" w14:textId="3C9FFBF0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11.3</w:t>
            </w:r>
          </w:p>
        </w:tc>
      </w:tr>
      <w:tr w:rsidR="00D33345" w:rsidRPr="000257F7" w14:paraId="65017400" w14:textId="77777777" w:rsidTr="00106A02">
        <w:trPr>
          <w:trHeight w:val="2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2269" w14:textId="6090F204" w:rsidR="00D33345" w:rsidRPr="00A0402C" w:rsidRDefault="00D33345" w:rsidP="00D333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Huila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E74B" w14:textId="33A16D67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F738" w14:textId="52EEDC1D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15,282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90A6A" w14:textId="307F1A41" w:rsidR="00D33345" w:rsidRPr="00A0402C" w:rsidRDefault="00D33345" w:rsidP="00D3334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20.3</w:t>
            </w:r>
          </w:p>
        </w:tc>
      </w:tr>
      <w:tr w:rsidR="003D1C1F" w:rsidRPr="000257F7" w14:paraId="5BF6FA87" w14:textId="77777777" w:rsidTr="00106A02">
        <w:trPr>
          <w:trHeight w:val="2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7DB98" w14:textId="05D866FA" w:rsidR="003D1C1F" w:rsidRDefault="003D1C1F" w:rsidP="003D1C1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 Guajira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20C6" w14:textId="59F32CE8" w:rsidR="003D1C1F" w:rsidRDefault="003D1C1F" w:rsidP="003D1C1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61B80" w14:textId="610EA0F0" w:rsidR="003D1C1F" w:rsidRDefault="003D1C1F" w:rsidP="003D1C1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10,906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9F9F5" w14:textId="0940FD2B" w:rsidR="003D1C1F" w:rsidRDefault="003D1C1F" w:rsidP="003D1C1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11.9</w:t>
            </w:r>
          </w:p>
        </w:tc>
      </w:tr>
      <w:tr w:rsidR="003D1C1F" w:rsidRPr="000257F7" w14:paraId="55D9315C" w14:textId="77777777" w:rsidTr="00106A02">
        <w:trPr>
          <w:trHeight w:val="2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08A2" w14:textId="171F01AA" w:rsidR="003D1C1F" w:rsidRPr="00A0402C" w:rsidRDefault="003D1C1F" w:rsidP="003D1C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E028" w14:textId="1B8F8644" w:rsidR="003D1C1F" w:rsidRPr="00A0402C" w:rsidRDefault="003D1C1F" w:rsidP="003D1C1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25F1" w14:textId="6C1E9852" w:rsidR="003D1C1F" w:rsidRPr="00A0402C" w:rsidRDefault="003D1C1F" w:rsidP="003D1C1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15,613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B45FF" w14:textId="6CC675C7" w:rsidR="003D1C1F" w:rsidRPr="00A0402C" w:rsidRDefault="003D1C1F" w:rsidP="003D1C1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10.2</w:t>
            </w:r>
          </w:p>
        </w:tc>
      </w:tr>
      <w:tr w:rsidR="003D1C1F" w:rsidRPr="000257F7" w14:paraId="0231CA7D" w14:textId="77777777" w:rsidTr="00106A02">
        <w:trPr>
          <w:trHeight w:val="2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7BA7" w14:textId="14A13407" w:rsidR="003D1C1F" w:rsidRPr="00A0402C" w:rsidRDefault="003D1C1F" w:rsidP="003D1C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Meta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785B" w14:textId="0755B734" w:rsidR="003D1C1F" w:rsidRPr="00A0402C" w:rsidRDefault="003D1C1F" w:rsidP="003D1C1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07DD" w14:textId="7E620461" w:rsidR="003D1C1F" w:rsidRPr="00A0402C" w:rsidRDefault="003D1C1F" w:rsidP="003D1C1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11,760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F63BA" w14:textId="114EE9D0" w:rsidR="003D1C1F" w:rsidRPr="00A0402C" w:rsidRDefault="003D1C1F" w:rsidP="003D1C1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11.1</w:t>
            </w:r>
          </w:p>
        </w:tc>
      </w:tr>
      <w:tr w:rsidR="003D1C1F" w:rsidRPr="000257F7" w14:paraId="235C2988" w14:textId="77777777" w:rsidTr="00106A02">
        <w:trPr>
          <w:trHeight w:val="2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D0E3" w14:textId="1B6C8BAF" w:rsidR="003D1C1F" w:rsidRPr="00A0402C" w:rsidRDefault="003D1C1F" w:rsidP="003D1C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Nariño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6623" w14:textId="2E37781D" w:rsidR="003D1C1F" w:rsidRPr="00A0402C" w:rsidRDefault="003D1C1F" w:rsidP="003D1C1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3D1B" w14:textId="2107CB93" w:rsidR="003D1C1F" w:rsidRPr="00A0402C" w:rsidRDefault="003D1C1F" w:rsidP="003D1C1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13,865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32056" w14:textId="4319947A" w:rsidR="003D1C1F" w:rsidRPr="00A0402C" w:rsidRDefault="003D1C1F" w:rsidP="003D1C1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2.2</w:t>
            </w:r>
          </w:p>
        </w:tc>
      </w:tr>
      <w:tr w:rsidR="003D1C1F" w:rsidRPr="000257F7" w14:paraId="74ABBDD0" w14:textId="77777777" w:rsidTr="00106A02">
        <w:trPr>
          <w:trHeight w:val="2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1947" w14:textId="4761F080" w:rsidR="003D1C1F" w:rsidRPr="00A0402C" w:rsidRDefault="003D1C1F" w:rsidP="003D1C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Norte Santander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8E96" w14:textId="135432B9" w:rsidR="003D1C1F" w:rsidRPr="00A0402C" w:rsidRDefault="003D1C1F" w:rsidP="003D1C1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E983" w14:textId="202A9CFB" w:rsidR="003D1C1F" w:rsidRPr="00A0402C" w:rsidRDefault="003D1C1F" w:rsidP="003D1C1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15,869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CF1F8" w14:textId="1DD4FE63" w:rsidR="003D1C1F" w:rsidRPr="00A0402C" w:rsidRDefault="003D1C1F" w:rsidP="003D1C1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24.6</w:t>
            </w:r>
          </w:p>
        </w:tc>
      </w:tr>
      <w:tr w:rsidR="003D1C1F" w:rsidRPr="000257F7" w14:paraId="76307BEC" w14:textId="77777777" w:rsidTr="00106A02">
        <w:trPr>
          <w:trHeight w:val="2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C52D" w14:textId="0F2FCE18" w:rsidR="003D1C1F" w:rsidRPr="00A0402C" w:rsidRDefault="003D1C1F" w:rsidP="003D1C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Putumayo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4FD9" w14:textId="3802360D" w:rsidR="003D1C1F" w:rsidRPr="00A0402C" w:rsidRDefault="003D1C1F" w:rsidP="003D1C1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2573" w14:textId="47E06790" w:rsidR="003D1C1F" w:rsidRPr="00A0402C" w:rsidRDefault="003D1C1F" w:rsidP="003D1C1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3,241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FA316" w14:textId="06F1ED29" w:rsidR="003D1C1F" w:rsidRPr="00A0402C" w:rsidRDefault="003D1C1F" w:rsidP="003D1C1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6.2</w:t>
            </w:r>
          </w:p>
        </w:tc>
      </w:tr>
      <w:tr w:rsidR="003D1C1F" w:rsidRPr="000257F7" w14:paraId="5B271892" w14:textId="77777777" w:rsidTr="00106A02">
        <w:trPr>
          <w:trHeight w:val="2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1362" w14:textId="0A23FC50" w:rsidR="003D1C1F" w:rsidRPr="00A0402C" w:rsidRDefault="003D1C1F" w:rsidP="003D1C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Quindío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59D1" w14:textId="2193484E" w:rsidR="003D1C1F" w:rsidRPr="00A0402C" w:rsidRDefault="003D1C1F" w:rsidP="003D1C1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57C7" w14:textId="2A499781" w:rsidR="003D1C1F" w:rsidRPr="00A0402C" w:rsidRDefault="003D1C1F" w:rsidP="003D1C1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4,564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D579E" w14:textId="6445E80F" w:rsidR="003D1C1F" w:rsidRPr="00A0402C" w:rsidRDefault="003D1C1F" w:rsidP="003D1C1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2.2</w:t>
            </w:r>
          </w:p>
        </w:tc>
      </w:tr>
      <w:tr w:rsidR="003D1C1F" w:rsidRPr="000257F7" w14:paraId="44AC9C6B" w14:textId="77777777" w:rsidTr="00106A02">
        <w:trPr>
          <w:trHeight w:val="2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8085" w14:textId="68E46A21" w:rsidR="003D1C1F" w:rsidRPr="00A0402C" w:rsidRDefault="003D1C1F" w:rsidP="003D1C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Risaralda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1BDF" w14:textId="1DC8564C" w:rsidR="003D1C1F" w:rsidRPr="00A0402C" w:rsidRDefault="003D1C1F" w:rsidP="003D1C1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24A3" w14:textId="29A36113" w:rsidR="003D1C1F" w:rsidRPr="00A0402C" w:rsidRDefault="003D1C1F" w:rsidP="003D1C1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8,417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146FA" w14:textId="7BCFE9F8" w:rsidR="003D1C1F" w:rsidRPr="00A0402C" w:rsidRDefault="003D1C1F" w:rsidP="003D1C1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</w:tr>
      <w:tr w:rsidR="003D1C1F" w:rsidRPr="000257F7" w14:paraId="0EA00318" w14:textId="77777777" w:rsidTr="00106A02">
        <w:trPr>
          <w:trHeight w:val="2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862B" w14:textId="79FB592D" w:rsidR="003D1C1F" w:rsidRPr="00A0402C" w:rsidRDefault="003D1C1F" w:rsidP="003D1C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San Andr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é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 y Providencia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FC87" w14:textId="79AB358B" w:rsidR="003D1C1F" w:rsidRPr="00A0402C" w:rsidRDefault="003D1C1F" w:rsidP="003D1C1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D03C" w14:textId="38321AA5" w:rsidR="003D1C1F" w:rsidRPr="00A0402C" w:rsidRDefault="003D1C1F" w:rsidP="003D1C1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710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17E1D" w14:textId="7534FD3C" w:rsidR="003D1C1F" w:rsidRPr="00A0402C" w:rsidRDefault="003D1C1F" w:rsidP="003D1C1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28.2</w:t>
            </w:r>
          </w:p>
        </w:tc>
      </w:tr>
      <w:tr w:rsidR="003D1C1F" w:rsidRPr="000257F7" w14:paraId="043AC581" w14:textId="77777777" w:rsidTr="00106A02">
        <w:trPr>
          <w:trHeight w:val="2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5A0E" w14:textId="0CE3EA13" w:rsidR="003D1C1F" w:rsidRPr="00A0402C" w:rsidRDefault="003D1C1F" w:rsidP="003D1C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969D" w14:textId="1E97975F" w:rsidR="003D1C1F" w:rsidRPr="00A0402C" w:rsidRDefault="003D1C1F" w:rsidP="003D1C1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E279" w14:textId="3896E164" w:rsidR="003D1C1F" w:rsidRPr="00A0402C" w:rsidRDefault="003D1C1F" w:rsidP="003D1C1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23,364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502D6" w14:textId="0F5196EB" w:rsidR="003D1C1F" w:rsidRPr="00A0402C" w:rsidRDefault="003D1C1F" w:rsidP="003D1C1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8.6</w:t>
            </w:r>
          </w:p>
        </w:tc>
      </w:tr>
      <w:tr w:rsidR="003D1C1F" w:rsidRPr="000257F7" w14:paraId="33B20217" w14:textId="77777777" w:rsidTr="00106A02">
        <w:trPr>
          <w:trHeight w:val="2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9FB5" w14:textId="481763D4" w:rsidR="003D1C1F" w:rsidRPr="00A0402C" w:rsidRDefault="003D1C1F" w:rsidP="003D1C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Sucre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C548" w14:textId="445D872B" w:rsidR="003D1C1F" w:rsidRPr="00A0402C" w:rsidRDefault="003D1C1F" w:rsidP="003D1C1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55E4" w14:textId="53175D94" w:rsidR="003D1C1F" w:rsidRPr="00A0402C" w:rsidRDefault="003D1C1F" w:rsidP="003D1C1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10,791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AD389" w14:textId="426DD241" w:rsidR="003D1C1F" w:rsidRPr="00A0402C" w:rsidRDefault="003D1C1F" w:rsidP="003D1C1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18.5</w:t>
            </w:r>
          </w:p>
        </w:tc>
      </w:tr>
      <w:tr w:rsidR="003D1C1F" w:rsidRPr="000257F7" w14:paraId="52C7C091" w14:textId="77777777" w:rsidTr="00106A02">
        <w:trPr>
          <w:trHeight w:val="2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0598" w14:textId="0A27D924" w:rsidR="003D1C1F" w:rsidRPr="00A0402C" w:rsidRDefault="003D1C1F" w:rsidP="003D1C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Tolima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7EDF" w14:textId="35C1DF2B" w:rsidR="003D1C1F" w:rsidRPr="00A0402C" w:rsidRDefault="003D1C1F" w:rsidP="003D1C1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0502" w14:textId="699B4B16" w:rsidR="003D1C1F" w:rsidRPr="00A0402C" w:rsidRDefault="003D1C1F" w:rsidP="003D1C1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13,776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AE8F5" w14:textId="059C7C5D" w:rsidR="003D1C1F" w:rsidRPr="00A0402C" w:rsidRDefault="003D1C1F" w:rsidP="003D1C1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25.4</w:t>
            </w:r>
          </w:p>
        </w:tc>
      </w:tr>
      <w:tr w:rsidR="003D1C1F" w:rsidRPr="000257F7" w14:paraId="5D01A749" w14:textId="77777777" w:rsidTr="00106A02">
        <w:trPr>
          <w:trHeight w:val="2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520B" w14:textId="4CC93108" w:rsidR="003D1C1F" w:rsidRPr="00A0402C" w:rsidRDefault="003D1C1F" w:rsidP="003D1C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Valle de Cauca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41E4" w14:textId="5A59DAC7" w:rsidR="003D1C1F" w:rsidRPr="00A0402C" w:rsidRDefault="003D1C1F" w:rsidP="003D1C1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B61F" w14:textId="442AFB6E" w:rsidR="003D1C1F" w:rsidRPr="00A0402C" w:rsidRDefault="003D1C1F" w:rsidP="003D1C1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39,855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AAB7E" w14:textId="3FFC7D75" w:rsidR="003D1C1F" w:rsidRPr="00A0402C" w:rsidRDefault="003D1C1F" w:rsidP="003D1C1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7.5</w:t>
            </w:r>
          </w:p>
        </w:tc>
      </w:tr>
      <w:tr w:rsidR="003D1C1F" w:rsidRPr="000257F7" w14:paraId="074F8C78" w14:textId="77777777" w:rsidTr="00106A02">
        <w:trPr>
          <w:trHeight w:val="2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834C" w14:textId="5465CAD1" w:rsidR="003D1C1F" w:rsidRPr="00A0402C" w:rsidRDefault="003D1C1F" w:rsidP="003D1C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Vaupés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CF81" w14:textId="6022A18B" w:rsidR="003D1C1F" w:rsidRPr="00A0402C" w:rsidRDefault="003D1C1F" w:rsidP="003D1C1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59FC" w14:textId="2B9C47BC" w:rsidR="003D1C1F" w:rsidRPr="00A0402C" w:rsidRDefault="003D1C1F" w:rsidP="003D1C1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273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1F562" w14:textId="2578C2E7" w:rsidR="003D1C1F" w:rsidRPr="00A0402C" w:rsidRDefault="003D1C1F" w:rsidP="003D1C1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</w:tr>
      <w:tr w:rsidR="003D1C1F" w:rsidRPr="000257F7" w14:paraId="784409F6" w14:textId="77777777" w:rsidTr="00106A02">
        <w:trPr>
          <w:trHeight w:val="2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7F3C" w14:textId="24D9D5F6" w:rsidR="003D1C1F" w:rsidRPr="00A0402C" w:rsidRDefault="003D1C1F" w:rsidP="003D1C1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Vichada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D7A4" w14:textId="53F20121" w:rsidR="003D1C1F" w:rsidRPr="00A0402C" w:rsidRDefault="003D1C1F" w:rsidP="003D1C1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AD48" w14:textId="062222C3" w:rsidR="003D1C1F" w:rsidRPr="00A0402C" w:rsidRDefault="003D1C1F" w:rsidP="003D1C1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773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E82FD" w14:textId="669C4929" w:rsidR="003D1C1F" w:rsidRPr="00A0402C" w:rsidRDefault="003D1C1F" w:rsidP="003D1C1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</w:tr>
      <w:tr w:rsidR="003D1C1F" w:rsidRPr="000257F7" w14:paraId="778FC9B4" w14:textId="77777777" w:rsidTr="00106A02">
        <w:trPr>
          <w:trHeight w:val="2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0B57" w14:textId="14AF9E30" w:rsidR="003D1C1F" w:rsidRPr="00A0402C" w:rsidRDefault="003D1C1F" w:rsidP="003D1C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F4E1" w14:textId="30544751" w:rsidR="003D1C1F" w:rsidRPr="00D76B67" w:rsidRDefault="003D1C1F" w:rsidP="003D1C1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es-CO" w:eastAsia="es-CO"/>
              </w:rPr>
            </w:pPr>
            <w:r w:rsidRPr="00D76B67">
              <w:rPr>
                <w:rFonts w:ascii="Calibri" w:hAnsi="Calibri"/>
                <w:b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2146" w14:textId="2C40CAE4" w:rsidR="003D1C1F" w:rsidRPr="00D76B67" w:rsidRDefault="003D1C1F" w:rsidP="003D1C1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es-CO" w:eastAsia="es-CO"/>
              </w:rPr>
            </w:pPr>
            <w:r w:rsidRPr="00D76B67">
              <w:rPr>
                <w:rFonts w:ascii="Calibri" w:hAnsi="Calibri"/>
                <w:b/>
                <w:sz w:val="20"/>
                <w:szCs w:val="20"/>
              </w:rPr>
              <w:t>498,288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E437C" w14:textId="4CB445D9" w:rsidR="003D1C1F" w:rsidRPr="00D76B67" w:rsidRDefault="003D1C1F" w:rsidP="003D1C1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es-CO" w:eastAsia="es-CO"/>
              </w:rPr>
            </w:pPr>
            <w:r w:rsidRPr="00D76B67">
              <w:rPr>
                <w:rFonts w:ascii="Calibri" w:hAnsi="Calibri"/>
                <w:b/>
                <w:color w:val="000000"/>
              </w:rPr>
              <w:t>9.6</w:t>
            </w:r>
          </w:p>
        </w:tc>
      </w:tr>
    </w:tbl>
    <w:p w14:paraId="66339B9A" w14:textId="0AF64B19" w:rsidR="003E481E" w:rsidRPr="00A0402C" w:rsidRDefault="003E481E" w:rsidP="003E481E">
      <w:pPr>
        <w:spacing w:after="0" w:line="240" w:lineRule="auto"/>
        <w:rPr>
          <w:rFonts w:cs="Times New Roman"/>
          <w:b/>
          <w:color w:val="000000" w:themeColor="text1"/>
          <w:sz w:val="20"/>
          <w:szCs w:val="20"/>
        </w:rPr>
      </w:pPr>
      <w:r w:rsidRPr="00A0402C">
        <w:rPr>
          <w:rFonts w:cs="Times New Roman"/>
          <w:color w:val="000000" w:themeColor="text1"/>
          <w:sz w:val="20"/>
          <w:szCs w:val="20"/>
        </w:rPr>
        <w:t>*</w:t>
      </w:r>
      <w:r w:rsidR="00D76B67">
        <w:rPr>
          <w:rFonts w:cs="Times New Roman"/>
          <w:color w:val="000000" w:themeColor="text1"/>
          <w:sz w:val="20"/>
          <w:szCs w:val="20"/>
        </w:rPr>
        <w:t xml:space="preserve"> </w:t>
      </w:r>
      <w:r w:rsidR="00FF2758">
        <w:rPr>
          <w:szCs w:val="24"/>
        </w:rPr>
        <w:t>Congenital m</w:t>
      </w:r>
      <w:r w:rsidR="00FF2758" w:rsidRPr="00E514E7">
        <w:rPr>
          <w:szCs w:val="24"/>
        </w:rPr>
        <w:t>icroc</w:t>
      </w:r>
      <w:r w:rsidR="00FF2758">
        <w:rPr>
          <w:szCs w:val="24"/>
        </w:rPr>
        <w:t xml:space="preserve">ephaly in a newborn is </w:t>
      </w:r>
      <w:r w:rsidR="00FF2758" w:rsidRPr="00E514E7">
        <w:rPr>
          <w:szCs w:val="24"/>
        </w:rPr>
        <w:t>defined as head circumference less than the third percentile, compared with the normal standard adjusted for gestational age and sex</w:t>
      </w:r>
      <w:r w:rsidR="00FF2758">
        <w:rPr>
          <w:szCs w:val="24"/>
        </w:rPr>
        <w:t>. Table i</w:t>
      </w:r>
      <w:r w:rsidR="00FF2758" w:rsidRPr="00E514E7">
        <w:rPr>
          <w:szCs w:val="24"/>
        </w:rPr>
        <w:t>ncludes pregnancies ending during this period, regardless of Zika virus testing or pregnancy outcome (i.e., live births and pregnancy losses [spontaneous abortions, pregnancy terminations, and stillbirths combined]).</w:t>
      </w:r>
    </w:p>
    <w:p w14:paraId="64E54B3E" w14:textId="77777777" w:rsidR="003E481E" w:rsidRPr="00A0402C" w:rsidRDefault="003E481E" w:rsidP="003E481E">
      <w:pPr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</w:p>
    <w:p w14:paraId="4B8483BB" w14:textId="77777777" w:rsidR="003E481E" w:rsidRPr="00A0402C" w:rsidRDefault="003E481E" w:rsidP="003E481E">
      <w:pPr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</w:p>
    <w:p w14:paraId="35BE8097" w14:textId="77777777" w:rsidR="003E481E" w:rsidRPr="00A0402C" w:rsidRDefault="003E481E" w:rsidP="003E481E">
      <w:pPr>
        <w:rPr>
          <w:rFonts w:cs="Times New Roman"/>
          <w:color w:val="000000" w:themeColor="text1"/>
          <w:sz w:val="20"/>
          <w:szCs w:val="20"/>
        </w:rPr>
      </w:pPr>
      <w:r w:rsidRPr="00A0402C">
        <w:rPr>
          <w:rFonts w:cs="Times New Roman"/>
          <w:color w:val="000000" w:themeColor="text1"/>
          <w:sz w:val="20"/>
          <w:szCs w:val="20"/>
        </w:rPr>
        <w:fldChar w:fldCharType="begin"/>
      </w:r>
      <w:r w:rsidRPr="00A0402C">
        <w:rPr>
          <w:rFonts w:cs="Times New Roman"/>
          <w:color w:val="000000" w:themeColor="text1"/>
          <w:sz w:val="20"/>
          <w:szCs w:val="20"/>
        </w:rPr>
        <w:instrText xml:space="preserve"> ADDIN EN.REFLIST </w:instrText>
      </w:r>
      <w:r w:rsidRPr="00A0402C">
        <w:rPr>
          <w:rFonts w:cs="Times New Roman"/>
          <w:color w:val="000000" w:themeColor="text1"/>
          <w:sz w:val="20"/>
          <w:szCs w:val="20"/>
        </w:rPr>
        <w:fldChar w:fldCharType="end"/>
      </w:r>
    </w:p>
    <w:sectPr w:rsidR="003E481E" w:rsidRPr="00A0402C" w:rsidSect="006F751D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A1E77" w14:textId="77777777" w:rsidR="004F18C7" w:rsidRDefault="007A1C47">
      <w:pPr>
        <w:spacing w:after="0" w:line="240" w:lineRule="auto"/>
      </w:pPr>
      <w:r>
        <w:separator/>
      </w:r>
    </w:p>
  </w:endnote>
  <w:endnote w:type="continuationSeparator" w:id="0">
    <w:p w14:paraId="51567FDA" w14:textId="77777777" w:rsidR="004F18C7" w:rsidRDefault="007A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B6AF8" w14:textId="77777777" w:rsidR="00561249" w:rsidRDefault="00981D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B25AF" w14:textId="77777777" w:rsidR="004F18C7" w:rsidRDefault="007A1C47">
      <w:pPr>
        <w:spacing w:after="0" w:line="240" w:lineRule="auto"/>
      </w:pPr>
      <w:r>
        <w:separator/>
      </w:r>
    </w:p>
  </w:footnote>
  <w:footnote w:type="continuationSeparator" w:id="0">
    <w:p w14:paraId="2469D5D1" w14:textId="77777777" w:rsidR="004F18C7" w:rsidRDefault="007A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EAB2F" w14:textId="604DA34B" w:rsidR="00561249" w:rsidRDefault="00981D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1E"/>
    <w:rsid w:val="00106A02"/>
    <w:rsid w:val="00261E32"/>
    <w:rsid w:val="003D1C1F"/>
    <w:rsid w:val="003E481E"/>
    <w:rsid w:val="004C4D1D"/>
    <w:rsid w:val="004F18C7"/>
    <w:rsid w:val="007A1C47"/>
    <w:rsid w:val="008A7D78"/>
    <w:rsid w:val="00981D78"/>
    <w:rsid w:val="00AB49A3"/>
    <w:rsid w:val="00B4297D"/>
    <w:rsid w:val="00B53DC4"/>
    <w:rsid w:val="00BC6849"/>
    <w:rsid w:val="00C53473"/>
    <w:rsid w:val="00CF71EB"/>
    <w:rsid w:val="00D33146"/>
    <w:rsid w:val="00D33345"/>
    <w:rsid w:val="00D768F7"/>
    <w:rsid w:val="00D76B67"/>
    <w:rsid w:val="00F10777"/>
    <w:rsid w:val="00FE697B"/>
    <w:rsid w:val="00FF2758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F6644"/>
  <w15:chartTrackingRefBased/>
  <w15:docId w15:val="{56554114-37B2-4629-B4C8-A777E97B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8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81E"/>
  </w:style>
  <w:style w:type="paragraph" w:styleId="Footer">
    <w:name w:val="footer"/>
    <w:basedOn w:val="Normal"/>
    <w:link w:val="FooterChar"/>
    <w:uiPriority w:val="99"/>
    <w:unhideWhenUsed/>
    <w:rsid w:val="003E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81E"/>
  </w:style>
  <w:style w:type="character" w:styleId="CommentReference">
    <w:name w:val="annotation reference"/>
    <w:basedOn w:val="DefaultParagraphFont"/>
    <w:uiPriority w:val="99"/>
    <w:semiHidden/>
    <w:unhideWhenUsed/>
    <w:rsid w:val="007A1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C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C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C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550D7-F78F-4D42-944B-4F61A28A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Tong, Van T. (CDC/ONDIEH/NCCDPHP)</dc:creator>
  <cp:keywords/>
  <dc:description/>
  <cp:lastModifiedBy>Tong, Van T. (CDC/ONDIEH/NCCDPHP)</cp:lastModifiedBy>
  <cp:revision>3</cp:revision>
  <dcterms:created xsi:type="dcterms:W3CDTF">2016-12-08T19:57:00Z</dcterms:created>
  <dcterms:modified xsi:type="dcterms:W3CDTF">2016-12-08T19:58:00Z</dcterms:modified>
</cp:coreProperties>
</file>