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AF2E" w14:textId="77777777" w:rsidR="0074391B" w:rsidRPr="00B9466A" w:rsidRDefault="0074391B" w:rsidP="00B9466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466A">
        <w:rPr>
          <w:rFonts w:ascii="Times New Roman" w:hAnsi="Times New Roman"/>
          <w:b/>
          <w:sz w:val="24"/>
          <w:szCs w:val="24"/>
        </w:rPr>
        <w:t>TITLE</w:t>
      </w:r>
    </w:p>
    <w:p w14:paraId="1D845320" w14:textId="652C04A2" w:rsidR="00AE54F2" w:rsidRDefault="00C62877" w:rsidP="00AE54F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Multiple </w:t>
      </w:r>
      <w:r w:rsidR="00DD08FC">
        <w:rPr>
          <w:rFonts w:ascii="Times New Roman" w:hAnsi="Times New Roman"/>
          <w:sz w:val="24"/>
          <w:szCs w:val="24"/>
        </w:rPr>
        <w:t>Elemental</w:t>
      </w:r>
      <w:r>
        <w:rPr>
          <w:rFonts w:ascii="Times New Roman" w:hAnsi="Times New Roman"/>
          <w:sz w:val="24"/>
          <w:szCs w:val="24"/>
        </w:rPr>
        <w:t xml:space="preserve"> Exposures Amongst </w:t>
      </w:r>
      <w:r w:rsidR="00517AC8">
        <w:rPr>
          <w:rFonts w:ascii="Times New Roman" w:hAnsi="Times New Roman"/>
          <w:sz w:val="24"/>
          <w:szCs w:val="24"/>
        </w:rPr>
        <w:t>Workers</w:t>
      </w:r>
      <w:r>
        <w:rPr>
          <w:rFonts w:ascii="Times New Roman" w:hAnsi="Times New Roman"/>
          <w:sz w:val="24"/>
          <w:szCs w:val="24"/>
        </w:rPr>
        <w:t xml:space="preserve"> at the</w:t>
      </w:r>
      <w:r w:rsidR="00DD08FC">
        <w:rPr>
          <w:rFonts w:ascii="Times New Roman" w:hAnsi="Times New Roman"/>
          <w:sz w:val="24"/>
          <w:szCs w:val="24"/>
        </w:rPr>
        <w:t xml:space="preserve"> Agbogbloshie Electronic </w:t>
      </w:r>
      <w:r w:rsidR="005578B8">
        <w:rPr>
          <w:rFonts w:ascii="Times New Roman" w:hAnsi="Times New Roman"/>
          <w:sz w:val="24"/>
          <w:szCs w:val="24"/>
        </w:rPr>
        <w:t xml:space="preserve">Waste </w:t>
      </w:r>
      <w:r>
        <w:rPr>
          <w:rFonts w:ascii="Times New Roman" w:hAnsi="Times New Roman"/>
          <w:sz w:val="24"/>
          <w:szCs w:val="24"/>
        </w:rPr>
        <w:t xml:space="preserve">(E-Waste) Site </w:t>
      </w:r>
      <w:r w:rsidR="005578B8">
        <w:rPr>
          <w:rFonts w:ascii="Times New Roman" w:hAnsi="Times New Roman"/>
          <w:sz w:val="24"/>
          <w:szCs w:val="24"/>
        </w:rPr>
        <w:t>in Ghana.</w:t>
      </w:r>
    </w:p>
    <w:p w14:paraId="57E75D49" w14:textId="77777777" w:rsidR="00823B10" w:rsidRDefault="00823B10" w:rsidP="00B9466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23B143CF" w14:textId="41C14F1B" w:rsidR="00FD44E7" w:rsidRPr="00A2756D" w:rsidRDefault="001733F2" w:rsidP="00B9466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62877">
        <w:rPr>
          <w:rFonts w:ascii="Times New Roman" w:hAnsi="Times New Roman"/>
          <w:b/>
          <w:sz w:val="24"/>
          <w:szCs w:val="24"/>
        </w:rPr>
        <w:t>AUTHOR NAMES</w:t>
      </w:r>
      <w:r w:rsidR="00823B10" w:rsidRPr="00C62877">
        <w:rPr>
          <w:rFonts w:ascii="Times New Roman" w:hAnsi="Times New Roman"/>
          <w:b/>
          <w:sz w:val="24"/>
          <w:szCs w:val="24"/>
        </w:rPr>
        <w:t xml:space="preserve"> AND AFFILIATIONS</w:t>
      </w:r>
    </w:p>
    <w:p w14:paraId="626D63E7" w14:textId="2D579E27" w:rsidR="00416B18" w:rsidRPr="00A2756D" w:rsidRDefault="00FD44E7" w:rsidP="00B9466A">
      <w:pPr>
        <w:spacing w:after="0" w:line="48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Roland </w:t>
      </w:r>
      <w:r w:rsidR="00CB428A">
        <w:rPr>
          <w:rFonts w:ascii="Times New Roman" w:hAnsi="Times New Roman"/>
          <w:sz w:val="24"/>
          <w:szCs w:val="24"/>
        </w:rPr>
        <w:t xml:space="preserve">Kofi </w:t>
      </w:r>
      <w:r>
        <w:rPr>
          <w:rFonts w:ascii="Times New Roman" w:hAnsi="Times New Roman"/>
          <w:sz w:val="24"/>
          <w:szCs w:val="24"/>
        </w:rPr>
        <w:t>Srigboh</w:t>
      </w:r>
      <w:r w:rsidR="00416B18" w:rsidRPr="00416B1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6B385F">
        <w:rPr>
          <w:rFonts w:ascii="Times New Roman" w:hAnsi="Times New Roman"/>
          <w:sz w:val="24"/>
          <w:szCs w:val="24"/>
        </w:rPr>
        <w:t>Niladri Basu</w:t>
      </w:r>
      <w:r w:rsidR="006B385F">
        <w:rPr>
          <w:rFonts w:ascii="Times New Roman" w:hAnsi="Times New Roman"/>
          <w:sz w:val="24"/>
          <w:szCs w:val="24"/>
          <w:vertAlign w:val="superscript"/>
        </w:rPr>
        <w:t>2,3*</w:t>
      </w:r>
      <w:r w:rsidR="006B385F">
        <w:rPr>
          <w:rFonts w:ascii="Times New Roman" w:hAnsi="Times New Roman"/>
          <w:sz w:val="24"/>
          <w:szCs w:val="24"/>
        </w:rPr>
        <w:t>,</w:t>
      </w:r>
      <w:r w:rsidR="006B385F" w:rsidRPr="006E5FDE">
        <w:rPr>
          <w:rFonts w:ascii="Times New Roman" w:hAnsi="Times New Roman"/>
          <w:sz w:val="24"/>
          <w:szCs w:val="24"/>
        </w:rPr>
        <w:t xml:space="preserve"> </w:t>
      </w:r>
      <w:r w:rsidR="00416B18">
        <w:rPr>
          <w:rFonts w:ascii="Times New Roman" w:hAnsi="Times New Roman"/>
          <w:sz w:val="24"/>
          <w:szCs w:val="24"/>
        </w:rPr>
        <w:t>Judith Stephens</w:t>
      </w:r>
      <w:r w:rsidR="00416B18" w:rsidRPr="00416B18">
        <w:rPr>
          <w:rFonts w:ascii="Times New Roman" w:hAnsi="Times New Roman"/>
          <w:sz w:val="24"/>
          <w:szCs w:val="24"/>
          <w:vertAlign w:val="superscript"/>
        </w:rPr>
        <w:t>1</w:t>
      </w:r>
      <w:r w:rsidR="00416B18">
        <w:rPr>
          <w:rFonts w:ascii="Times New Roman" w:hAnsi="Times New Roman"/>
          <w:sz w:val="24"/>
          <w:szCs w:val="24"/>
        </w:rPr>
        <w:t>, Emmanuel Asampong</w:t>
      </w:r>
      <w:r w:rsidR="00416B18" w:rsidRPr="00416B18">
        <w:rPr>
          <w:rFonts w:ascii="Times New Roman" w:hAnsi="Times New Roman"/>
          <w:sz w:val="24"/>
          <w:szCs w:val="24"/>
          <w:vertAlign w:val="superscript"/>
        </w:rPr>
        <w:t>1</w:t>
      </w:r>
      <w:r w:rsidR="00416B18">
        <w:rPr>
          <w:rFonts w:ascii="Times New Roman" w:hAnsi="Times New Roman"/>
          <w:sz w:val="24"/>
          <w:szCs w:val="24"/>
        </w:rPr>
        <w:t>, Marie Perkins</w:t>
      </w:r>
      <w:r w:rsidR="00E44B1D">
        <w:rPr>
          <w:rFonts w:ascii="Times New Roman" w:hAnsi="Times New Roman"/>
          <w:sz w:val="24"/>
          <w:szCs w:val="24"/>
          <w:vertAlign w:val="superscript"/>
        </w:rPr>
        <w:t>3</w:t>
      </w:r>
      <w:r w:rsidR="00416B18">
        <w:rPr>
          <w:rFonts w:ascii="Times New Roman" w:hAnsi="Times New Roman"/>
          <w:sz w:val="24"/>
          <w:szCs w:val="24"/>
        </w:rPr>
        <w:t xml:space="preserve">, </w:t>
      </w:r>
      <w:r w:rsidR="006E5FDE">
        <w:rPr>
          <w:rFonts w:ascii="Times New Roman" w:hAnsi="Times New Roman"/>
          <w:sz w:val="24"/>
          <w:szCs w:val="24"/>
        </w:rPr>
        <w:t>Richard L. Neitzel</w:t>
      </w:r>
      <w:r w:rsidR="00416B18">
        <w:rPr>
          <w:rFonts w:ascii="Times New Roman" w:hAnsi="Times New Roman"/>
          <w:sz w:val="24"/>
          <w:szCs w:val="24"/>
          <w:vertAlign w:val="superscript"/>
        </w:rPr>
        <w:t>3</w:t>
      </w:r>
      <w:r w:rsidR="00416B18">
        <w:rPr>
          <w:rFonts w:ascii="Times New Roman" w:hAnsi="Times New Roman"/>
          <w:sz w:val="24"/>
          <w:szCs w:val="24"/>
        </w:rPr>
        <w:t xml:space="preserve">, </w:t>
      </w:r>
      <w:r w:rsidR="006E5FDE">
        <w:rPr>
          <w:rFonts w:ascii="Times New Roman" w:hAnsi="Times New Roman"/>
          <w:sz w:val="24"/>
          <w:szCs w:val="24"/>
        </w:rPr>
        <w:t>Julius Fobil</w:t>
      </w:r>
      <w:r w:rsidR="006E5FDE" w:rsidRPr="00416B18">
        <w:rPr>
          <w:rFonts w:ascii="Times New Roman" w:hAnsi="Times New Roman"/>
          <w:sz w:val="24"/>
          <w:szCs w:val="24"/>
          <w:vertAlign w:val="superscript"/>
        </w:rPr>
        <w:t>1</w:t>
      </w:r>
      <w:r w:rsidR="006E5FDE">
        <w:rPr>
          <w:rFonts w:ascii="Times New Roman" w:hAnsi="Times New Roman"/>
          <w:sz w:val="24"/>
          <w:szCs w:val="24"/>
        </w:rPr>
        <w:t>,</w:t>
      </w:r>
    </w:p>
    <w:p w14:paraId="75F594AD" w14:textId="1C2B33E5" w:rsidR="00DD08FC" w:rsidRPr="00416B18" w:rsidRDefault="00416B18" w:rsidP="00416B1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416B18">
        <w:rPr>
          <w:rFonts w:ascii="Times New Roman" w:hAnsi="Times New Roman"/>
          <w:sz w:val="24"/>
          <w:szCs w:val="24"/>
        </w:rPr>
        <w:t>Department of Biological, Environmental, and Occupational Health Sciences, School of Public Health, University of Ghana.  Legon-Accra, Ghana</w:t>
      </w:r>
    </w:p>
    <w:p w14:paraId="34FEABE2" w14:textId="7D54B0C5" w:rsidR="00416B18" w:rsidRDefault="00416B18" w:rsidP="00416B1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Environmental Health Sciences, School of Public Health, University of Michigan.  Ann Arbor, Michigan, USA.  </w:t>
      </w:r>
    </w:p>
    <w:p w14:paraId="1CE0F647" w14:textId="196568AD" w:rsidR="00416B18" w:rsidRPr="00416B18" w:rsidRDefault="00416B18" w:rsidP="00416B1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Agricultural and Environmental Sciences, McGill University, Montreal, Quebec, Canada.</w:t>
      </w:r>
    </w:p>
    <w:p w14:paraId="6955B77E" w14:textId="77777777" w:rsidR="00DD08FC" w:rsidRDefault="00DD08FC" w:rsidP="001733F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17FFAFE" w14:textId="1EEFF0CC" w:rsidR="001733F2" w:rsidRPr="00DD08FC" w:rsidRDefault="001733F2" w:rsidP="001733F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C08A0">
        <w:rPr>
          <w:rFonts w:ascii="Times New Roman" w:hAnsi="Times New Roman"/>
          <w:b/>
          <w:sz w:val="24"/>
          <w:szCs w:val="24"/>
        </w:rPr>
        <w:t xml:space="preserve">NAME AND ADDRESS OF CORRESPONDING AUTHOR </w:t>
      </w:r>
    </w:p>
    <w:p w14:paraId="203C7BB9" w14:textId="57AB64EA" w:rsidR="00A2756D" w:rsidRDefault="00A2756D" w:rsidP="001733F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Niladri Basu</w:t>
      </w:r>
    </w:p>
    <w:p w14:paraId="13F02E69" w14:textId="77777777" w:rsidR="00A2756D" w:rsidRDefault="00A2756D" w:rsidP="001733F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Agricultural and Environmental Sciences</w:t>
      </w:r>
    </w:p>
    <w:p w14:paraId="397D57D5" w14:textId="77777777" w:rsidR="00A2756D" w:rsidRDefault="00A2756D" w:rsidP="001733F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McGill University</w:t>
      </w:r>
    </w:p>
    <w:p w14:paraId="7A1823F0" w14:textId="428F208C" w:rsidR="00A2756D" w:rsidRDefault="00A2756D" w:rsidP="001733F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Montreal, Quebec, Canada.  H9X 3V9</w:t>
      </w:r>
    </w:p>
    <w:p w14:paraId="3577734D" w14:textId="1ECD36F0" w:rsidR="00A2756D" w:rsidRDefault="00A2756D" w:rsidP="001733F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514-398-8642</w:t>
      </w:r>
    </w:p>
    <w:p w14:paraId="475CB0F5" w14:textId="1E8C6166" w:rsidR="00A2756D" w:rsidRDefault="00A2756D" w:rsidP="001733F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niladri.basu@mcgill.ca</w:t>
      </w:r>
    </w:p>
    <w:p w14:paraId="75305BC5" w14:textId="77777777" w:rsidR="00A2756D" w:rsidRPr="007C08A0" w:rsidRDefault="00A2756D" w:rsidP="001733F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E0BA6EF" w14:textId="77777777" w:rsidR="00917B0D" w:rsidRDefault="00917B0D" w:rsidP="00343E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779685C" w14:textId="0DBCC62F" w:rsidR="00A2756D" w:rsidRPr="00343E5F" w:rsidRDefault="0074391B" w:rsidP="00343E5F">
      <w:pPr>
        <w:rPr>
          <w:rFonts w:ascii="Times New Roman" w:hAnsi="Times New Roman"/>
          <w:b/>
          <w:sz w:val="24"/>
          <w:szCs w:val="24"/>
        </w:rPr>
      </w:pPr>
      <w:r w:rsidRPr="00B9466A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14:paraId="65DDA5FB" w14:textId="089619D2" w:rsidR="00343E5F" w:rsidRDefault="00343E5F" w:rsidP="00B07E3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FF2251">
        <w:rPr>
          <w:rFonts w:ascii="Times New Roman" w:hAnsi="Times New Roman"/>
          <w:sz w:val="24"/>
          <w:szCs w:val="24"/>
        </w:rPr>
        <w:t>lectronic waste (</w:t>
      </w:r>
      <w:r w:rsidR="00E44B1D">
        <w:rPr>
          <w:rFonts w:ascii="Times New Roman" w:hAnsi="Times New Roman"/>
          <w:sz w:val="24"/>
          <w:szCs w:val="24"/>
        </w:rPr>
        <w:t>e</w:t>
      </w:r>
      <w:r w:rsidRPr="00FF2251">
        <w:rPr>
          <w:rFonts w:ascii="Times New Roman" w:hAnsi="Times New Roman"/>
          <w:sz w:val="24"/>
          <w:szCs w:val="24"/>
        </w:rPr>
        <w:t xml:space="preserve">-waste) recycling </w:t>
      </w:r>
      <w:r w:rsidR="00DD6BC4">
        <w:rPr>
          <w:rFonts w:ascii="Times New Roman" w:hAnsi="Times New Roman"/>
          <w:sz w:val="24"/>
          <w:szCs w:val="24"/>
        </w:rPr>
        <w:t xml:space="preserve">is growing worldwide and raising a number of environmental health concerns. One of the </w:t>
      </w:r>
      <w:r w:rsidRPr="00FF2251">
        <w:rPr>
          <w:rFonts w:ascii="Times New Roman" w:hAnsi="Times New Roman"/>
          <w:sz w:val="24"/>
          <w:szCs w:val="24"/>
        </w:rPr>
        <w:t xml:space="preserve">largest e-waste sites </w:t>
      </w:r>
      <w:r w:rsidR="00DD6BC4">
        <w:rPr>
          <w:rFonts w:ascii="Times New Roman" w:hAnsi="Times New Roman"/>
          <w:sz w:val="24"/>
          <w:szCs w:val="24"/>
        </w:rPr>
        <w:t xml:space="preserve">is </w:t>
      </w:r>
      <w:r w:rsidRPr="00FF2251">
        <w:rPr>
          <w:rFonts w:ascii="Times New Roman" w:hAnsi="Times New Roman"/>
          <w:sz w:val="24"/>
          <w:szCs w:val="24"/>
        </w:rPr>
        <w:t>Agbogbloshi</w:t>
      </w:r>
      <w:r w:rsidR="00DD6BC4">
        <w:rPr>
          <w:rFonts w:ascii="Times New Roman" w:hAnsi="Times New Roman"/>
          <w:sz w:val="24"/>
          <w:szCs w:val="24"/>
        </w:rPr>
        <w:t xml:space="preserve">e (Ghana).  While several toxic elements have been reported in Agbogbloshie’s environment, there is limited knowledge of human exposures </w:t>
      </w:r>
      <w:r w:rsidR="00002962">
        <w:rPr>
          <w:rFonts w:ascii="Times New Roman" w:hAnsi="Times New Roman"/>
          <w:sz w:val="24"/>
          <w:szCs w:val="24"/>
        </w:rPr>
        <w:t>there</w:t>
      </w:r>
      <w:r w:rsidR="00DD6BC4">
        <w:rPr>
          <w:rFonts w:ascii="Times New Roman" w:hAnsi="Times New Roman"/>
          <w:sz w:val="24"/>
          <w:szCs w:val="24"/>
        </w:rPr>
        <w:t xml:space="preserve">.  The </w:t>
      </w:r>
      <w:r w:rsidRPr="00FF2251">
        <w:rPr>
          <w:rFonts w:ascii="Times New Roman" w:hAnsi="Times New Roman"/>
          <w:sz w:val="24"/>
          <w:szCs w:val="24"/>
        </w:rPr>
        <w:t>objective</w:t>
      </w:r>
      <w:r w:rsidR="00E44B1D">
        <w:rPr>
          <w:rFonts w:ascii="Times New Roman" w:hAnsi="Times New Roman"/>
          <w:sz w:val="24"/>
          <w:szCs w:val="24"/>
        </w:rPr>
        <w:t>s</w:t>
      </w:r>
      <w:r w:rsidRPr="00FF2251">
        <w:rPr>
          <w:rFonts w:ascii="Times New Roman" w:hAnsi="Times New Roman"/>
          <w:sz w:val="24"/>
          <w:szCs w:val="24"/>
        </w:rPr>
        <w:t xml:space="preserve"> of </w:t>
      </w:r>
      <w:r w:rsidR="00DD6BC4">
        <w:rPr>
          <w:rFonts w:ascii="Times New Roman" w:hAnsi="Times New Roman"/>
          <w:sz w:val="24"/>
          <w:szCs w:val="24"/>
        </w:rPr>
        <w:t>this</w:t>
      </w:r>
      <w:r w:rsidRPr="00FF2251">
        <w:rPr>
          <w:rFonts w:ascii="Times New Roman" w:hAnsi="Times New Roman"/>
          <w:sz w:val="24"/>
          <w:szCs w:val="24"/>
        </w:rPr>
        <w:t xml:space="preserve"> study </w:t>
      </w:r>
      <w:r w:rsidR="00E44B1D">
        <w:rPr>
          <w:rFonts w:ascii="Times New Roman" w:hAnsi="Times New Roman"/>
          <w:sz w:val="24"/>
          <w:szCs w:val="24"/>
        </w:rPr>
        <w:t>were</w:t>
      </w:r>
      <w:r w:rsidRPr="00FF2251">
        <w:rPr>
          <w:rFonts w:ascii="Times New Roman" w:hAnsi="Times New Roman"/>
          <w:sz w:val="24"/>
          <w:szCs w:val="24"/>
        </w:rPr>
        <w:t xml:space="preserve"> to characterize exposures to several </w:t>
      </w:r>
      <w:r>
        <w:rPr>
          <w:rFonts w:ascii="Times New Roman" w:hAnsi="Times New Roman"/>
          <w:sz w:val="24"/>
          <w:szCs w:val="24"/>
        </w:rPr>
        <w:t xml:space="preserve">essential </w:t>
      </w:r>
      <w:r w:rsidRPr="00FF2251">
        <w:rPr>
          <w:rFonts w:ascii="Times New Roman" w:hAnsi="Times New Roman"/>
          <w:sz w:val="24"/>
          <w:szCs w:val="24"/>
        </w:rPr>
        <w:t xml:space="preserve">(copper, </w:t>
      </w:r>
      <w:r>
        <w:rPr>
          <w:rFonts w:ascii="Times New Roman" w:hAnsi="Times New Roman"/>
          <w:sz w:val="24"/>
          <w:szCs w:val="24"/>
        </w:rPr>
        <w:t xml:space="preserve">iron, manganese, </w:t>
      </w:r>
      <w:r w:rsidRPr="00FF2251">
        <w:rPr>
          <w:rFonts w:ascii="Times New Roman" w:hAnsi="Times New Roman"/>
          <w:sz w:val="24"/>
          <w:szCs w:val="24"/>
        </w:rPr>
        <w:t xml:space="preserve">selenium, zinc) </w:t>
      </w:r>
      <w:r>
        <w:rPr>
          <w:rFonts w:ascii="Times New Roman" w:hAnsi="Times New Roman"/>
          <w:sz w:val="24"/>
          <w:szCs w:val="24"/>
        </w:rPr>
        <w:t xml:space="preserve">and toxic </w:t>
      </w:r>
      <w:r w:rsidRPr="00FF2251">
        <w:rPr>
          <w:rFonts w:ascii="Times New Roman" w:hAnsi="Times New Roman"/>
          <w:sz w:val="24"/>
          <w:szCs w:val="24"/>
        </w:rPr>
        <w:t>(arsenic, cadmium, cobalt, chromium,</w:t>
      </w:r>
      <w:r>
        <w:rPr>
          <w:rFonts w:ascii="Times New Roman" w:hAnsi="Times New Roman"/>
          <w:sz w:val="24"/>
          <w:szCs w:val="24"/>
        </w:rPr>
        <w:t xml:space="preserve"> mercury, nickel, lead</w:t>
      </w:r>
      <w:r w:rsidRPr="00FF22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elements</w:t>
      </w:r>
      <w:r w:rsidRPr="00FF2251">
        <w:rPr>
          <w:rFonts w:ascii="Times New Roman" w:hAnsi="Times New Roman"/>
          <w:sz w:val="24"/>
          <w:szCs w:val="24"/>
        </w:rPr>
        <w:t xml:space="preserve"> in the urine and blood of male workers </w:t>
      </w:r>
      <w:r w:rsidR="003C1BFB">
        <w:rPr>
          <w:rFonts w:ascii="Times New Roman" w:hAnsi="Times New Roman"/>
          <w:sz w:val="24"/>
          <w:szCs w:val="24"/>
        </w:rPr>
        <w:t xml:space="preserve">(n=58) </w:t>
      </w:r>
      <w:r w:rsidRPr="00FF2251">
        <w:rPr>
          <w:rFonts w:ascii="Times New Roman" w:hAnsi="Times New Roman"/>
          <w:sz w:val="24"/>
          <w:szCs w:val="24"/>
        </w:rPr>
        <w:t>at Agbogbloshie</w:t>
      </w:r>
      <w:r>
        <w:rPr>
          <w:rFonts w:ascii="Times New Roman" w:hAnsi="Times New Roman"/>
          <w:sz w:val="24"/>
          <w:szCs w:val="24"/>
        </w:rPr>
        <w:t xml:space="preserve">, as well as females </w:t>
      </w:r>
      <w:r w:rsidR="003C1BFB">
        <w:rPr>
          <w:rFonts w:ascii="Times New Roman" w:hAnsi="Times New Roman"/>
          <w:sz w:val="24"/>
          <w:szCs w:val="24"/>
        </w:rPr>
        <w:t xml:space="preserve">(n=11) </w:t>
      </w:r>
      <w:r>
        <w:rPr>
          <w:rFonts w:ascii="Times New Roman" w:hAnsi="Times New Roman"/>
          <w:sz w:val="24"/>
          <w:szCs w:val="24"/>
        </w:rPr>
        <w:t>working in activities that serve the site</w:t>
      </w:r>
      <w:r w:rsidRPr="00FF2251">
        <w:rPr>
          <w:rFonts w:ascii="Times New Roman" w:hAnsi="Times New Roman"/>
          <w:sz w:val="24"/>
          <w:szCs w:val="24"/>
        </w:rPr>
        <w:t xml:space="preserve">, and to relate these exposures to sociodemographic and occupational characteristics. </w:t>
      </w:r>
      <w:r w:rsidR="006E5FDE">
        <w:rPr>
          <w:rFonts w:ascii="Times New Roman" w:hAnsi="Times New Roman"/>
          <w:sz w:val="24"/>
          <w:szCs w:val="24"/>
        </w:rPr>
        <w:t>The median number of years worked at the site was 5,</w:t>
      </w:r>
      <w:r w:rsidR="00E44B1D">
        <w:rPr>
          <w:rFonts w:ascii="Times New Roman" w:hAnsi="Times New Roman"/>
          <w:sz w:val="24"/>
          <w:szCs w:val="24"/>
        </w:rPr>
        <w:t xml:space="preserve"> and</w:t>
      </w:r>
      <w:r w:rsidR="006E5FDE">
        <w:rPr>
          <w:rFonts w:ascii="Times New Roman" w:hAnsi="Times New Roman"/>
          <w:sz w:val="24"/>
          <w:szCs w:val="24"/>
        </w:rPr>
        <w:t xml:space="preserve"> the average worker indicated </w:t>
      </w:r>
      <w:r w:rsidR="00C55BC7">
        <w:rPr>
          <w:rFonts w:ascii="Times New Roman" w:hAnsi="Times New Roman"/>
          <w:sz w:val="24"/>
          <w:szCs w:val="24"/>
        </w:rPr>
        <w:t>being active in 6.8 tasks (of 9</w:t>
      </w:r>
      <w:r w:rsidR="006E5FDE">
        <w:rPr>
          <w:rFonts w:ascii="Times New Roman" w:hAnsi="Times New Roman"/>
          <w:sz w:val="24"/>
          <w:szCs w:val="24"/>
        </w:rPr>
        <w:t xml:space="preserve"> key e-waste job categories)</w:t>
      </w:r>
      <w:r w:rsidR="00E44B1D">
        <w:rPr>
          <w:rFonts w:ascii="Times New Roman" w:hAnsi="Times New Roman"/>
          <w:sz w:val="24"/>
          <w:szCs w:val="24"/>
        </w:rPr>
        <w:t xml:space="preserve">.  Additionally, </w:t>
      </w:r>
      <w:r w:rsidR="006E5FDE">
        <w:rPr>
          <w:rFonts w:ascii="Times New Roman" w:hAnsi="Times New Roman"/>
          <w:sz w:val="24"/>
          <w:szCs w:val="24"/>
        </w:rPr>
        <w:t>we categorize</w:t>
      </w:r>
      <w:r w:rsidR="00E44B1D">
        <w:rPr>
          <w:rFonts w:ascii="Times New Roman" w:hAnsi="Times New Roman"/>
          <w:sz w:val="24"/>
          <w:szCs w:val="24"/>
        </w:rPr>
        <w:t>d</w:t>
      </w:r>
      <w:r w:rsidR="006E5FDE">
        <w:rPr>
          <w:rFonts w:ascii="Times New Roman" w:hAnsi="Times New Roman"/>
          <w:sz w:val="24"/>
          <w:szCs w:val="24"/>
        </w:rPr>
        <w:t xml:space="preserve"> </w:t>
      </w:r>
      <w:r w:rsidR="00E44B1D">
        <w:rPr>
          <w:rFonts w:ascii="Times New Roman" w:hAnsi="Times New Roman"/>
          <w:sz w:val="24"/>
          <w:szCs w:val="24"/>
        </w:rPr>
        <w:t xml:space="preserve">four main </w:t>
      </w:r>
      <w:r w:rsidR="006E5FDE">
        <w:rPr>
          <w:rFonts w:ascii="Times New Roman" w:hAnsi="Times New Roman"/>
          <w:sz w:val="24"/>
          <w:szCs w:val="24"/>
        </w:rPr>
        <w:t xml:space="preserve">e-waste activities (in brackets % of population self-reported main activity): </w:t>
      </w:r>
      <w:r w:rsidR="00B07E34">
        <w:rPr>
          <w:rFonts w:ascii="Times New Roman" w:hAnsi="Times New Roman"/>
          <w:sz w:val="24"/>
          <w:szCs w:val="24"/>
        </w:rPr>
        <w:t>dealing (22.4%), sorting (24.1%), dismantling (50%), and burning (3.4%) e-waste materials.  Many blood and urinary elements (including essential ones) were within</w:t>
      </w:r>
      <w:r w:rsidR="00E44B1D">
        <w:rPr>
          <w:rFonts w:ascii="Times New Roman" w:hAnsi="Times New Roman"/>
          <w:sz w:val="24"/>
          <w:szCs w:val="24"/>
        </w:rPr>
        <w:t xml:space="preserve"> biomonitoring</w:t>
      </w:r>
      <w:r w:rsidR="00B07E34">
        <w:rPr>
          <w:rFonts w:ascii="Times New Roman" w:hAnsi="Times New Roman"/>
          <w:sz w:val="24"/>
          <w:szCs w:val="24"/>
        </w:rPr>
        <w:t xml:space="preserve"> reference ranges.  However, </w:t>
      </w:r>
      <w:r w:rsidRPr="00A559D3">
        <w:rPr>
          <w:rFonts w:ascii="Times New Roman" w:hAnsi="Times New Roman"/>
          <w:sz w:val="24"/>
          <w:szCs w:val="24"/>
        </w:rPr>
        <w:t xml:space="preserve">blood cadmium </w:t>
      </w:r>
      <w:r w:rsidR="00B07E34">
        <w:rPr>
          <w:rFonts w:ascii="Times New Roman" w:hAnsi="Times New Roman"/>
          <w:sz w:val="24"/>
          <w:szCs w:val="24"/>
        </w:rPr>
        <w:t xml:space="preserve">(1.2 ug/L median) </w:t>
      </w:r>
      <w:r w:rsidRPr="00A559D3">
        <w:rPr>
          <w:rFonts w:ascii="Times New Roman" w:hAnsi="Times New Roman"/>
          <w:sz w:val="24"/>
          <w:szCs w:val="24"/>
        </w:rPr>
        <w:t xml:space="preserve">and lead </w:t>
      </w:r>
      <w:r w:rsidR="00B07E34">
        <w:rPr>
          <w:rFonts w:ascii="Times New Roman" w:hAnsi="Times New Roman"/>
          <w:sz w:val="24"/>
          <w:szCs w:val="24"/>
        </w:rPr>
        <w:t>(6.4 ug/dl</w:t>
      </w:r>
      <w:r w:rsidR="0045381F">
        <w:rPr>
          <w:rFonts w:ascii="Times New Roman" w:hAnsi="Times New Roman"/>
          <w:sz w:val="24"/>
          <w:szCs w:val="24"/>
        </w:rPr>
        <w:t>; 67% above U.S. CDC</w:t>
      </w:r>
      <w:r w:rsidR="00E911F9">
        <w:rPr>
          <w:rFonts w:ascii="Times New Roman" w:hAnsi="Times New Roman"/>
          <w:sz w:val="24"/>
          <w:szCs w:val="24"/>
        </w:rPr>
        <w:t>/NIOSH</w:t>
      </w:r>
      <w:r w:rsidR="0045381F">
        <w:rPr>
          <w:rFonts w:ascii="Times New Roman" w:hAnsi="Times New Roman"/>
          <w:sz w:val="24"/>
          <w:szCs w:val="24"/>
        </w:rPr>
        <w:t xml:space="preserve"> reference level</w:t>
      </w:r>
      <w:r w:rsidR="00B07E34">
        <w:rPr>
          <w:rFonts w:ascii="Times New Roman" w:hAnsi="Times New Roman"/>
          <w:sz w:val="24"/>
          <w:szCs w:val="24"/>
        </w:rPr>
        <w:t>), and urinary arsenic (38.3 ug/L</w:t>
      </w:r>
      <w:r w:rsidR="00EE7B8E">
        <w:rPr>
          <w:rFonts w:ascii="Times New Roman" w:hAnsi="Times New Roman"/>
          <w:sz w:val="24"/>
          <w:szCs w:val="24"/>
        </w:rPr>
        <w:t>; 39% above U.S. ATSDR value</w:t>
      </w:r>
      <w:r w:rsidR="00B07E34">
        <w:rPr>
          <w:rFonts w:ascii="Times New Roman" w:hAnsi="Times New Roman"/>
          <w:sz w:val="24"/>
          <w:szCs w:val="24"/>
        </w:rPr>
        <w:t xml:space="preserve">) </w:t>
      </w:r>
      <w:r w:rsidRPr="00A559D3">
        <w:rPr>
          <w:rFonts w:ascii="Times New Roman" w:hAnsi="Times New Roman"/>
          <w:sz w:val="24"/>
          <w:szCs w:val="24"/>
        </w:rPr>
        <w:t>levels were elevated compared to ba</w:t>
      </w:r>
      <w:r w:rsidR="00B07E34">
        <w:rPr>
          <w:rFonts w:ascii="Times New Roman" w:hAnsi="Times New Roman"/>
          <w:sz w:val="24"/>
          <w:szCs w:val="24"/>
        </w:rPr>
        <w:t xml:space="preserve">ckground populations elsewhere.  </w:t>
      </w:r>
      <w:r w:rsidR="00E44B1D">
        <w:rPr>
          <w:rFonts w:ascii="Times New Roman" w:hAnsi="Times New Roman"/>
          <w:sz w:val="24"/>
          <w:szCs w:val="24"/>
        </w:rPr>
        <w:t>Workers</w:t>
      </w:r>
      <w:r w:rsidR="00B07E34">
        <w:rPr>
          <w:rFonts w:ascii="Times New Roman" w:hAnsi="Times New Roman"/>
          <w:sz w:val="24"/>
          <w:szCs w:val="24"/>
        </w:rPr>
        <w:t xml:space="preserve"> who burned e-waste tended to have the highest biomarker levels.  </w:t>
      </w:r>
      <w:r w:rsidR="00EE7B8E">
        <w:rPr>
          <w:rFonts w:ascii="Times New Roman" w:hAnsi="Times New Roman"/>
          <w:sz w:val="24"/>
          <w:szCs w:val="24"/>
        </w:rPr>
        <w:t>The findings of this study contribute to a growing body of work at Agbogbloshie (and elsewhere) to document that individual</w:t>
      </w:r>
      <w:r w:rsidR="00917B0D">
        <w:rPr>
          <w:rFonts w:ascii="Times New Roman" w:hAnsi="Times New Roman"/>
          <w:sz w:val="24"/>
          <w:szCs w:val="24"/>
        </w:rPr>
        <w:t>s</w:t>
      </w:r>
      <w:r w:rsidR="00EE7B8E">
        <w:rPr>
          <w:rFonts w:ascii="Times New Roman" w:hAnsi="Times New Roman"/>
          <w:sz w:val="24"/>
          <w:szCs w:val="24"/>
        </w:rPr>
        <w:t xml:space="preserve"> working within e-waste sites are exposed to a number of toxic elements, some at potentially concerning levels.  </w:t>
      </w:r>
    </w:p>
    <w:p w14:paraId="0E3B711F" w14:textId="044EEA2A" w:rsidR="00777A64" w:rsidRDefault="00777A64" w:rsidP="00823B1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615F02F3" w14:textId="781ECE23" w:rsidR="00823B10" w:rsidRDefault="00823B10" w:rsidP="00823B1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</w:t>
      </w:r>
      <w:r w:rsidRPr="007C08A0">
        <w:rPr>
          <w:rFonts w:ascii="Times New Roman" w:hAnsi="Times New Roman"/>
          <w:b/>
          <w:sz w:val="24"/>
          <w:szCs w:val="24"/>
        </w:rPr>
        <w:t>WORDS</w:t>
      </w:r>
      <w:r w:rsidR="00EE7B8E">
        <w:rPr>
          <w:rFonts w:ascii="Times New Roman" w:hAnsi="Times New Roman"/>
          <w:b/>
          <w:sz w:val="24"/>
          <w:szCs w:val="24"/>
        </w:rPr>
        <w:t>:</w:t>
      </w:r>
      <w:r w:rsidR="00EE7B8E" w:rsidRPr="007C08A0">
        <w:rPr>
          <w:rFonts w:ascii="Times New Roman" w:hAnsi="Times New Roman"/>
          <w:sz w:val="24"/>
          <w:szCs w:val="24"/>
        </w:rPr>
        <w:t xml:space="preserve"> </w:t>
      </w:r>
      <w:r w:rsidR="003B3FB2">
        <w:rPr>
          <w:rFonts w:ascii="Times New Roman" w:hAnsi="Times New Roman"/>
          <w:sz w:val="24"/>
          <w:szCs w:val="24"/>
        </w:rPr>
        <w:t>exposure assessment; metals;</w:t>
      </w:r>
      <w:r w:rsidRPr="007C08A0">
        <w:rPr>
          <w:rFonts w:ascii="Times New Roman" w:hAnsi="Times New Roman"/>
          <w:sz w:val="24"/>
          <w:szCs w:val="24"/>
        </w:rPr>
        <w:t xml:space="preserve"> </w:t>
      </w:r>
      <w:r w:rsidR="003B3FB2">
        <w:rPr>
          <w:rFonts w:ascii="Times New Roman" w:hAnsi="Times New Roman"/>
          <w:sz w:val="24"/>
          <w:szCs w:val="24"/>
        </w:rPr>
        <w:t>elemental analyses; biomarkers;</w:t>
      </w:r>
      <w:r w:rsidR="00870E31">
        <w:rPr>
          <w:rFonts w:ascii="Times New Roman" w:hAnsi="Times New Roman"/>
          <w:sz w:val="24"/>
          <w:szCs w:val="24"/>
        </w:rPr>
        <w:t xml:space="preserve"> </w:t>
      </w:r>
      <w:r w:rsidR="003B3FB2">
        <w:rPr>
          <w:rFonts w:ascii="Times New Roman" w:hAnsi="Times New Roman"/>
          <w:sz w:val="24"/>
          <w:szCs w:val="24"/>
        </w:rPr>
        <w:t>workplace;</w:t>
      </w:r>
      <w:r w:rsidR="00917B0D">
        <w:rPr>
          <w:rFonts w:ascii="Times New Roman" w:hAnsi="Times New Roman"/>
          <w:sz w:val="24"/>
          <w:szCs w:val="24"/>
        </w:rPr>
        <w:t xml:space="preserve"> occupational exposures</w:t>
      </w:r>
    </w:p>
    <w:p w14:paraId="2E2EE419" w14:textId="77777777" w:rsidR="00A20F7F" w:rsidRDefault="00A20F7F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16F76BF" w14:textId="481A25F4" w:rsidR="0074391B" w:rsidRPr="00FF2251" w:rsidRDefault="00823B10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F2251">
        <w:rPr>
          <w:rFonts w:ascii="Times New Roman" w:hAnsi="Times New Roman"/>
          <w:b/>
          <w:sz w:val="24"/>
          <w:szCs w:val="24"/>
        </w:rPr>
        <w:lastRenderedPageBreak/>
        <w:t>1.0</w:t>
      </w:r>
      <w:r w:rsidRPr="00FF2251">
        <w:rPr>
          <w:rFonts w:ascii="Times New Roman" w:hAnsi="Times New Roman"/>
          <w:sz w:val="24"/>
          <w:szCs w:val="24"/>
        </w:rPr>
        <w:t xml:space="preserve"> </w:t>
      </w:r>
      <w:r w:rsidR="0074391B" w:rsidRPr="00FF2251">
        <w:rPr>
          <w:rFonts w:ascii="Times New Roman" w:hAnsi="Times New Roman"/>
          <w:b/>
          <w:sz w:val="24"/>
          <w:szCs w:val="24"/>
        </w:rPr>
        <w:t>INTRODUCTION</w:t>
      </w:r>
    </w:p>
    <w:p w14:paraId="2C2B2014" w14:textId="77777777" w:rsidR="00823B10" w:rsidRPr="00FF2251" w:rsidRDefault="00823B10" w:rsidP="00FF225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82B06E6" w14:textId="726B5AF9" w:rsidR="003B5125" w:rsidRDefault="00C02FB6" w:rsidP="00FF2251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>The recycling of e</w:t>
      </w:r>
      <w:r w:rsidR="005578B8" w:rsidRPr="00FF2251">
        <w:rPr>
          <w:rFonts w:ascii="Times New Roman" w:hAnsi="Times New Roman"/>
          <w:sz w:val="24"/>
          <w:szCs w:val="24"/>
        </w:rPr>
        <w:t xml:space="preserve">lectronic waste </w:t>
      </w:r>
      <w:r w:rsidR="006E5FDE">
        <w:rPr>
          <w:rFonts w:ascii="Times New Roman" w:hAnsi="Times New Roman"/>
          <w:sz w:val="24"/>
          <w:szCs w:val="24"/>
        </w:rPr>
        <w:t>(e</w:t>
      </w:r>
      <w:r w:rsidRPr="00FF2251">
        <w:rPr>
          <w:rFonts w:ascii="Times New Roman" w:hAnsi="Times New Roman"/>
          <w:sz w:val="24"/>
          <w:szCs w:val="24"/>
        </w:rPr>
        <w:t xml:space="preserve">-waste) </w:t>
      </w:r>
      <w:r w:rsidR="00B13B6A" w:rsidRPr="00FF2251">
        <w:rPr>
          <w:rFonts w:ascii="Times New Roman" w:hAnsi="Times New Roman"/>
          <w:sz w:val="24"/>
          <w:szCs w:val="24"/>
        </w:rPr>
        <w:t xml:space="preserve">is </w:t>
      </w:r>
      <w:r w:rsidR="00F82AE8" w:rsidRPr="00FF2251">
        <w:rPr>
          <w:rFonts w:ascii="Times New Roman" w:hAnsi="Times New Roman"/>
          <w:sz w:val="24"/>
          <w:szCs w:val="24"/>
        </w:rPr>
        <w:t>proliferating in many regions of the world</w:t>
      </w:r>
      <w:r w:rsidRPr="00FF2251">
        <w:rPr>
          <w:rFonts w:ascii="Times New Roman" w:hAnsi="Times New Roman"/>
          <w:sz w:val="24"/>
          <w:szCs w:val="24"/>
        </w:rPr>
        <w:t xml:space="preserve">.  </w:t>
      </w:r>
      <w:r w:rsidR="003B5125" w:rsidRPr="00FF2251">
        <w:rPr>
          <w:rFonts w:ascii="Times New Roman" w:hAnsi="Times New Roman"/>
          <w:sz w:val="24"/>
          <w:szCs w:val="24"/>
        </w:rPr>
        <w:t>Around</w:t>
      </w:r>
      <w:r w:rsidR="00F535AE" w:rsidRPr="00FF2251">
        <w:rPr>
          <w:rFonts w:ascii="Times New Roman" w:hAnsi="Times New Roman"/>
          <w:sz w:val="24"/>
          <w:szCs w:val="24"/>
        </w:rPr>
        <w:t xml:space="preserve"> 41.8 million </w:t>
      </w:r>
      <w:r w:rsidR="00517AC8" w:rsidRPr="00FF2251">
        <w:rPr>
          <w:rFonts w:ascii="Times New Roman" w:hAnsi="Times New Roman"/>
          <w:sz w:val="24"/>
          <w:szCs w:val="24"/>
        </w:rPr>
        <w:t>tons</w:t>
      </w:r>
      <w:r w:rsidR="00F535AE" w:rsidRPr="00FF2251">
        <w:rPr>
          <w:rFonts w:ascii="Times New Roman" w:hAnsi="Times New Roman"/>
          <w:sz w:val="24"/>
          <w:szCs w:val="24"/>
        </w:rPr>
        <w:t xml:space="preserve"> (Mt) of e-waste was generated </w:t>
      </w:r>
      <w:r w:rsidR="003B5125" w:rsidRPr="00FF2251">
        <w:rPr>
          <w:rFonts w:ascii="Times New Roman" w:hAnsi="Times New Roman"/>
          <w:sz w:val="24"/>
          <w:szCs w:val="24"/>
        </w:rPr>
        <w:t xml:space="preserve">globally in 2014, and </w:t>
      </w:r>
      <w:r w:rsidR="00E44B1D">
        <w:rPr>
          <w:rFonts w:ascii="Times New Roman" w:hAnsi="Times New Roman"/>
          <w:sz w:val="24"/>
          <w:szCs w:val="24"/>
        </w:rPr>
        <w:t>this number</w:t>
      </w:r>
      <w:r w:rsidR="003B5125" w:rsidRPr="00FF2251">
        <w:rPr>
          <w:rFonts w:ascii="Times New Roman" w:hAnsi="Times New Roman"/>
          <w:sz w:val="24"/>
          <w:szCs w:val="24"/>
        </w:rPr>
        <w:t xml:space="preserve"> is </w:t>
      </w:r>
      <w:r w:rsidR="00F535AE" w:rsidRPr="00FF2251">
        <w:rPr>
          <w:rFonts w:ascii="Times New Roman" w:hAnsi="Times New Roman"/>
          <w:sz w:val="24"/>
          <w:szCs w:val="24"/>
        </w:rPr>
        <w:t>expected to grow (Bald</w:t>
      </w:r>
      <w:r w:rsidR="00F535AE" w:rsidRPr="00FF2251">
        <w:rPr>
          <w:rFonts w:ascii="Times New Roman" w:hAnsi="Times New Roman"/>
          <w:sz w:val="24"/>
          <w:szCs w:val="24"/>
          <w:lang w:val="fr-FR"/>
        </w:rPr>
        <w:t>é et al.,</w:t>
      </w:r>
      <w:r w:rsidR="00900273">
        <w:rPr>
          <w:rFonts w:ascii="Times New Roman" w:hAnsi="Times New Roman"/>
          <w:sz w:val="24"/>
          <w:szCs w:val="24"/>
        </w:rPr>
        <w:t xml:space="preserve"> 2014</w:t>
      </w:r>
      <w:r w:rsidR="00F535AE" w:rsidRPr="00FF2251">
        <w:rPr>
          <w:rFonts w:ascii="Times New Roman" w:hAnsi="Times New Roman"/>
          <w:sz w:val="24"/>
          <w:szCs w:val="24"/>
        </w:rPr>
        <w:t xml:space="preserve">). </w:t>
      </w:r>
      <w:r w:rsidR="006E5FDE">
        <w:rPr>
          <w:rFonts w:ascii="Times New Roman" w:hAnsi="Times New Roman"/>
          <w:sz w:val="24"/>
          <w:szCs w:val="24"/>
        </w:rPr>
        <w:t>While e</w:t>
      </w:r>
      <w:r w:rsidR="00517AC8" w:rsidRPr="00FF2251">
        <w:rPr>
          <w:rFonts w:ascii="Times New Roman" w:hAnsi="Times New Roman"/>
          <w:sz w:val="24"/>
          <w:szCs w:val="24"/>
        </w:rPr>
        <w:t xml:space="preserve">-waste can be </w:t>
      </w:r>
      <w:r w:rsidR="00517AC8">
        <w:rPr>
          <w:rFonts w:ascii="Times New Roman" w:hAnsi="Times New Roman"/>
          <w:sz w:val="24"/>
          <w:szCs w:val="24"/>
        </w:rPr>
        <w:t xml:space="preserve">efficiently </w:t>
      </w:r>
      <w:r w:rsidR="00517AC8" w:rsidRPr="00FF2251">
        <w:rPr>
          <w:rFonts w:ascii="Times New Roman" w:hAnsi="Times New Roman"/>
          <w:sz w:val="24"/>
          <w:szCs w:val="24"/>
        </w:rPr>
        <w:t>recycled domestically</w:t>
      </w:r>
      <w:r w:rsidR="00517AC8">
        <w:rPr>
          <w:rFonts w:ascii="Times New Roman" w:hAnsi="Times New Roman"/>
          <w:sz w:val="24"/>
          <w:szCs w:val="24"/>
        </w:rPr>
        <w:t xml:space="preserve"> in high-income countries</w:t>
      </w:r>
      <w:r w:rsidR="00517AC8" w:rsidRPr="00FF2251">
        <w:rPr>
          <w:rFonts w:ascii="Times New Roman" w:hAnsi="Times New Roman"/>
          <w:sz w:val="24"/>
          <w:szCs w:val="24"/>
        </w:rPr>
        <w:t xml:space="preserve">, </w:t>
      </w:r>
      <w:r w:rsidR="00F535AE" w:rsidRPr="00FF2251">
        <w:rPr>
          <w:rFonts w:ascii="Times New Roman" w:hAnsi="Times New Roman"/>
          <w:sz w:val="24"/>
          <w:szCs w:val="24"/>
        </w:rPr>
        <w:t>a large amount is being transported to low</w:t>
      </w:r>
      <w:r w:rsidR="00517AC8">
        <w:rPr>
          <w:rFonts w:ascii="Times New Roman" w:hAnsi="Times New Roman"/>
          <w:sz w:val="24"/>
          <w:szCs w:val="24"/>
        </w:rPr>
        <w:t>-</w:t>
      </w:r>
      <w:r w:rsidR="00F535AE" w:rsidRPr="00FF2251">
        <w:rPr>
          <w:rFonts w:ascii="Times New Roman" w:hAnsi="Times New Roman"/>
          <w:sz w:val="24"/>
          <w:szCs w:val="24"/>
        </w:rPr>
        <w:t xml:space="preserve"> and middle-income countries where the recycling practices are informal and generally unregulated (Brigden et al., 2008). </w:t>
      </w:r>
      <w:r w:rsidR="003B5125" w:rsidRPr="00FF2251">
        <w:rPr>
          <w:rFonts w:ascii="Times New Roman" w:hAnsi="Times New Roman"/>
          <w:sz w:val="24"/>
          <w:szCs w:val="24"/>
        </w:rPr>
        <w:t xml:space="preserve"> I</w:t>
      </w:r>
      <w:r w:rsidR="00F535AE" w:rsidRPr="00FF2251">
        <w:rPr>
          <w:rFonts w:ascii="Times New Roman" w:hAnsi="Times New Roman"/>
          <w:sz w:val="24"/>
          <w:szCs w:val="24"/>
        </w:rPr>
        <w:t xml:space="preserve">n Ghana </w:t>
      </w:r>
      <w:r w:rsidR="00517AC8">
        <w:rPr>
          <w:rFonts w:ascii="Times New Roman" w:hAnsi="Times New Roman"/>
          <w:sz w:val="24"/>
          <w:szCs w:val="24"/>
        </w:rPr>
        <w:t xml:space="preserve">secondhand </w:t>
      </w:r>
      <w:r w:rsidR="00F535AE" w:rsidRPr="00FF2251">
        <w:rPr>
          <w:rFonts w:ascii="Times New Roman" w:hAnsi="Times New Roman"/>
          <w:sz w:val="24"/>
          <w:szCs w:val="24"/>
        </w:rPr>
        <w:t>electrical and electronic equipmen</w:t>
      </w:r>
      <w:r w:rsidR="00870E31">
        <w:rPr>
          <w:rFonts w:ascii="Times New Roman" w:hAnsi="Times New Roman"/>
          <w:sz w:val="24"/>
          <w:szCs w:val="24"/>
        </w:rPr>
        <w:t>t</w:t>
      </w:r>
      <w:r w:rsidR="00F535AE" w:rsidRPr="00FF2251">
        <w:rPr>
          <w:rFonts w:ascii="Times New Roman" w:hAnsi="Times New Roman"/>
          <w:sz w:val="24"/>
          <w:szCs w:val="24"/>
        </w:rPr>
        <w:t xml:space="preserve"> imports such as mobile phones, television sets, computers, stereos and radios </w:t>
      </w:r>
      <w:r w:rsidR="00517AC8">
        <w:rPr>
          <w:rFonts w:ascii="Times New Roman" w:hAnsi="Times New Roman"/>
          <w:sz w:val="24"/>
          <w:szCs w:val="24"/>
        </w:rPr>
        <w:t>frequently come</w:t>
      </w:r>
      <w:r w:rsidR="00F535AE" w:rsidRPr="00FF2251">
        <w:rPr>
          <w:rFonts w:ascii="Times New Roman" w:hAnsi="Times New Roman"/>
          <w:sz w:val="24"/>
          <w:szCs w:val="24"/>
        </w:rPr>
        <w:t xml:space="preserve"> from Europe and North America</w:t>
      </w:r>
      <w:r w:rsidR="00517AC8">
        <w:rPr>
          <w:rFonts w:ascii="Times New Roman" w:hAnsi="Times New Roman"/>
          <w:sz w:val="24"/>
          <w:szCs w:val="24"/>
        </w:rPr>
        <w:t>,</w:t>
      </w:r>
      <w:r w:rsidR="00F535AE" w:rsidRPr="00FF2251">
        <w:rPr>
          <w:rFonts w:ascii="Times New Roman" w:hAnsi="Times New Roman"/>
          <w:sz w:val="24"/>
          <w:szCs w:val="24"/>
        </w:rPr>
        <w:t xml:space="preserve"> and </w:t>
      </w:r>
      <w:r w:rsidR="003B5125" w:rsidRPr="00FF2251">
        <w:rPr>
          <w:rFonts w:ascii="Times New Roman" w:hAnsi="Times New Roman"/>
          <w:sz w:val="24"/>
          <w:szCs w:val="24"/>
        </w:rPr>
        <w:t xml:space="preserve">this </w:t>
      </w:r>
      <w:r w:rsidR="00517AC8">
        <w:rPr>
          <w:rFonts w:ascii="Times New Roman" w:hAnsi="Times New Roman"/>
          <w:sz w:val="24"/>
          <w:szCs w:val="24"/>
        </w:rPr>
        <w:t xml:space="preserve">flow of equipment </w:t>
      </w:r>
      <w:r w:rsidR="003B5125" w:rsidRPr="00FF2251">
        <w:rPr>
          <w:rFonts w:ascii="Times New Roman" w:hAnsi="Times New Roman"/>
          <w:sz w:val="24"/>
          <w:szCs w:val="24"/>
        </w:rPr>
        <w:t>has</w:t>
      </w:r>
      <w:r w:rsidR="00F535AE" w:rsidRPr="00FF2251">
        <w:rPr>
          <w:rFonts w:ascii="Times New Roman" w:hAnsi="Times New Roman"/>
          <w:sz w:val="24"/>
          <w:szCs w:val="24"/>
        </w:rPr>
        <w:t xml:space="preserve"> increased by nearly a factor of 3 between 2003 and 2008 (</w:t>
      </w:r>
      <w:r w:rsidR="00F535AE" w:rsidRPr="00FF2251">
        <w:rPr>
          <w:rFonts w:ascii="Times New Roman" w:hAnsi="Times New Roman"/>
          <w:color w:val="1A1A1A"/>
          <w:sz w:val="24"/>
          <w:szCs w:val="24"/>
        </w:rPr>
        <w:t>Amoyaw-Osei</w:t>
      </w:r>
      <w:r w:rsidR="00A2756D">
        <w:rPr>
          <w:rFonts w:ascii="Times New Roman" w:hAnsi="Times New Roman"/>
          <w:sz w:val="24"/>
          <w:szCs w:val="24"/>
        </w:rPr>
        <w:t xml:space="preserve"> et al., 2011</w:t>
      </w:r>
      <w:r w:rsidR="007B0FC8">
        <w:rPr>
          <w:rFonts w:ascii="Times New Roman" w:hAnsi="Times New Roman"/>
          <w:sz w:val="24"/>
          <w:szCs w:val="24"/>
        </w:rPr>
        <w:t>)</w:t>
      </w:r>
      <w:r w:rsidR="00F535AE" w:rsidRPr="00FF2251">
        <w:rPr>
          <w:rFonts w:ascii="Times New Roman" w:hAnsi="Times New Roman"/>
          <w:sz w:val="24"/>
          <w:szCs w:val="24"/>
        </w:rPr>
        <w:t xml:space="preserve">. </w:t>
      </w:r>
      <w:r w:rsidR="00E44B1D">
        <w:rPr>
          <w:rFonts w:ascii="Times New Roman" w:hAnsi="Times New Roman"/>
          <w:sz w:val="24"/>
          <w:szCs w:val="24"/>
        </w:rPr>
        <w:t>While some this equipment can be sold for reuse, n</w:t>
      </w:r>
      <w:r w:rsidR="00E44B1D" w:rsidRPr="00621249">
        <w:rPr>
          <w:rFonts w:ascii="Times New Roman" w:hAnsi="Times New Roman"/>
          <w:sz w:val="24"/>
          <w:szCs w:val="24"/>
        </w:rPr>
        <w:t xml:space="preserve">ot all of the devices </w:t>
      </w:r>
      <w:r w:rsidR="00E44B1D">
        <w:rPr>
          <w:rFonts w:ascii="Times New Roman" w:hAnsi="Times New Roman"/>
          <w:sz w:val="24"/>
          <w:szCs w:val="24"/>
        </w:rPr>
        <w:t xml:space="preserve">imported during this time </w:t>
      </w:r>
      <w:r w:rsidR="00E44B1D" w:rsidRPr="00621249">
        <w:rPr>
          <w:rFonts w:ascii="Times New Roman" w:hAnsi="Times New Roman"/>
          <w:sz w:val="24"/>
          <w:szCs w:val="24"/>
        </w:rPr>
        <w:t>were useful</w:t>
      </w:r>
      <w:r w:rsidR="00F535AE" w:rsidRPr="00FF2251">
        <w:rPr>
          <w:rFonts w:ascii="Times New Roman" w:hAnsi="Times New Roman"/>
          <w:sz w:val="24"/>
          <w:szCs w:val="24"/>
        </w:rPr>
        <w:t xml:space="preserve">.  For example, </w:t>
      </w:r>
      <w:r w:rsidR="003B5125" w:rsidRPr="00FF2251">
        <w:rPr>
          <w:rFonts w:ascii="Times New Roman" w:hAnsi="Times New Roman"/>
          <w:sz w:val="24"/>
          <w:szCs w:val="24"/>
        </w:rPr>
        <w:t xml:space="preserve">approximately 30-40% of </w:t>
      </w:r>
      <w:r w:rsidR="00870E31" w:rsidRPr="00FF2251">
        <w:rPr>
          <w:rFonts w:ascii="Times New Roman" w:hAnsi="Times New Roman"/>
          <w:sz w:val="24"/>
          <w:szCs w:val="24"/>
        </w:rPr>
        <w:t>all electronics</w:t>
      </w:r>
      <w:r w:rsidR="00F535AE" w:rsidRPr="00FF2251">
        <w:rPr>
          <w:rFonts w:ascii="Times New Roman" w:hAnsi="Times New Roman"/>
          <w:sz w:val="24"/>
          <w:szCs w:val="24"/>
        </w:rPr>
        <w:t xml:space="preserve"> </w:t>
      </w:r>
      <w:r w:rsidR="003B5125" w:rsidRPr="00FF2251">
        <w:rPr>
          <w:rFonts w:ascii="Times New Roman" w:hAnsi="Times New Roman"/>
          <w:sz w:val="24"/>
          <w:szCs w:val="24"/>
        </w:rPr>
        <w:t xml:space="preserve">imported into Ghana </w:t>
      </w:r>
      <w:r w:rsidR="00517AC8">
        <w:rPr>
          <w:rFonts w:ascii="Times New Roman" w:hAnsi="Times New Roman"/>
          <w:sz w:val="24"/>
          <w:szCs w:val="24"/>
        </w:rPr>
        <w:t>were non-functional</w:t>
      </w:r>
      <w:r w:rsidR="00F535AE" w:rsidRPr="00FF2251">
        <w:rPr>
          <w:rFonts w:ascii="Times New Roman" w:hAnsi="Times New Roman"/>
          <w:sz w:val="24"/>
          <w:szCs w:val="24"/>
        </w:rPr>
        <w:t xml:space="preserve"> (</w:t>
      </w:r>
      <w:r w:rsidR="00A2756D" w:rsidRPr="00FF2251">
        <w:rPr>
          <w:rFonts w:ascii="Times New Roman" w:hAnsi="Times New Roman"/>
          <w:color w:val="1A1A1A"/>
          <w:sz w:val="24"/>
          <w:szCs w:val="24"/>
        </w:rPr>
        <w:t>Amoyaw-Osei</w:t>
      </w:r>
      <w:r w:rsidR="00A2756D" w:rsidRPr="00FF2251">
        <w:rPr>
          <w:rFonts w:ascii="Times New Roman" w:hAnsi="Times New Roman"/>
          <w:sz w:val="24"/>
          <w:szCs w:val="24"/>
        </w:rPr>
        <w:t xml:space="preserve"> et al., 2011</w:t>
      </w:r>
      <w:r w:rsidR="00A2756D">
        <w:rPr>
          <w:rFonts w:ascii="Times New Roman" w:hAnsi="Times New Roman"/>
          <w:sz w:val="24"/>
          <w:szCs w:val="24"/>
        </w:rPr>
        <w:t xml:space="preserve">; </w:t>
      </w:r>
      <w:r w:rsidR="00F535AE" w:rsidRPr="00FF2251">
        <w:rPr>
          <w:rFonts w:ascii="Times New Roman" w:hAnsi="Times New Roman"/>
          <w:sz w:val="24"/>
          <w:szCs w:val="24"/>
        </w:rPr>
        <w:t>Schluep et al., 2011), and of these approximately 50% were repaired locally and sold, while the other 50% was deemed unusable and became designated as e-waste, whic</w:t>
      </w:r>
      <w:r w:rsidR="003B5125" w:rsidRPr="00FF2251">
        <w:rPr>
          <w:rFonts w:ascii="Times New Roman" w:hAnsi="Times New Roman"/>
          <w:sz w:val="24"/>
          <w:szCs w:val="24"/>
        </w:rPr>
        <w:t>h amounted to approximately 40,0</w:t>
      </w:r>
      <w:r w:rsidR="00F535AE" w:rsidRPr="00FF2251">
        <w:rPr>
          <w:rFonts w:ascii="Times New Roman" w:hAnsi="Times New Roman"/>
          <w:sz w:val="24"/>
          <w:szCs w:val="24"/>
        </w:rPr>
        <w:t xml:space="preserve">00 tons of imported e-waste in 2010 (Schluep et al., 2011). </w:t>
      </w:r>
    </w:p>
    <w:p w14:paraId="13FAB402" w14:textId="77777777" w:rsidR="00517AC8" w:rsidRDefault="00517AC8" w:rsidP="00FF2251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47C474B7" w14:textId="2CD59F3A" w:rsidR="00F535AE" w:rsidRDefault="00F535AE" w:rsidP="00FF2251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 xml:space="preserve">One of the largest and most publicized e-waste sites in the world is located in Ghana’s capital city of Accra. The site, known as Agbogbloshie, </w:t>
      </w:r>
      <w:r w:rsidR="003B5125" w:rsidRPr="00FF2251">
        <w:rPr>
          <w:rFonts w:ascii="Times New Roman" w:hAnsi="Times New Roman"/>
          <w:sz w:val="24"/>
          <w:szCs w:val="24"/>
        </w:rPr>
        <w:t xml:space="preserve">originated as a </w:t>
      </w:r>
      <w:r w:rsidRPr="00FF2251">
        <w:rPr>
          <w:rFonts w:ascii="Times New Roman" w:hAnsi="Times New Roman"/>
          <w:sz w:val="24"/>
          <w:szCs w:val="24"/>
        </w:rPr>
        <w:t xml:space="preserve">scrap metal </w:t>
      </w:r>
      <w:r w:rsidR="003B5125" w:rsidRPr="00FF2251">
        <w:rPr>
          <w:rFonts w:ascii="Times New Roman" w:hAnsi="Times New Roman"/>
          <w:sz w:val="24"/>
          <w:szCs w:val="24"/>
        </w:rPr>
        <w:t xml:space="preserve">recycling </w:t>
      </w:r>
      <w:r w:rsidRPr="00FF2251">
        <w:rPr>
          <w:rFonts w:ascii="Times New Roman" w:hAnsi="Times New Roman"/>
          <w:sz w:val="24"/>
          <w:szCs w:val="24"/>
        </w:rPr>
        <w:t>site</w:t>
      </w:r>
      <w:r w:rsidR="003B5125" w:rsidRPr="00FF2251">
        <w:rPr>
          <w:rFonts w:ascii="Times New Roman" w:hAnsi="Times New Roman"/>
          <w:sz w:val="24"/>
          <w:szCs w:val="24"/>
        </w:rPr>
        <w:t xml:space="preserve"> and over the past decade has grown to serve as a</w:t>
      </w:r>
      <w:r w:rsidR="0041476A" w:rsidRPr="00FF2251">
        <w:rPr>
          <w:rFonts w:ascii="Times New Roman" w:hAnsi="Times New Roman"/>
          <w:sz w:val="24"/>
          <w:szCs w:val="24"/>
        </w:rPr>
        <w:t>n important</w:t>
      </w:r>
      <w:r w:rsidR="003B5125" w:rsidRPr="00FF2251">
        <w:rPr>
          <w:rFonts w:ascii="Times New Roman" w:hAnsi="Times New Roman"/>
          <w:sz w:val="24"/>
          <w:szCs w:val="24"/>
        </w:rPr>
        <w:t xml:space="preserve"> </w:t>
      </w:r>
      <w:r w:rsidRPr="00FF2251">
        <w:rPr>
          <w:rFonts w:ascii="Times New Roman" w:hAnsi="Times New Roman"/>
          <w:sz w:val="24"/>
          <w:szCs w:val="24"/>
        </w:rPr>
        <w:t xml:space="preserve">recycling </w:t>
      </w:r>
      <w:r w:rsidR="003B5125" w:rsidRPr="00FF2251">
        <w:rPr>
          <w:rFonts w:ascii="Times New Roman" w:hAnsi="Times New Roman"/>
          <w:sz w:val="24"/>
          <w:szCs w:val="24"/>
        </w:rPr>
        <w:t>site</w:t>
      </w:r>
      <w:r w:rsidRPr="00FF2251">
        <w:rPr>
          <w:rFonts w:ascii="Times New Roman" w:hAnsi="Times New Roman"/>
          <w:sz w:val="24"/>
          <w:szCs w:val="24"/>
        </w:rPr>
        <w:t xml:space="preserve"> for e-waste (</w:t>
      </w:r>
      <w:r w:rsidRPr="00FF2251">
        <w:rPr>
          <w:rFonts w:ascii="Times New Roman" w:hAnsi="Times New Roman"/>
          <w:color w:val="1A1A1A"/>
          <w:sz w:val="24"/>
          <w:szCs w:val="24"/>
        </w:rPr>
        <w:t>Amoyaw-Osei</w:t>
      </w:r>
      <w:r w:rsidRPr="00FF2251">
        <w:rPr>
          <w:rFonts w:ascii="Times New Roman" w:hAnsi="Times New Roman"/>
          <w:sz w:val="24"/>
          <w:szCs w:val="24"/>
        </w:rPr>
        <w:t xml:space="preserve"> et al., 2011). </w:t>
      </w:r>
      <w:r w:rsidR="003A38DF" w:rsidRPr="00FF2251">
        <w:rPr>
          <w:rFonts w:ascii="Times New Roman" w:hAnsi="Times New Roman"/>
          <w:sz w:val="24"/>
          <w:szCs w:val="24"/>
        </w:rPr>
        <w:t>In recent years</w:t>
      </w:r>
      <w:r w:rsidRPr="00FF2251">
        <w:rPr>
          <w:rFonts w:ascii="Times New Roman" w:hAnsi="Times New Roman"/>
          <w:sz w:val="24"/>
          <w:szCs w:val="24"/>
        </w:rPr>
        <w:t xml:space="preserve"> Agbogbloshie has come under media scrutiny due to the negative health</w:t>
      </w:r>
      <w:r w:rsidR="003A38DF" w:rsidRPr="00FF2251">
        <w:rPr>
          <w:rFonts w:ascii="Times New Roman" w:hAnsi="Times New Roman"/>
          <w:sz w:val="24"/>
          <w:szCs w:val="24"/>
        </w:rPr>
        <w:t xml:space="preserve"> and </w:t>
      </w:r>
      <w:r w:rsidRPr="00FF2251">
        <w:rPr>
          <w:rFonts w:ascii="Times New Roman" w:hAnsi="Times New Roman"/>
          <w:sz w:val="24"/>
          <w:szCs w:val="24"/>
        </w:rPr>
        <w:t>safety</w:t>
      </w:r>
      <w:r w:rsidR="003A38DF" w:rsidRPr="00FF2251">
        <w:rPr>
          <w:rFonts w:ascii="Times New Roman" w:hAnsi="Times New Roman"/>
          <w:sz w:val="24"/>
          <w:szCs w:val="24"/>
        </w:rPr>
        <w:t xml:space="preserve"> </w:t>
      </w:r>
      <w:r w:rsidRPr="00FF2251">
        <w:rPr>
          <w:rFonts w:ascii="Times New Roman" w:hAnsi="Times New Roman"/>
          <w:sz w:val="24"/>
          <w:szCs w:val="24"/>
        </w:rPr>
        <w:t xml:space="preserve">conditions </w:t>
      </w:r>
      <w:r w:rsidR="003A38DF" w:rsidRPr="00FF2251">
        <w:rPr>
          <w:rFonts w:ascii="Times New Roman" w:hAnsi="Times New Roman"/>
          <w:sz w:val="24"/>
          <w:szCs w:val="24"/>
        </w:rPr>
        <w:t xml:space="preserve">at the site.  In 2013, the site was ranked among the </w:t>
      </w:r>
      <w:r w:rsidRPr="00FF2251">
        <w:rPr>
          <w:rFonts w:ascii="Times New Roman" w:hAnsi="Times New Roman"/>
          <w:sz w:val="24"/>
          <w:szCs w:val="24"/>
        </w:rPr>
        <w:t>world’s top ten toxic threats by the Blacksmith Institute and Green Cross Switzerland (</w:t>
      </w:r>
      <w:r w:rsidRPr="00FF2251">
        <w:rPr>
          <w:rFonts w:ascii="Times New Roman" w:hAnsi="Times New Roman"/>
          <w:color w:val="1A1A1A"/>
          <w:sz w:val="24"/>
          <w:szCs w:val="24"/>
        </w:rPr>
        <w:t xml:space="preserve">Bernhardt </w:t>
      </w:r>
      <w:r w:rsidR="00A2756D">
        <w:rPr>
          <w:rFonts w:ascii="Times New Roman" w:hAnsi="Times New Roman"/>
          <w:color w:val="1A1A1A"/>
          <w:sz w:val="24"/>
          <w:szCs w:val="24"/>
        </w:rPr>
        <w:t>and</w:t>
      </w:r>
      <w:r w:rsidRPr="00FF2251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F2251">
        <w:rPr>
          <w:rFonts w:ascii="Times New Roman" w:hAnsi="Times New Roman"/>
          <w:color w:val="1A1A1A"/>
          <w:sz w:val="24"/>
          <w:szCs w:val="24"/>
        </w:rPr>
        <w:lastRenderedPageBreak/>
        <w:t>Gysi</w:t>
      </w:r>
      <w:r w:rsidR="00A2756D">
        <w:rPr>
          <w:rFonts w:ascii="Times New Roman" w:hAnsi="Times New Roman"/>
          <w:color w:val="1A1A1A"/>
          <w:sz w:val="24"/>
          <w:szCs w:val="24"/>
        </w:rPr>
        <w:t>,</w:t>
      </w:r>
      <w:r w:rsidRPr="00FF2251">
        <w:rPr>
          <w:rFonts w:ascii="Times New Roman" w:hAnsi="Times New Roman"/>
          <w:color w:val="1A1A1A"/>
          <w:sz w:val="24"/>
          <w:szCs w:val="24"/>
        </w:rPr>
        <w:t xml:space="preserve"> 2013</w:t>
      </w:r>
      <w:r w:rsidRPr="00FF2251">
        <w:rPr>
          <w:rFonts w:ascii="Times New Roman" w:hAnsi="Times New Roman"/>
          <w:sz w:val="24"/>
          <w:szCs w:val="24"/>
        </w:rPr>
        <w:t>).</w:t>
      </w:r>
    </w:p>
    <w:p w14:paraId="7B1CFE24" w14:textId="77777777" w:rsidR="00FF2251" w:rsidRPr="00FF2251" w:rsidRDefault="00FF2251" w:rsidP="00FF2251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0D8DBFB5" w14:textId="57B1AAAB" w:rsidR="0012028C" w:rsidRPr="00FF2251" w:rsidRDefault="003A38DF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 xml:space="preserve">Worldwide there is growing concern about exposures to toxic chemicals and </w:t>
      </w:r>
      <w:r w:rsidR="00E44B1D">
        <w:rPr>
          <w:rFonts w:ascii="Times New Roman" w:hAnsi="Times New Roman"/>
          <w:sz w:val="24"/>
          <w:szCs w:val="24"/>
        </w:rPr>
        <w:t xml:space="preserve">the </w:t>
      </w:r>
      <w:r w:rsidRPr="00FF2251">
        <w:rPr>
          <w:rFonts w:ascii="Times New Roman" w:hAnsi="Times New Roman"/>
          <w:sz w:val="24"/>
          <w:szCs w:val="24"/>
        </w:rPr>
        <w:t xml:space="preserve">associated health impacts </w:t>
      </w:r>
      <w:r w:rsidR="00517AC8">
        <w:rPr>
          <w:rFonts w:ascii="Times New Roman" w:hAnsi="Times New Roman"/>
          <w:sz w:val="24"/>
          <w:szCs w:val="24"/>
        </w:rPr>
        <w:t>at</w:t>
      </w:r>
      <w:r w:rsidRPr="00FF2251">
        <w:rPr>
          <w:rFonts w:ascii="Times New Roman" w:hAnsi="Times New Roman"/>
          <w:sz w:val="24"/>
          <w:szCs w:val="24"/>
        </w:rPr>
        <w:t xml:space="preserve"> e-waste recycling sites (Heacock et al., 2016), and Agbogbloshie is no exception.   At Agbogbloshie, toxic elements arising from the electronic items that are processed</w:t>
      </w:r>
      <w:r w:rsidR="00517AC8">
        <w:rPr>
          <w:rFonts w:ascii="Times New Roman" w:hAnsi="Times New Roman"/>
          <w:sz w:val="24"/>
          <w:szCs w:val="24"/>
        </w:rPr>
        <w:t>,</w:t>
      </w:r>
      <w:r w:rsidRPr="00FF2251">
        <w:rPr>
          <w:rFonts w:ascii="Times New Roman" w:hAnsi="Times New Roman"/>
          <w:sz w:val="24"/>
          <w:szCs w:val="24"/>
        </w:rPr>
        <w:t xml:space="preserve"> including </w:t>
      </w:r>
      <w:r w:rsidR="00517AC8">
        <w:rPr>
          <w:rFonts w:ascii="Times New Roman" w:hAnsi="Times New Roman"/>
          <w:sz w:val="24"/>
          <w:szCs w:val="24"/>
        </w:rPr>
        <w:t xml:space="preserve">(but not limited to) </w:t>
      </w:r>
      <w:r w:rsidRPr="00FF2251">
        <w:rPr>
          <w:rFonts w:ascii="Times New Roman" w:hAnsi="Times New Roman"/>
          <w:sz w:val="24"/>
          <w:szCs w:val="24"/>
        </w:rPr>
        <w:t>arsenic, lead, mercury and</w:t>
      </w:r>
      <w:r w:rsidR="00517AC8">
        <w:rPr>
          <w:rFonts w:ascii="Times New Roman" w:hAnsi="Times New Roman"/>
          <w:sz w:val="24"/>
          <w:szCs w:val="24"/>
        </w:rPr>
        <w:t xml:space="preserve"> copper,</w:t>
      </w:r>
      <w:r w:rsidRPr="00FF2251">
        <w:rPr>
          <w:rFonts w:ascii="Times New Roman" w:hAnsi="Times New Roman"/>
          <w:sz w:val="24"/>
          <w:szCs w:val="24"/>
        </w:rPr>
        <w:t xml:space="preserve"> have been found in soil, </w:t>
      </w:r>
      <w:r w:rsidR="0012028C" w:rsidRPr="00FF2251">
        <w:rPr>
          <w:rFonts w:ascii="Times New Roman" w:hAnsi="Times New Roman"/>
          <w:sz w:val="24"/>
          <w:szCs w:val="24"/>
        </w:rPr>
        <w:t xml:space="preserve">water, </w:t>
      </w:r>
      <w:r w:rsidRPr="00FF2251">
        <w:rPr>
          <w:rFonts w:ascii="Times New Roman" w:hAnsi="Times New Roman"/>
          <w:sz w:val="24"/>
          <w:szCs w:val="24"/>
        </w:rPr>
        <w:t xml:space="preserve">ash, sediment and dust </w:t>
      </w:r>
      <w:r w:rsidR="00386703">
        <w:rPr>
          <w:rFonts w:ascii="Times New Roman" w:hAnsi="Times New Roman"/>
          <w:sz w:val="24"/>
          <w:szCs w:val="24"/>
        </w:rPr>
        <w:t xml:space="preserve">collected from the site </w:t>
      </w:r>
      <w:r w:rsidRPr="00FF2251">
        <w:rPr>
          <w:rFonts w:ascii="Times New Roman" w:hAnsi="Times New Roman"/>
          <w:sz w:val="24"/>
          <w:szCs w:val="24"/>
        </w:rPr>
        <w:t>(</w:t>
      </w:r>
      <w:r w:rsidR="007B0FC8" w:rsidRPr="00FF2251">
        <w:rPr>
          <w:rFonts w:ascii="Times New Roman" w:hAnsi="Times New Roman"/>
          <w:sz w:val="24"/>
          <w:szCs w:val="24"/>
        </w:rPr>
        <w:t xml:space="preserve">Otsuka </w:t>
      </w:r>
      <w:r w:rsidRPr="00FF2251">
        <w:rPr>
          <w:rFonts w:ascii="Times New Roman" w:hAnsi="Times New Roman"/>
          <w:sz w:val="24"/>
          <w:szCs w:val="24"/>
        </w:rPr>
        <w:t xml:space="preserve">et al., 2012; Atiemo et al., 2012; Brigden et al., 2008; Chama et al., 2014; </w:t>
      </w:r>
      <w:r w:rsidR="009F1FD1">
        <w:rPr>
          <w:rFonts w:ascii="Times New Roman" w:hAnsi="Times New Roman"/>
          <w:sz w:val="24"/>
          <w:szCs w:val="24"/>
        </w:rPr>
        <w:t>Itai et al., 2014</w:t>
      </w:r>
      <w:r w:rsidRPr="00FF2251">
        <w:rPr>
          <w:rFonts w:ascii="Times New Roman" w:hAnsi="Times New Roman"/>
          <w:sz w:val="24"/>
          <w:szCs w:val="24"/>
        </w:rPr>
        <w:t xml:space="preserve">). </w:t>
      </w:r>
      <w:r w:rsidR="0012028C" w:rsidRPr="00FF2251">
        <w:rPr>
          <w:rFonts w:ascii="Times New Roman" w:hAnsi="Times New Roman"/>
          <w:sz w:val="24"/>
          <w:szCs w:val="24"/>
        </w:rPr>
        <w:t xml:space="preserve"> The area is thus characteristic of a toxic waste site, and while a number of relevant human exposure pathways exist little is k</w:t>
      </w:r>
      <w:r w:rsidR="00E44B1D">
        <w:rPr>
          <w:rFonts w:ascii="Times New Roman" w:hAnsi="Times New Roman"/>
          <w:sz w:val="24"/>
          <w:szCs w:val="24"/>
        </w:rPr>
        <w:t>nown about exposure of workers and community residents</w:t>
      </w:r>
      <w:r w:rsidR="0012028C" w:rsidRPr="00FF2251">
        <w:rPr>
          <w:rFonts w:ascii="Times New Roman" w:hAnsi="Times New Roman"/>
          <w:sz w:val="24"/>
          <w:szCs w:val="24"/>
        </w:rPr>
        <w:t xml:space="preserve"> to these elements. </w:t>
      </w:r>
      <w:r w:rsidR="00E44B1D">
        <w:rPr>
          <w:rFonts w:ascii="Times New Roman" w:hAnsi="Times New Roman"/>
          <w:sz w:val="24"/>
          <w:szCs w:val="24"/>
        </w:rPr>
        <w:t xml:space="preserve">A limited study by </w:t>
      </w:r>
      <w:r w:rsidR="00E44B1D" w:rsidRPr="00FF2251">
        <w:rPr>
          <w:rFonts w:ascii="Times New Roman" w:hAnsi="Times New Roman"/>
          <w:sz w:val="24"/>
          <w:szCs w:val="24"/>
        </w:rPr>
        <w:t>Asante et al. (20</w:t>
      </w:r>
      <w:r w:rsidR="00E44B1D">
        <w:rPr>
          <w:rFonts w:ascii="Times New Roman" w:hAnsi="Times New Roman"/>
          <w:sz w:val="24"/>
          <w:szCs w:val="24"/>
        </w:rPr>
        <w:t>12</w:t>
      </w:r>
      <w:r w:rsidR="00E44B1D" w:rsidRPr="00FF2251">
        <w:rPr>
          <w:rFonts w:ascii="Times New Roman" w:hAnsi="Times New Roman"/>
          <w:sz w:val="24"/>
          <w:szCs w:val="24"/>
        </w:rPr>
        <w:t xml:space="preserve">) </w:t>
      </w:r>
      <w:r w:rsidR="00E44B1D">
        <w:rPr>
          <w:rFonts w:ascii="Times New Roman" w:hAnsi="Times New Roman"/>
          <w:sz w:val="24"/>
          <w:szCs w:val="24"/>
        </w:rPr>
        <w:t>of</w:t>
      </w:r>
      <w:r w:rsidR="00E44B1D" w:rsidRPr="00FF2251">
        <w:rPr>
          <w:rFonts w:ascii="Times New Roman" w:hAnsi="Times New Roman"/>
          <w:sz w:val="24"/>
          <w:szCs w:val="24"/>
        </w:rPr>
        <w:t xml:space="preserve"> urine samples from 20 male workers from Agbogbloshie</w:t>
      </w:r>
      <w:r w:rsidR="00E44B1D">
        <w:rPr>
          <w:rFonts w:ascii="Times New Roman" w:hAnsi="Times New Roman"/>
          <w:sz w:val="24"/>
          <w:szCs w:val="24"/>
        </w:rPr>
        <w:t xml:space="preserve"> </w:t>
      </w:r>
      <w:r w:rsidR="00E44B1D" w:rsidRPr="00FF2251">
        <w:rPr>
          <w:rFonts w:ascii="Times New Roman" w:hAnsi="Times New Roman"/>
          <w:sz w:val="24"/>
          <w:szCs w:val="24"/>
        </w:rPr>
        <w:t>documented that some elemental exposures were elevated</w:t>
      </w:r>
      <w:r w:rsidR="00E44B1D">
        <w:rPr>
          <w:rFonts w:ascii="Times New Roman" w:hAnsi="Times New Roman"/>
          <w:sz w:val="24"/>
          <w:szCs w:val="24"/>
        </w:rPr>
        <w:t xml:space="preserve">. However, a more in depth study is needed to better characterize elemental exposures, relate these exposures with key sociodemographic variables, and determine which e-waste activities pose the greatest exposure risks for workers at Agbogbloshie so as to help inform future actions. </w:t>
      </w:r>
      <w:r w:rsidR="0012028C" w:rsidRPr="00FF2251">
        <w:rPr>
          <w:rFonts w:ascii="Times New Roman" w:hAnsi="Times New Roman"/>
          <w:sz w:val="24"/>
          <w:szCs w:val="24"/>
        </w:rPr>
        <w:t xml:space="preserve">Here, the objective of </w:t>
      </w:r>
      <w:r w:rsidR="0041476A" w:rsidRPr="00FF2251">
        <w:rPr>
          <w:rFonts w:ascii="Times New Roman" w:hAnsi="Times New Roman"/>
          <w:sz w:val="24"/>
          <w:szCs w:val="24"/>
        </w:rPr>
        <w:t>the</w:t>
      </w:r>
      <w:r w:rsidR="0012028C" w:rsidRPr="00FF2251">
        <w:rPr>
          <w:rFonts w:ascii="Times New Roman" w:hAnsi="Times New Roman"/>
          <w:sz w:val="24"/>
          <w:szCs w:val="24"/>
        </w:rPr>
        <w:t xml:space="preserve"> study was to characterize exposures to several </w:t>
      </w:r>
      <w:r w:rsidR="009F1FD1">
        <w:rPr>
          <w:rFonts w:ascii="Times New Roman" w:hAnsi="Times New Roman"/>
          <w:sz w:val="24"/>
          <w:szCs w:val="24"/>
        </w:rPr>
        <w:t xml:space="preserve">essential </w:t>
      </w:r>
      <w:r w:rsidR="00517AC8" w:rsidRPr="00FF2251">
        <w:rPr>
          <w:rFonts w:ascii="Times New Roman" w:hAnsi="Times New Roman"/>
          <w:sz w:val="24"/>
          <w:szCs w:val="24"/>
        </w:rPr>
        <w:t xml:space="preserve">(copper, </w:t>
      </w:r>
      <w:r w:rsidR="005F742A">
        <w:rPr>
          <w:rFonts w:ascii="Times New Roman" w:hAnsi="Times New Roman"/>
          <w:sz w:val="24"/>
          <w:szCs w:val="24"/>
        </w:rPr>
        <w:t xml:space="preserve">iron, manganese, </w:t>
      </w:r>
      <w:r w:rsidR="00517AC8" w:rsidRPr="00FF2251">
        <w:rPr>
          <w:rFonts w:ascii="Times New Roman" w:hAnsi="Times New Roman"/>
          <w:sz w:val="24"/>
          <w:szCs w:val="24"/>
        </w:rPr>
        <w:t xml:space="preserve">selenium, zinc) </w:t>
      </w:r>
      <w:r w:rsidR="009F1FD1">
        <w:rPr>
          <w:rFonts w:ascii="Times New Roman" w:hAnsi="Times New Roman"/>
          <w:sz w:val="24"/>
          <w:szCs w:val="24"/>
        </w:rPr>
        <w:t xml:space="preserve">and toxic </w:t>
      </w:r>
      <w:r w:rsidR="0012028C" w:rsidRPr="00FF2251">
        <w:rPr>
          <w:rFonts w:ascii="Times New Roman" w:hAnsi="Times New Roman"/>
          <w:sz w:val="24"/>
          <w:szCs w:val="24"/>
        </w:rPr>
        <w:t>(arsenic, cadmium, cobalt, chromium,</w:t>
      </w:r>
      <w:r w:rsidR="00517AC8">
        <w:rPr>
          <w:rFonts w:ascii="Times New Roman" w:hAnsi="Times New Roman"/>
          <w:sz w:val="24"/>
          <w:szCs w:val="24"/>
        </w:rPr>
        <w:t xml:space="preserve"> </w:t>
      </w:r>
      <w:r w:rsidR="005F742A">
        <w:rPr>
          <w:rFonts w:ascii="Times New Roman" w:hAnsi="Times New Roman"/>
          <w:sz w:val="24"/>
          <w:szCs w:val="24"/>
        </w:rPr>
        <w:t>mercury,</w:t>
      </w:r>
      <w:r w:rsidR="00517AC8">
        <w:rPr>
          <w:rFonts w:ascii="Times New Roman" w:hAnsi="Times New Roman"/>
          <w:sz w:val="24"/>
          <w:szCs w:val="24"/>
        </w:rPr>
        <w:t xml:space="preserve"> nickel, lead</w:t>
      </w:r>
      <w:r w:rsidR="0012028C" w:rsidRPr="00FF2251">
        <w:rPr>
          <w:rFonts w:ascii="Times New Roman" w:hAnsi="Times New Roman"/>
          <w:sz w:val="24"/>
          <w:szCs w:val="24"/>
        </w:rPr>
        <w:t>)</w:t>
      </w:r>
      <w:r w:rsidR="00517AC8">
        <w:rPr>
          <w:rFonts w:ascii="Times New Roman" w:hAnsi="Times New Roman"/>
          <w:sz w:val="24"/>
          <w:szCs w:val="24"/>
        </w:rPr>
        <w:t xml:space="preserve"> elements</w:t>
      </w:r>
      <w:r w:rsidR="0012028C" w:rsidRPr="00FF2251">
        <w:rPr>
          <w:rFonts w:ascii="Times New Roman" w:hAnsi="Times New Roman"/>
          <w:sz w:val="24"/>
          <w:szCs w:val="24"/>
        </w:rPr>
        <w:t xml:space="preserve"> in the urine and blood of male workers at the Agbogbloshie site</w:t>
      </w:r>
      <w:r w:rsidR="00517AC8">
        <w:rPr>
          <w:rFonts w:ascii="Times New Roman" w:hAnsi="Times New Roman"/>
          <w:sz w:val="24"/>
          <w:szCs w:val="24"/>
        </w:rPr>
        <w:t>,</w:t>
      </w:r>
      <w:r w:rsidR="009F1FD1">
        <w:rPr>
          <w:rFonts w:ascii="Times New Roman" w:hAnsi="Times New Roman"/>
          <w:sz w:val="24"/>
          <w:szCs w:val="24"/>
        </w:rPr>
        <w:t xml:space="preserve"> as well as females </w:t>
      </w:r>
      <w:r w:rsidR="006E5FDE">
        <w:rPr>
          <w:rFonts w:ascii="Times New Roman" w:hAnsi="Times New Roman"/>
          <w:sz w:val="24"/>
          <w:szCs w:val="24"/>
        </w:rPr>
        <w:t>who sell water and food at the site</w:t>
      </w:r>
      <w:r w:rsidR="0012028C" w:rsidRPr="00FF2251">
        <w:rPr>
          <w:rFonts w:ascii="Times New Roman" w:hAnsi="Times New Roman"/>
          <w:sz w:val="24"/>
          <w:szCs w:val="24"/>
        </w:rPr>
        <w:t xml:space="preserve">, and to relate these exposures to a number of sociodemographic and occupational characteristics. </w:t>
      </w:r>
    </w:p>
    <w:p w14:paraId="5718C032" w14:textId="519439AC" w:rsidR="003A38DF" w:rsidRPr="00FF2251" w:rsidRDefault="003A38DF" w:rsidP="00FF2251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3E756402" w14:textId="159DBC1E" w:rsidR="0041476A" w:rsidRPr="00FF2251" w:rsidRDefault="0041476A" w:rsidP="00FF2251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FF2251">
        <w:rPr>
          <w:rFonts w:ascii="Times New Roman" w:hAnsi="Times New Roman" w:cs="Times New Roman"/>
          <w:color w:val="auto"/>
        </w:rPr>
        <w:br w:type="page"/>
      </w:r>
    </w:p>
    <w:p w14:paraId="5F469587" w14:textId="77777777" w:rsidR="0012028C" w:rsidRPr="00FF2251" w:rsidRDefault="0012028C" w:rsidP="00FF2251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14:paraId="3A093DDB" w14:textId="6AEA1873" w:rsidR="0074391B" w:rsidRPr="00FF2251" w:rsidRDefault="00823B10" w:rsidP="00FF22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b/>
          <w:sz w:val="24"/>
          <w:szCs w:val="24"/>
        </w:rPr>
        <w:t xml:space="preserve">2.0 </w:t>
      </w:r>
      <w:r w:rsidR="003A3CBA" w:rsidRPr="00FF2251">
        <w:rPr>
          <w:rFonts w:ascii="Times New Roman" w:hAnsi="Times New Roman"/>
          <w:b/>
          <w:sz w:val="24"/>
          <w:szCs w:val="24"/>
        </w:rPr>
        <w:t xml:space="preserve">MATERIALS AND </w:t>
      </w:r>
      <w:r w:rsidR="0074391B" w:rsidRPr="00FF2251">
        <w:rPr>
          <w:rFonts w:ascii="Times New Roman" w:hAnsi="Times New Roman"/>
          <w:b/>
          <w:sz w:val="24"/>
          <w:szCs w:val="24"/>
        </w:rPr>
        <w:t>MET</w:t>
      </w:r>
      <w:r w:rsidR="003A3CBA" w:rsidRPr="00FF2251">
        <w:rPr>
          <w:rFonts w:ascii="Times New Roman" w:hAnsi="Times New Roman"/>
          <w:b/>
          <w:sz w:val="24"/>
          <w:szCs w:val="24"/>
        </w:rPr>
        <w:t>H</w:t>
      </w:r>
      <w:r w:rsidR="0074391B" w:rsidRPr="00FF2251">
        <w:rPr>
          <w:rFonts w:ascii="Times New Roman" w:hAnsi="Times New Roman"/>
          <w:b/>
          <w:sz w:val="24"/>
          <w:szCs w:val="24"/>
        </w:rPr>
        <w:t>ODS</w:t>
      </w:r>
    </w:p>
    <w:p w14:paraId="1E131C4C" w14:textId="77777777" w:rsidR="005E3576" w:rsidRDefault="005E3576" w:rsidP="00FF2251">
      <w:pPr>
        <w:tabs>
          <w:tab w:val="left" w:pos="720"/>
        </w:tabs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14:paraId="0F96D021" w14:textId="79B1C0DB" w:rsidR="00823B10" w:rsidRPr="00FF2251" w:rsidRDefault="00F8664D" w:rsidP="00FF2251">
      <w:pPr>
        <w:tabs>
          <w:tab w:val="left" w:pos="720"/>
        </w:tabs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FF2251">
        <w:rPr>
          <w:rFonts w:ascii="Times New Roman" w:hAnsi="Times New Roman"/>
          <w:i/>
          <w:sz w:val="24"/>
          <w:szCs w:val="24"/>
        </w:rPr>
        <w:t xml:space="preserve">2.1 </w:t>
      </w:r>
      <w:r w:rsidR="007946CD" w:rsidRPr="00FF2251">
        <w:rPr>
          <w:rFonts w:ascii="Times New Roman" w:hAnsi="Times New Roman"/>
          <w:i/>
          <w:sz w:val="24"/>
          <w:szCs w:val="24"/>
        </w:rPr>
        <w:t>Study Site</w:t>
      </w:r>
      <w:r w:rsidR="00001E20" w:rsidRPr="00FF2251">
        <w:rPr>
          <w:rFonts w:ascii="Times New Roman" w:hAnsi="Times New Roman"/>
          <w:i/>
          <w:sz w:val="24"/>
          <w:szCs w:val="24"/>
        </w:rPr>
        <w:t xml:space="preserve"> Description</w:t>
      </w:r>
    </w:p>
    <w:p w14:paraId="567D0B31" w14:textId="4D328D45" w:rsidR="00494D6F" w:rsidRPr="00FF2251" w:rsidRDefault="006E5FDE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66082" w:rsidRPr="00FF2251">
        <w:rPr>
          <w:rFonts w:ascii="Times New Roman" w:hAnsi="Times New Roman"/>
          <w:sz w:val="24"/>
          <w:szCs w:val="24"/>
        </w:rPr>
        <w:t xml:space="preserve">Agbogbloshie </w:t>
      </w:r>
      <w:r w:rsidR="00261857" w:rsidRPr="00FF2251">
        <w:rPr>
          <w:rFonts w:ascii="Times New Roman" w:hAnsi="Times New Roman"/>
          <w:sz w:val="24"/>
          <w:szCs w:val="24"/>
        </w:rPr>
        <w:t xml:space="preserve">e-waste recycling site </w:t>
      </w:r>
      <w:r w:rsidR="0080018F" w:rsidRPr="00FF2251">
        <w:rPr>
          <w:rFonts w:ascii="Times New Roman" w:hAnsi="Times New Roman"/>
          <w:sz w:val="24"/>
          <w:szCs w:val="24"/>
        </w:rPr>
        <w:t>is situated on the bank of the Korle-lagoon on the western side of the Odaw River</w:t>
      </w:r>
      <w:r w:rsidR="00D9424F" w:rsidRPr="00FF2251">
        <w:rPr>
          <w:rFonts w:ascii="Times New Roman" w:hAnsi="Times New Roman"/>
          <w:sz w:val="24"/>
          <w:szCs w:val="24"/>
        </w:rPr>
        <w:t xml:space="preserve"> </w:t>
      </w:r>
      <w:r w:rsidR="00001E20" w:rsidRPr="00FF2251">
        <w:rPr>
          <w:rFonts w:ascii="Times New Roman" w:hAnsi="Times New Roman"/>
          <w:sz w:val="24"/>
          <w:szCs w:val="24"/>
        </w:rPr>
        <w:t>in central Accra</w:t>
      </w:r>
      <w:r w:rsidR="00297F97" w:rsidRPr="00FF2251">
        <w:rPr>
          <w:rFonts w:ascii="Times New Roman" w:hAnsi="Times New Roman"/>
          <w:sz w:val="24"/>
          <w:szCs w:val="24"/>
        </w:rPr>
        <w:t>, Ghana</w:t>
      </w:r>
      <w:r w:rsidR="00DC6385">
        <w:rPr>
          <w:rFonts w:ascii="Times New Roman" w:hAnsi="Times New Roman"/>
          <w:sz w:val="24"/>
          <w:szCs w:val="24"/>
        </w:rPr>
        <w:t xml:space="preserve"> (</w:t>
      </w:r>
      <w:r w:rsidR="00353FA5" w:rsidRPr="00FF2251">
        <w:rPr>
          <w:rFonts w:ascii="Times New Roman" w:hAnsi="Times New Roman"/>
          <w:color w:val="1A1A1A"/>
          <w:sz w:val="24"/>
          <w:szCs w:val="24"/>
        </w:rPr>
        <w:t>Amoyaw-Osei</w:t>
      </w:r>
      <w:r w:rsidR="00353FA5" w:rsidRPr="00FF2251">
        <w:rPr>
          <w:rFonts w:ascii="Times New Roman" w:hAnsi="Times New Roman"/>
          <w:sz w:val="24"/>
          <w:szCs w:val="24"/>
        </w:rPr>
        <w:t xml:space="preserve"> et al., 2011</w:t>
      </w:r>
      <w:r w:rsidR="00DC6385">
        <w:rPr>
          <w:rFonts w:ascii="Times New Roman" w:hAnsi="Times New Roman"/>
          <w:sz w:val="24"/>
          <w:szCs w:val="24"/>
        </w:rPr>
        <w:t>)</w:t>
      </w:r>
      <w:r w:rsidR="0080018F" w:rsidRPr="00FF2251">
        <w:rPr>
          <w:rFonts w:ascii="Times New Roman" w:hAnsi="Times New Roman"/>
          <w:sz w:val="24"/>
          <w:szCs w:val="24"/>
        </w:rPr>
        <w:t xml:space="preserve">. The </w:t>
      </w:r>
      <w:r w:rsidR="00261857" w:rsidRPr="00FF2251">
        <w:rPr>
          <w:rFonts w:ascii="Times New Roman" w:hAnsi="Times New Roman"/>
          <w:sz w:val="24"/>
          <w:szCs w:val="24"/>
        </w:rPr>
        <w:t>area</w:t>
      </w:r>
      <w:r w:rsidR="0080018F" w:rsidRPr="00FF2251">
        <w:rPr>
          <w:rFonts w:ascii="Times New Roman" w:hAnsi="Times New Roman"/>
          <w:sz w:val="24"/>
          <w:szCs w:val="24"/>
        </w:rPr>
        <w:t xml:space="preserve"> is flat and highly industrialized</w:t>
      </w:r>
      <w:r w:rsidR="00261857" w:rsidRPr="00FF2251">
        <w:rPr>
          <w:rFonts w:ascii="Times New Roman" w:hAnsi="Times New Roman"/>
          <w:sz w:val="24"/>
          <w:szCs w:val="24"/>
        </w:rPr>
        <w:t xml:space="preserve"> and urbanized</w:t>
      </w:r>
      <w:r w:rsidR="0080018F" w:rsidRPr="00FF2251">
        <w:rPr>
          <w:rFonts w:ascii="Times New Roman" w:hAnsi="Times New Roman"/>
          <w:sz w:val="24"/>
          <w:szCs w:val="24"/>
        </w:rPr>
        <w:t xml:space="preserve">, consisting of scattered recyclers working out of small sheds and in the open. An assortment of </w:t>
      </w:r>
      <w:r w:rsidR="00297F97" w:rsidRPr="00FF2251">
        <w:rPr>
          <w:rFonts w:ascii="Times New Roman" w:hAnsi="Times New Roman"/>
          <w:sz w:val="24"/>
          <w:szCs w:val="24"/>
        </w:rPr>
        <w:t xml:space="preserve">electronic items, namely </w:t>
      </w:r>
      <w:r w:rsidR="0080018F" w:rsidRPr="00FF2251">
        <w:rPr>
          <w:rFonts w:ascii="Times New Roman" w:hAnsi="Times New Roman"/>
          <w:sz w:val="24"/>
          <w:szCs w:val="24"/>
        </w:rPr>
        <w:t xml:space="preserve">refrigerators, computers, </w:t>
      </w:r>
      <w:r w:rsidR="00297F97" w:rsidRPr="00FF2251">
        <w:rPr>
          <w:rFonts w:ascii="Times New Roman" w:hAnsi="Times New Roman"/>
          <w:sz w:val="24"/>
          <w:szCs w:val="24"/>
        </w:rPr>
        <w:t xml:space="preserve">and </w:t>
      </w:r>
      <w:r w:rsidR="0080018F" w:rsidRPr="00FF2251">
        <w:rPr>
          <w:rFonts w:ascii="Times New Roman" w:hAnsi="Times New Roman"/>
          <w:sz w:val="24"/>
          <w:szCs w:val="24"/>
        </w:rPr>
        <w:t xml:space="preserve">car parts </w:t>
      </w:r>
      <w:r w:rsidR="00297F97" w:rsidRPr="00FF2251">
        <w:rPr>
          <w:rFonts w:ascii="Times New Roman" w:hAnsi="Times New Roman"/>
          <w:sz w:val="24"/>
          <w:szCs w:val="24"/>
        </w:rPr>
        <w:t>(as well as</w:t>
      </w:r>
      <w:r w:rsidR="0080018F" w:rsidRPr="00FF2251">
        <w:rPr>
          <w:rFonts w:ascii="Times New Roman" w:hAnsi="Times New Roman"/>
          <w:sz w:val="24"/>
          <w:szCs w:val="24"/>
        </w:rPr>
        <w:t xml:space="preserve"> other industrial and residential </w:t>
      </w:r>
      <w:r w:rsidR="00297F97" w:rsidRPr="00FF2251">
        <w:rPr>
          <w:rFonts w:ascii="Times New Roman" w:hAnsi="Times New Roman"/>
          <w:sz w:val="24"/>
          <w:szCs w:val="24"/>
        </w:rPr>
        <w:t>items)</w:t>
      </w:r>
      <w:r w:rsidR="0080018F" w:rsidRPr="00FF2251">
        <w:rPr>
          <w:rFonts w:ascii="Times New Roman" w:hAnsi="Times New Roman"/>
          <w:sz w:val="24"/>
          <w:szCs w:val="24"/>
        </w:rPr>
        <w:t xml:space="preserve"> are transported to the site </w:t>
      </w:r>
      <w:r w:rsidR="00261857" w:rsidRPr="00FF2251">
        <w:rPr>
          <w:rFonts w:ascii="Times New Roman" w:hAnsi="Times New Roman"/>
          <w:sz w:val="24"/>
          <w:szCs w:val="24"/>
        </w:rPr>
        <w:t>f</w:t>
      </w:r>
      <w:r w:rsidR="00297F97" w:rsidRPr="00FF2251">
        <w:rPr>
          <w:rFonts w:ascii="Times New Roman" w:hAnsi="Times New Roman"/>
          <w:sz w:val="24"/>
          <w:szCs w:val="24"/>
        </w:rPr>
        <w:t>or processing</w:t>
      </w:r>
      <w:r w:rsidR="0080018F" w:rsidRPr="00FF2251">
        <w:rPr>
          <w:rFonts w:ascii="Times New Roman" w:hAnsi="Times New Roman"/>
          <w:sz w:val="24"/>
          <w:szCs w:val="24"/>
        </w:rPr>
        <w:t>.</w:t>
      </w:r>
      <w:r w:rsidR="00297F97" w:rsidRPr="00FF2251">
        <w:rPr>
          <w:rFonts w:ascii="Times New Roman" w:hAnsi="Times New Roman"/>
          <w:sz w:val="24"/>
          <w:szCs w:val="24"/>
        </w:rPr>
        <w:t xml:space="preserve">  It is important to note that workers at the site not only recycle </w:t>
      </w:r>
      <w:r w:rsidR="00261857" w:rsidRPr="00FF2251">
        <w:rPr>
          <w:rFonts w:ascii="Times New Roman" w:hAnsi="Times New Roman"/>
          <w:sz w:val="24"/>
          <w:szCs w:val="24"/>
        </w:rPr>
        <w:t>e-</w:t>
      </w:r>
      <w:r w:rsidR="00297F97" w:rsidRPr="00FF2251">
        <w:rPr>
          <w:rFonts w:ascii="Times New Roman" w:hAnsi="Times New Roman"/>
          <w:sz w:val="24"/>
          <w:szCs w:val="24"/>
        </w:rPr>
        <w:t xml:space="preserve">waste, but also other items such as </w:t>
      </w:r>
      <w:r w:rsidR="00517AC8">
        <w:rPr>
          <w:rFonts w:ascii="Times New Roman" w:hAnsi="Times New Roman"/>
          <w:sz w:val="24"/>
          <w:szCs w:val="24"/>
        </w:rPr>
        <w:t>scrap metal,</w:t>
      </w:r>
      <w:r w:rsidR="00297F97" w:rsidRPr="00FF2251">
        <w:rPr>
          <w:rFonts w:ascii="Times New Roman" w:hAnsi="Times New Roman"/>
          <w:sz w:val="24"/>
          <w:szCs w:val="24"/>
        </w:rPr>
        <w:t xml:space="preserve"> so it is not easy to distinguish </w:t>
      </w:r>
      <w:r w:rsidR="00E44B1D">
        <w:rPr>
          <w:rFonts w:ascii="Times New Roman" w:hAnsi="Times New Roman"/>
          <w:sz w:val="24"/>
          <w:szCs w:val="24"/>
        </w:rPr>
        <w:t>among these</w:t>
      </w:r>
      <w:r w:rsidR="00297F97" w:rsidRPr="00FF2251">
        <w:rPr>
          <w:rFonts w:ascii="Times New Roman" w:hAnsi="Times New Roman"/>
          <w:sz w:val="24"/>
          <w:szCs w:val="24"/>
        </w:rPr>
        <w:t xml:space="preserve"> activities.</w:t>
      </w:r>
      <w:r w:rsidR="0080018F" w:rsidRPr="00FF2251">
        <w:rPr>
          <w:rFonts w:ascii="Times New Roman" w:hAnsi="Times New Roman"/>
          <w:sz w:val="24"/>
          <w:szCs w:val="24"/>
        </w:rPr>
        <w:t xml:space="preserve"> </w:t>
      </w:r>
      <w:r w:rsidR="00261857" w:rsidRPr="00FF2251">
        <w:rPr>
          <w:rFonts w:ascii="Times New Roman" w:hAnsi="Times New Roman"/>
          <w:sz w:val="24"/>
          <w:szCs w:val="24"/>
        </w:rPr>
        <w:t>The scrap metal section at Agbogbloshie is separated into two main areas.  In the first area, items are offloaded, collected,</w:t>
      </w:r>
      <w:r w:rsidR="008E0B33">
        <w:rPr>
          <w:rFonts w:ascii="Times New Roman" w:hAnsi="Times New Roman"/>
          <w:sz w:val="24"/>
          <w:szCs w:val="24"/>
        </w:rPr>
        <w:t xml:space="preserve"> sorted, dismantled</w:t>
      </w:r>
      <w:r w:rsidR="00E44B1D">
        <w:rPr>
          <w:rFonts w:ascii="Times New Roman" w:hAnsi="Times New Roman"/>
          <w:sz w:val="24"/>
          <w:szCs w:val="24"/>
        </w:rPr>
        <w:t>,</w:t>
      </w:r>
      <w:r w:rsidR="008E0B33">
        <w:rPr>
          <w:rFonts w:ascii="Times New Roman" w:hAnsi="Times New Roman"/>
          <w:sz w:val="24"/>
          <w:szCs w:val="24"/>
        </w:rPr>
        <w:t xml:space="preserve"> and traded</w:t>
      </w:r>
      <w:r w:rsidR="00261857" w:rsidRPr="00FF2251">
        <w:rPr>
          <w:rFonts w:ascii="Times New Roman" w:hAnsi="Times New Roman"/>
          <w:sz w:val="24"/>
          <w:szCs w:val="24"/>
        </w:rPr>
        <w:t xml:space="preserve">. The workers use the second area, located at the edge of the Odaw River, as an operational field for the creation of small fires </w:t>
      </w:r>
      <w:r w:rsidR="00517AC8">
        <w:rPr>
          <w:rFonts w:ascii="Times New Roman" w:hAnsi="Times New Roman"/>
          <w:sz w:val="24"/>
          <w:szCs w:val="24"/>
        </w:rPr>
        <w:t xml:space="preserve">(fueled by scrap rubber tires, foam insulation, and other debris) </w:t>
      </w:r>
      <w:r w:rsidR="00261857" w:rsidRPr="00FF2251">
        <w:rPr>
          <w:rFonts w:ascii="Times New Roman" w:hAnsi="Times New Roman"/>
          <w:sz w:val="24"/>
          <w:szCs w:val="24"/>
        </w:rPr>
        <w:t xml:space="preserve">that are used to burn plastics off of electronic wires and coils to </w:t>
      </w:r>
      <w:r w:rsidR="00386703">
        <w:rPr>
          <w:rFonts w:ascii="Times New Roman" w:hAnsi="Times New Roman"/>
          <w:sz w:val="24"/>
          <w:szCs w:val="24"/>
        </w:rPr>
        <w:t>retrieve</w:t>
      </w:r>
      <w:r w:rsidR="00261857" w:rsidRPr="00FF2251">
        <w:rPr>
          <w:rFonts w:ascii="Times New Roman" w:hAnsi="Times New Roman"/>
          <w:sz w:val="24"/>
          <w:szCs w:val="24"/>
        </w:rPr>
        <w:t xml:space="preserve"> the metals of interest. </w:t>
      </w:r>
      <w:r w:rsidR="0080018F" w:rsidRPr="00FF2251">
        <w:rPr>
          <w:rFonts w:ascii="Times New Roman" w:hAnsi="Times New Roman"/>
          <w:sz w:val="24"/>
          <w:szCs w:val="24"/>
        </w:rPr>
        <w:t xml:space="preserve">The residential community </w:t>
      </w:r>
      <w:r w:rsidR="00E44B1D">
        <w:rPr>
          <w:rFonts w:ascii="Times New Roman" w:hAnsi="Times New Roman"/>
          <w:sz w:val="24"/>
          <w:szCs w:val="24"/>
        </w:rPr>
        <w:t>that houses</w:t>
      </w:r>
      <w:r w:rsidR="0080018F" w:rsidRPr="00FF2251">
        <w:rPr>
          <w:rFonts w:ascii="Times New Roman" w:hAnsi="Times New Roman"/>
          <w:sz w:val="24"/>
          <w:szCs w:val="24"/>
        </w:rPr>
        <w:t xml:space="preserve"> Agbogbloshie workers and their families</w:t>
      </w:r>
      <w:r w:rsidR="00297F97" w:rsidRPr="00FF2251">
        <w:rPr>
          <w:rFonts w:ascii="Times New Roman" w:hAnsi="Times New Roman"/>
          <w:sz w:val="24"/>
          <w:szCs w:val="24"/>
        </w:rPr>
        <w:t xml:space="preserve"> (as well as others</w:t>
      </w:r>
      <w:r w:rsidR="00261857" w:rsidRPr="00FF2251">
        <w:rPr>
          <w:rFonts w:ascii="Times New Roman" w:hAnsi="Times New Roman"/>
          <w:sz w:val="24"/>
          <w:szCs w:val="24"/>
        </w:rPr>
        <w:t xml:space="preserve"> from the general population</w:t>
      </w:r>
      <w:r w:rsidR="00297F97" w:rsidRPr="00FF2251">
        <w:rPr>
          <w:rFonts w:ascii="Times New Roman" w:hAnsi="Times New Roman"/>
          <w:sz w:val="24"/>
          <w:szCs w:val="24"/>
        </w:rPr>
        <w:t>) is located</w:t>
      </w:r>
      <w:r w:rsidR="0080018F" w:rsidRPr="00FF2251">
        <w:rPr>
          <w:rFonts w:ascii="Times New Roman" w:hAnsi="Times New Roman"/>
          <w:sz w:val="24"/>
          <w:szCs w:val="24"/>
        </w:rPr>
        <w:t xml:space="preserve"> east of the </w:t>
      </w:r>
      <w:r w:rsidR="00297F97" w:rsidRPr="00FF2251">
        <w:rPr>
          <w:rFonts w:ascii="Times New Roman" w:hAnsi="Times New Roman"/>
          <w:sz w:val="24"/>
          <w:szCs w:val="24"/>
        </w:rPr>
        <w:t xml:space="preserve">e-waste recycling </w:t>
      </w:r>
      <w:r w:rsidR="0080018F" w:rsidRPr="00FF2251">
        <w:rPr>
          <w:rFonts w:ascii="Times New Roman" w:hAnsi="Times New Roman"/>
          <w:sz w:val="24"/>
          <w:szCs w:val="24"/>
        </w:rPr>
        <w:t xml:space="preserve">site, about 100 meters across the Odaw River. </w:t>
      </w:r>
    </w:p>
    <w:p w14:paraId="224E9999" w14:textId="77777777" w:rsidR="00FF2251" w:rsidRPr="00FF2251" w:rsidRDefault="00FF2251" w:rsidP="00FF2251">
      <w:pPr>
        <w:tabs>
          <w:tab w:val="left" w:pos="720"/>
        </w:tabs>
        <w:spacing w:after="0" w:line="480" w:lineRule="auto"/>
        <w:rPr>
          <w:rFonts w:ascii="Times New Roman" w:hAnsi="Times New Roman"/>
          <w:i/>
          <w:sz w:val="24"/>
          <w:szCs w:val="24"/>
        </w:rPr>
      </w:pPr>
    </w:p>
    <w:p w14:paraId="1623360A" w14:textId="50E80335" w:rsidR="0074391B" w:rsidRPr="00FF2251" w:rsidRDefault="00823B10" w:rsidP="00FF2251">
      <w:pPr>
        <w:tabs>
          <w:tab w:val="left" w:pos="720"/>
        </w:tabs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FF2251">
        <w:rPr>
          <w:rFonts w:ascii="Times New Roman" w:hAnsi="Times New Roman"/>
          <w:i/>
          <w:sz w:val="24"/>
          <w:szCs w:val="24"/>
        </w:rPr>
        <w:t>2.</w:t>
      </w:r>
      <w:r w:rsidR="00F8664D" w:rsidRPr="00FF2251">
        <w:rPr>
          <w:rFonts w:ascii="Times New Roman" w:hAnsi="Times New Roman"/>
          <w:i/>
          <w:sz w:val="24"/>
          <w:szCs w:val="24"/>
        </w:rPr>
        <w:t>2</w:t>
      </w:r>
      <w:r w:rsidRPr="00FF2251">
        <w:rPr>
          <w:rFonts w:ascii="Times New Roman" w:hAnsi="Times New Roman"/>
          <w:i/>
          <w:sz w:val="24"/>
          <w:szCs w:val="24"/>
        </w:rPr>
        <w:t xml:space="preserve"> </w:t>
      </w:r>
      <w:r w:rsidR="00665A49" w:rsidRPr="00FF2251">
        <w:rPr>
          <w:rFonts w:ascii="Times New Roman" w:hAnsi="Times New Roman"/>
          <w:i/>
          <w:sz w:val="24"/>
          <w:szCs w:val="24"/>
        </w:rPr>
        <w:t xml:space="preserve">Participants </w:t>
      </w:r>
      <w:r w:rsidR="00CE252B" w:rsidRPr="00FF2251">
        <w:rPr>
          <w:rFonts w:ascii="Times New Roman" w:hAnsi="Times New Roman"/>
          <w:i/>
          <w:sz w:val="24"/>
          <w:szCs w:val="24"/>
        </w:rPr>
        <w:t xml:space="preserve">and Samples </w:t>
      </w:r>
    </w:p>
    <w:p w14:paraId="22CCA46C" w14:textId="2F2A259B" w:rsidR="00517AC8" w:rsidRPr="00FF2251" w:rsidRDefault="005144DB" w:rsidP="005F742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 xml:space="preserve">In brief, and as outlined in our past studies at </w:t>
      </w:r>
      <w:r w:rsidRPr="00353FA5">
        <w:rPr>
          <w:rFonts w:ascii="Times New Roman" w:hAnsi="Times New Roman"/>
          <w:sz w:val="24"/>
          <w:szCs w:val="24"/>
        </w:rPr>
        <w:t>Agbogbloshie (</w:t>
      </w:r>
      <w:r w:rsidR="005E3576" w:rsidRPr="00353FA5">
        <w:rPr>
          <w:rFonts w:ascii="Times New Roman" w:hAnsi="Times New Roman"/>
          <w:sz w:val="24"/>
          <w:szCs w:val="24"/>
        </w:rPr>
        <w:t>Wittsiepe et al., 2015; Feldt et al., 2014;  Akorme</w:t>
      </w:r>
      <w:r w:rsidR="006E5FDE">
        <w:rPr>
          <w:rFonts w:ascii="Times New Roman" w:hAnsi="Times New Roman"/>
          <w:sz w:val="24"/>
          <w:szCs w:val="24"/>
        </w:rPr>
        <w:t>di et al., 2013; Asampong et al</w:t>
      </w:r>
      <w:r w:rsidR="005E3576" w:rsidRPr="00353FA5">
        <w:rPr>
          <w:rFonts w:ascii="Times New Roman" w:hAnsi="Times New Roman"/>
          <w:sz w:val="24"/>
          <w:szCs w:val="24"/>
        </w:rPr>
        <w:t>.</w:t>
      </w:r>
      <w:r w:rsidR="006E5FDE">
        <w:rPr>
          <w:rFonts w:ascii="Times New Roman" w:hAnsi="Times New Roman"/>
          <w:sz w:val="24"/>
          <w:szCs w:val="24"/>
        </w:rPr>
        <w:t>,</w:t>
      </w:r>
      <w:r w:rsidR="005E3576" w:rsidRPr="00353FA5">
        <w:rPr>
          <w:rFonts w:ascii="Times New Roman" w:hAnsi="Times New Roman"/>
          <w:sz w:val="24"/>
          <w:szCs w:val="24"/>
        </w:rPr>
        <w:t xml:space="preserve"> 2015</w:t>
      </w:r>
      <w:r w:rsidR="006E5FDE">
        <w:rPr>
          <w:rFonts w:ascii="Times New Roman" w:hAnsi="Times New Roman"/>
          <w:sz w:val="24"/>
          <w:szCs w:val="24"/>
        </w:rPr>
        <w:t>; Burns et al., 2016</w:t>
      </w:r>
      <w:r w:rsidRPr="00353FA5">
        <w:rPr>
          <w:rFonts w:ascii="Times New Roman" w:hAnsi="Times New Roman"/>
          <w:sz w:val="24"/>
          <w:szCs w:val="24"/>
        </w:rPr>
        <w:t>), a</w:t>
      </w:r>
      <w:r w:rsidRPr="00FF2251">
        <w:rPr>
          <w:rFonts w:ascii="Times New Roman" w:hAnsi="Times New Roman"/>
          <w:sz w:val="24"/>
          <w:szCs w:val="24"/>
        </w:rPr>
        <w:t xml:space="preserve"> community entry activity </w:t>
      </w:r>
      <w:r w:rsidR="00DC6385" w:rsidRPr="00FF2251">
        <w:rPr>
          <w:rFonts w:ascii="Times New Roman" w:hAnsi="Times New Roman"/>
          <w:sz w:val="24"/>
          <w:szCs w:val="24"/>
        </w:rPr>
        <w:t xml:space="preserve">facilitated </w:t>
      </w:r>
      <w:r w:rsidR="00DC6385">
        <w:rPr>
          <w:rFonts w:ascii="Times New Roman" w:hAnsi="Times New Roman"/>
          <w:sz w:val="24"/>
          <w:szCs w:val="24"/>
        </w:rPr>
        <w:t>by</w:t>
      </w:r>
      <w:r w:rsidR="00DC6385" w:rsidRPr="00FF2251">
        <w:rPr>
          <w:rFonts w:ascii="Times New Roman" w:hAnsi="Times New Roman"/>
          <w:sz w:val="24"/>
          <w:szCs w:val="24"/>
        </w:rPr>
        <w:t xml:space="preserve"> the Greater Accra Scrap Dealers Association </w:t>
      </w:r>
      <w:r w:rsidRPr="00FF2251">
        <w:rPr>
          <w:rFonts w:ascii="Times New Roman" w:hAnsi="Times New Roman"/>
          <w:sz w:val="24"/>
          <w:szCs w:val="24"/>
        </w:rPr>
        <w:t xml:space="preserve">took place to notify and </w:t>
      </w:r>
      <w:r w:rsidRPr="00FF2251">
        <w:rPr>
          <w:rFonts w:ascii="Times New Roman" w:hAnsi="Times New Roman"/>
          <w:sz w:val="24"/>
          <w:szCs w:val="24"/>
        </w:rPr>
        <w:lastRenderedPageBreak/>
        <w:t xml:space="preserve">familiarize the </w:t>
      </w:r>
      <w:r w:rsidR="00DC6385">
        <w:rPr>
          <w:rFonts w:ascii="Times New Roman" w:hAnsi="Times New Roman"/>
          <w:sz w:val="24"/>
          <w:szCs w:val="24"/>
        </w:rPr>
        <w:t>workers</w:t>
      </w:r>
      <w:r w:rsidRPr="00FF2251">
        <w:rPr>
          <w:rFonts w:ascii="Times New Roman" w:hAnsi="Times New Roman"/>
          <w:sz w:val="24"/>
          <w:szCs w:val="24"/>
        </w:rPr>
        <w:t xml:space="preserve"> with the study’s purpose and procedures. </w:t>
      </w:r>
      <w:r w:rsidR="00517AC8">
        <w:rPr>
          <w:rFonts w:ascii="Times New Roman" w:hAnsi="Times New Roman"/>
          <w:sz w:val="24"/>
          <w:szCs w:val="24"/>
        </w:rPr>
        <w:t xml:space="preserve">Inclusion criteria for participation in the study </w:t>
      </w:r>
      <w:r w:rsidR="001668BA">
        <w:rPr>
          <w:rFonts w:ascii="Times New Roman" w:hAnsi="Times New Roman"/>
          <w:sz w:val="24"/>
          <w:szCs w:val="24"/>
        </w:rPr>
        <w:t>were age</w:t>
      </w:r>
      <w:r w:rsidR="00517AC8">
        <w:rPr>
          <w:rFonts w:ascii="Times New Roman" w:hAnsi="Times New Roman"/>
          <w:sz w:val="24"/>
          <w:szCs w:val="24"/>
        </w:rPr>
        <w:t xml:space="preserve"> greater than or equal to</w:t>
      </w:r>
      <w:r w:rsidR="00517AC8" w:rsidRPr="00FF2251">
        <w:rPr>
          <w:rFonts w:ascii="Times New Roman" w:hAnsi="Times New Roman"/>
          <w:sz w:val="24"/>
          <w:szCs w:val="24"/>
        </w:rPr>
        <w:t xml:space="preserve"> 18 </w:t>
      </w:r>
      <w:r w:rsidR="00517AC8" w:rsidRPr="00353FA5">
        <w:rPr>
          <w:rFonts w:ascii="Times New Roman" w:hAnsi="Times New Roman"/>
          <w:sz w:val="24"/>
          <w:szCs w:val="24"/>
        </w:rPr>
        <w:t xml:space="preserve">years old, and </w:t>
      </w:r>
      <w:r w:rsidR="00E44B1D">
        <w:rPr>
          <w:rFonts w:ascii="Times New Roman" w:hAnsi="Times New Roman"/>
          <w:sz w:val="24"/>
          <w:szCs w:val="24"/>
        </w:rPr>
        <w:t>involvement</w:t>
      </w:r>
      <w:r w:rsidR="00517AC8" w:rsidRPr="00353FA5">
        <w:rPr>
          <w:rFonts w:ascii="Times New Roman" w:hAnsi="Times New Roman"/>
          <w:sz w:val="24"/>
          <w:szCs w:val="24"/>
        </w:rPr>
        <w:t xml:space="preserve"> in the e-waste recycling process for least the previous six months.  Participants represented a convenience sample of available workers; an estimated 4,500 to 6,500 individuals work at Agbogbloshie (Prakash 2010). All procedures and objectives for the study were explained to each participant in English and the</w:t>
      </w:r>
      <w:r w:rsidR="00517AC8" w:rsidRPr="00FF2251">
        <w:rPr>
          <w:rFonts w:ascii="Times New Roman" w:hAnsi="Times New Roman"/>
          <w:sz w:val="24"/>
          <w:szCs w:val="24"/>
        </w:rPr>
        <w:t xml:space="preserve"> local languages (via hired translators) and informed consent was obtained.  In total, 69 participants were recruited into this study</w:t>
      </w:r>
      <w:r w:rsidR="00386703">
        <w:rPr>
          <w:rFonts w:ascii="Times New Roman" w:hAnsi="Times New Roman"/>
          <w:sz w:val="24"/>
          <w:szCs w:val="24"/>
        </w:rPr>
        <w:t xml:space="preserve"> (58 male e-waste workers, and 11 female</w:t>
      </w:r>
      <w:r w:rsidR="006E5FDE">
        <w:rPr>
          <w:rFonts w:ascii="Times New Roman" w:hAnsi="Times New Roman"/>
          <w:sz w:val="24"/>
          <w:szCs w:val="24"/>
        </w:rPr>
        <w:t>s who</w:t>
      </w:r>
      <w:r w:rsidR="00386703">
        <w:rPr>
          <w:rFonts w:ascii="Times New Roman" w:hAnsi="Times New Roman"/>
          <w:sz w:val="24"/>
          <w:szCs w:val="24"/>
        </w:rPr>
        <w:t xml:space="preserve"> service</w:t>
      </w:r>
      <w:r w:rsidR="006E5FDE">
        <w:rPr>
          <w:rFonts w:ascii="Times New Roman" w:hAnsi="Times New Roman"/>
          <w:sz w:val="24"/>
          <w:szCs w:val="24"/>
        </w:rPr>
        <w:t xml:space="preserve"> the site by selling food</w:t>
      </w:r>
      <w:r w:rsidR="00E44B1D">
        <w:rPr>
          <w:rFonts w:ascii="Times New Roman" w:hAnsi="Times New Roman"/>
          <w:sz w:val="24"/>
          <w:szCs w:val="24"/>
        </w:rPr>
        <w:t xml:space="preserve"> and water</w:t>
      </w:r>
      <w:r w:rsidR="00386703">
        <w:rPr>
          <w:rFonts w:ascii="Times New Roman" w:hAnsi="Times New Roman"/>
          <w:sz w:val="24"/>
          <w:szCs w:val="24"/>
        </w:rPr>
        <w:t>)</w:t>
      </w:r>
      <w:r w:rsidR="006E5FDE">
        <w:rPr>
          <w:rFonts w:ascii="Times New Roman" w:hAnsi="Times New Roman"/>
          <w:sz w:val="24"/>
          <w:szCs w:val="24"/>
        </w:rPr>
        <w:t xml:space="preserve"> </w:t>
      </w:r>
      <w:r w:rsidR="005F742A">
        <w:rPr>
          <w:rFonts w:ascii="Times New Roman" w:hAnsi="Times New Roman"/>
          <w:sz w:val="24"/>
          <w:szCs w:val="24"/>
        </w:rPr>
        <w:t>in</w:t>
      </w:r>
      <w:r w:rsidR="001668BA">
        <w:rPr>
          <w:rFonts w:ascii="Times New Roman" w:hAnsi="Times New Roman"/>
          <w:sz w:val="24"/>
          <w:szCs w:val="24"/>
        </w:rPr>
        <w:t xml:space="preserve"> April 2014</w:t>
      </w:r>
      <w:r w:rsidR="005F742A">
        <w:rPr>
          <w:rFonts w:ascii="Times New Roman" w:hAnsi="Times New Roman"/>
          <w:sz w:val="24"/>
          <w:szCs w:val="24"/>
        </w:rPr>
        <w:t xml:space="preserve">.  Participants were </w:t>
      </w:r>
      <w:r w:rsidR="00517AC8" w:rsidRPr="00FF2251">
        <w:rPr>
          <w:rFonts w:ascii="Times New Roman" w:hAnsi="Times New Roman"/>
          <w:sz w:val="24"/>
          <w:szCs w:val="24"/>
        </w:rPr>
        <w:t xml:space="preserve">compensated for their </w:t>
      </w:r>
      <w:r w:rsidR="005F742A">
        <w:rPr>
          <w:rFonts w:ascii="Times New Roman" w:hAnsi="Times New Roman"/>
          <w:sz w:val="24"/>
          <w:szCs w:val="24"/>
        </w:rPr>
        <w:t>involvement</w:t>
      </w:r>
      <w:r w:rsidR="00517AC8" w:rsidRPr="00FF2251">
        <w:rPr>
          <w:rFonts w:ascii="Times New Roman" w:hAnsi="Times New Roman"/>
          <w:sz w:val="24"/>
          <w:szCs w:val="24"/>
        </w:rPr>
        <w:t xml:space="preserve"> with a small monetary gift (10 Ghana cedis or roughly $3USD) and </w:t>
      </w:r>
      <w:r w:rsidR="00517AC8">
        <w:rPr>
          <w:rFonts w:ascii="Times New Roman" w:hAnsi="Times New Roman"/>
          <w:sz w:val="24"/>
          <w:szCs w:val="24"/>
        </w:rPr>
        <w:t>a meal</w:t>
      </w:r>
      <w:r w:rsidR="00517AC8" w:rsidRPr="00FF2251">
        <w:rPr>
          <w:rFonts w:ascii="Times New Roman" w:hAnsi="Times New Roman"/>
          <w:sz w:val="24"/>
          <w:szCs w:val="24"/>
        </w:rPr>
        <w:t xml:space="preserve">. </w:t>
      </w:r>
      <w:r w:rsidR="005F742A">
        <w:rPr>
          <w:rFonts w:ascii="Times New Roman" w:hAnsi="Times New Roman"/>
          <w:sz w:val="24"/>
          <w:szCs w:val="24"/>
        </w:rPr>
        <w:t xml:space="preserve"> </w:t>
      </w:r>
      <w:r w:rsidR="005F742A" w:rsidRPr="008A4A0C">
        <w:rPr>
          <w:rStyle w:val="printanswer"/>
          <w:rFonts w:ascii="Times New Roman" w:hAnsi="Times New Roman"/>
          <w:sz w:val="24"/>
          <w:szCs w:val="24"/>
        </w:rPr>
        <w:t xml:space="preserve">Institutional Review Board (IRB) approval for this work was obtained from the </w:t>
      </w:r>
      <w:r w:rsidR="005F742A">
        <w:rPr>
          <w:rStyle w:val="printanswer"/>
          <w:rFonts w:ascii="Times New Roman" w:hAnsi="Times New Roman"/>
          <w:sz w:val="24"/>
          <w:szCs w:val="24"/>
        </w:rPr>
        <w:t xml:space="preserve">Noguchi Memorial Institute for Medical Research (NMIMR) - University of Ghana (IRB00001276) and the </w:t>
      </w:r>
      <w:r w:rsidR="005F742A" w:rsidRPr="008A4A0C">
        <w:rPr>
          <w:rStyle w:val="printanswer"/>
          <w:rFonts w:ascii="Times New Roman" w:hAnsi="Times New Roman"/>
          <w:sz w:val="24"/>
          <w:szCs w:val="24"/>
        </w:rPr>
        <w:t xml:space="preserve">University of </w:t>
      </w:r>
      <w:r w:rsidR="005F742A" w:rsidRPr="005F742A">
        <w:rPr>
          <w:rStyle w:val="printanswer"/>
          <w:rFonts w:ascii="Times New Roman" w:hAnsi="Times New Roman"/>
          <w:sz w:val="24"/>
          <w:szCs w:val="24"/>
        </w:rPr>
        <w:t>Michigan (HUM00028444)</w:t>
      </w:r>
      <w:r w:rsidR="005F742A" w:rsidRPr="005F742A">
        <w:rPr>
          <w:rFonts w:ascii="Times New Roman" w:hAnsi="Times New Roman"/>
          <w:sz w:val="24"/>
          <w:szCs w:val="24"/>
        </w:rPr>
        <w:t>.</w:t>
      </w:r>
      <w:r w:rsidR="005F742A" w:rsidRPr="008A4A0C">
        <w:rPr>
          <w:rFonts w:ascii="Times New Roman" w:hAnsi="Times New Roman"/>
          <w:sz w:val="24"/>
          <w:szCs w:val="24"/>
        </w:rPr>
        <w:t xml:space="preserve">  </w:t>
      </w:r>
    </w:p>
    <w:p w14:paraId="434C5013" w14:textId="3DA29F78" w:rsidR="003A38DF" w:rsidRPr="00FF2251" w:rsidRDefault="003A38DF" w:rsidP="00517AC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777FDD66" w14:textId="50EAA7F7" w:rsidR="00494D6F" w:rsidRPr="00FF2251" w:rsidRDefault="003166D8" w:rsidP="00FF2251">
      <w:pPr>
        <w:pStyle w:val="CommentText"/>
        <w:spacing w:line="480" w:lineRule="auto"/>
        <w:ind w:firstLine="720"/>
        <w:rPr>
          <w:sz w:val="24"/>
          <w:szCs w:val="24"/>
        </w:rPr>
      </w:pPr>
      <w:r w:rsidRPr="00FF2251">
        <w:rPr>
          <w:sz w:val="24"/>
          <w:szCs w:val="24"/>
        </w:rPr>
        <w:t xml:space="preserve">Participants were transported to a local health clinic for interviews and sample collections. </w:t>
      </w:r>
      <w:r w:rsidR="00001E20" w:rsidRPr="00FF2251">
        <w:rPr>
          <w:sz w:val="24"/>
          <w:szCs w:val="24"/>
        </w:rPr>
        <w:t xml:space="preserve">A </w:t>
      </w:r>
      <w:r w:rsidR="00E44B1D">
        <w:rPr>
          <w:sz w:val="24"/>
          <w:szCs w:val="24"/>
        </w:rPr>
        <w:t>semi-</w:t>
      </w:r>
      <w:r w:rsidR="00001E20" w:rsidRPr="00FF2251">
        <w:rPr>
          <w:sz w:val="24"/>
          <w:szCs w:val="24"/>
        </w:rPr>
        <w:t>structured questionnaire</w:t>
      </w:r>
      <w:r w:rsidR="00297F97" w:rsidRPr="00FF2251">
        <w:rPr>
          <w:sz w:val="24"/>
          <w:szCs w:val="24"/>
        </w:rPr>
        <w:t xml:space="preserve">, based on previous </w:t>
      </w:r>
      <w:r w:rsidR="00261857" w:rsidRPr="00FF2251">
        <w:rPr>
          <w:sz w:val="24"/>
          <w:szCs w:val="24"/>
        </w:rPr>
        <w:t xml:space="preserve">exposure assessments and </w:t>
      </w:r>
      <w:r w:rsidR="00297F97" w:rsidRPr="00FF2251">
        <w:rPr>
          <w:sz w:val="24"/>
          <w:szCs w:val="24"/>
        </w:rPr>
        <w:t xml:space="preserve">occupational health </w:t>
      </w:r>
      <w:r w:rsidR="00297F97" w:rsidRPr="00353FA5">
        <w:rPr>
          <w:sz w:val="24"/>
          <w:szCs w:val="24"/>
        </w:rPr>
        <w:t>studies from Ghana (</w:t>
      </w:r>
      <w:r w:rsidR="005E3576" w:rsidRPr="00353FA5">
        <w:rPr>
          <w:sz w:val="24"/>
          <w:szCs w:val="24"/>
        </w:rPr>
        <w:t>Calys-Tagoe et al., 2015</w:t>
      </w:r>
      <w:r w:rsidR="00517AC8" w:rsidRPr="00353FA5">
        <w:rPr>
          <w:sz w:val="24"/>
          <w:szCs w:val="24"/>
        </w:rPr>
        <w:t>; Green et al., 2015</w:t>
      </w:r>
      <w:r w:rsidR="00297F97" w:rsidRPr="00353FA5">
        <w:rPr>
          <w:sz w:val="24"/>
          <w:szCs w:val="24"/>
        </w:rPr>
        <w:t>),</w:t>
      </w:r>
      <w:r w:rsidR="00001E20" w:rsidRPr="00353FA5">
        <w:rPr>
          <w:sz w:val="24"/>
          <w:szCs w:val="24"/>
        </w:rPr>
        <w:t xml:space="preserve"> was used to gather information on s</w:t>
      </w:r>
      <w:r w:rsidRPr="00353FA5">
        <w:rPr>
          <w:sz w:val="24"/>
          <w:szCs w:val="24"/>
        </w:rPr>
        <w:t>ocio-demographic</w:t>
      </w:r>
      <w:r w:rsidR="00001E20" w:rsidRPr="00353FA5">
        <w:rPr>
          <w:sz w:val="24"/>
          <w:szCs w:val="24"/>
        </w:rPr>
        <w:t>s</w:t>
      </w:r>
      <w:r w:rsidR="00001E20" w:rsidRPr="00FF2251">
        <w:rPr>
          <w:sz w:val="24"/>
          <w:szCs w:val="24"/>
        </w:rPr>
        <w:t xml:space="preserve"> and work history.  </w:t>
      </w:r>
      <w:r w:rsidRPr="00FF2251">
        <w:rPr>
          <w:sz w:val="24"/>
          <w:szCs w:val="24"/>
        </w:rPr>
        <w:t xml:space="preserve">A midstream urine sample </w:t>
      </w:r>
      <w:r w:rsidR="00001E20" w:rsidRPr="00FF2251">
        <w:rPr>
          <w:sz w:val="24"/>
          <w:szCs w:val="24"/>
        </w:rPr>
        <w:t xml:space="preserve">(&gt;30 mL) </w:t>
      </w:r>
      <w:r w:rsidRPr="00FF2251">
        <w:rPr>
          <w:sz w:val="24"/>
          <w:szCs w:val="24"/>
        </w:rPr>
        <w:t xml:space="preserve">was </w:t>
      </w:r>
      <w:r w:rsidR="00494D6F" w:rsidRPr="00FF2251">
        <w:rPr>
          <w:sz w:val="24"/>
          <w:szCs w:val="24"/>
        </w:rPr>
        <w:t xml:space="preserve">collected into </w:t>
      </w:r>
      <w:r w:rsidR="001A0787" w:rsidRPr="00FF2251">
        <w:rPr>
          <w:sz w:val="24"/>
          <w:szCs w:val="24"/>
        </w:rPr>
        <w:t xml:space="preserve">a </w:t>
      </w:r>
      <w:r w:rsidR="00494D6F" w:rsidRPr="00FF2251">
        <w:rPr>
          <w:sz w:val="24"/>
          <w:szCs w:val="24"/>
        </w:rPr>
        <w:t>plastic container</w:t>
      </w:r>
      <w:r w:rsidR="00517AC8">
        <w:rPr>
          <w:sz w:val="24"/>
          <w:szCs w:val="24"/>
        </w:rPr>
        <w:t xml:space="preserve"> at the start of each participant’s visit to the clinic, typically between 10 am and 4 pm</w:t>
      </w:r>
      <w:r w:rsidRPr="00FF2251">
        <w:rPr>
          <w:sz w:val="24"/>
          <w:szCs w:val="24"/>
        </w:rPr>
        <w:t xml:space="preserve">. </w:t>
      </w:r>
      <w:r w:rsidR="001A0787" w:rsidRPr="00FF2251">
        <w:rPr>
          <w:sz w:val="24"/>
          <w:szCs w:val="24"/>
        </w:rPr>
        <w:t xml:space="preserve"> </w:t>
      </w:r>
      <w:r w:rsidRPr="00FF2251">
        <w:rPr>
          <w:sz w:val="24"/>
          <w:szCs w:val="24"/>
        </w:rPr>
        <w:t xml:space="preserve">Approximately </w:t>
      </w:r>
      <w:r w:rsidR="001A0787" w:rsidRPr="00FF2251">
        <w:rPr>
          <w:sz w:val="24"/>
          <w:szCs w:val="24"/>
        </w:rPr>
        <w:t>5</w:t>
      </w:r>
      <w:r w:rsidRPr="00FF2251">
        <w:rPr>
          <w:sz w:val="24"/>
          <w:szCs w:val="24"/>
        </w:rPr>
        <w:t xml:space="preserve"> mL of blood was collected into a trace elements free BD </w:t>
      </w:r>
      <w:r w:rsidR="001A0787" w:rsidRPr="00FF2251">
        <w:rPr>
          <w:sz w:val="24"/>
          <w:szCs w:val="24"/>
        </w:rPr>
        <w:t>V</w:t>
      </w:r>
      <w:r w:rsidRPr="00FF2251">
        <w:rPr>
          <w:sz w:val="24"/>
          <w:szCs w:val="24"/>
        </w:rPr>
        <w:t>acutainer tube with K</w:t>
      </w:r>
      <w:r w:rsidRPr="00FF2251">
        <w:rPr>
          <w:sz w:val="24"/>
          <w:szCs w:val="24"/>
          <w:vertAlign w:val="subscript"/>
        </w:rPr>
        <w:t>2</w:t>
      </w:r>
      <w:r w:rsidRPr="00FF2251">
        <w:rPr>
          <w:sz w:val="24"/>
          <w:szCs w:val="24"/>
        </w:rPr>
        <w:t xml:space="preserve">EDTA, and placed on a blood tube roller (Microteknik) for five minutes. </w:t>
      </w:r>
      <w:r w:rsidR="002100BC" w:rsidRPr="00FF2251">
        <w:rPr>
          <w:sz w:val="24"/>
          <w:szCs w:val="24"/>
        </w:rPr>
        <w:t xml:space="preserve"> Urine and blood s</w:t>
      </w:r>
      <w:r w:rsidRPr="00FF2251">
        <w:rPr>
          <w:sz w:val="24"/>
          <w:szCs w:val="24"/>
        </w:rPr>
        <w:t xml:space="preserve">amples were </w:t>
      </w:r>
      <w:r w:rsidR="001A0787" w:rsidRPr="00FF2251">
        <w:rPr>
          <w:sz w:val="24"/>
          <w:szCs w:val="24"/>
        </w:rPr>
        <w:t xml:space="preserve">stored in the refrigerator at 4 - </w:t>
      </w:r>
      <w:r w:rsidRPr="00FF2251">
        <w:rPr>
          <w:sz w:val="24"/>
          <w:szCs w:val="24"/>
        </w:rPr>
        <w:t>8</w:t>
      </w:r>
      <w:r w:rsidRPr="00FF2251">
        <w:rPr>
          <w:sz w:val="24"/>
          <w:szCs w:val="24"/>
          <w:vertAlign w:val="superscript"/>
        </w:rPr>
        <w:t>o</w:t>
      </w:r>
      <w:r w:rsidRPr="00FF2251">
        <w:rPr>
          <w:sz w:val="24"/>
          <w:szCs w:val="24"/>
        </w:rPr>
        <w:t xml:space="preserve">C </w:t>
      </w:r>
      <w:bookmarkStart w:id="1" w:name="_Toc401029171"/>
      <w:r w:rsidR="002100BC" w:rsidRPr="00FF2251">
        <w:rPr>
          <w:sz w:val="24"/>
          <w:szCs w:val="24"/>
        </w:rPr>
        <w:t>until shipment</w:t>
      </w:r>
      <w:r w:rsidR="00517AC8">
        <w:rPr>
          <w:sz w:val="24"/>
          <w:szCs w:val="24"/>
        </w:rPr>
        <w:t xml:space="preserve"> </w:t>
      </w:r>
      <w:r w:rsidR="00001E20" w:rsidRPr="00FF2251">
        <w:rPr>
          <w:sz w:val="24"/>
          <w:szCs w:val="24"/>
        </w:rPr>
        <w:t>to McGill University (Montreal, Canada)</w:t>
      </w:r>
      <w:r w:rsidR="001A0787" w:rsidRPr="00FF2251">
        <w:rPr>
          <w:sz w:val="24"/>
          <w:szCs w:val="24"/>
        </w:rPr>
        <w:t xml:space="preserve"> where they were stored frozen (-20 </w:t>
      </w:r>
      <w:r w:rsidR="001A0787" w:rsidRPr="00FF2251">
        <w:rPr>
          <w:sz w:val="24"/>
          <w:szCs w:val="24"/>
          <w:vertAlign w:val="superscript"/>
        </w:rPr>
        <w:t>o</w:t>
      </w:r>
      <w:r w:rsidR="001A0787" w:rsidRPr="00FF2251">
        <w:rPr>
          <w:sz w:val="24"/>
          <w:szCs w:val="24"/>
        </w:rPr>
        <w:t xml:space="preserve">C) prior to </w:t>
      </w:r>
      <w:r w:rsidR="00001E20" w:rsidRPr="00FF2251">
        <w:rPr>
          <w:sz w:val="24"/>
          <w:szCs w:val="24"/>
        </w:rPr>
        <w:t>analyses</w:t>
      </w:r>
      <w:r w:rsidR="002100BC" w:rsidRPr="00FF2251">
        <w:rPr>
          <w:sz w:val="24"/>
          <w:szCs w:val="24"/>
        </w:rPr>
        <w:t>.</w:t>
      </w:r>
    </w:p>
    <w:p w14:paraId="5DC07390" w14:textId="77777777" w:rsidR="00C62877" w:rsidRPr="00FF2251" w:rsidRDefault="00C62877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bookmarkEnd w:id="1"/>
    <w:p w14:paraId="17FEDE4D" w14:textId="170A3DD8" w:rsidR="0074391B" w:rsidRPr="00FF2251" w:rsidRDefault="00F8664D" w:rsidP="00FF22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FF2251">
        <w:rPr>
          <w:rFonts w:ascii="Times New Roman" w:hAnsi="Times New Roman"/>
          <w:i/>
          <w:sz w:val="24"/>
          <w:szCs w:val="24"/>
        </w:rPr>
        <w:t xml:space="preserve">2.3 </w:t>
      </w:r>
      <w:r w:rsidR="005F742A">
        <w:rPr>
          <w:rFonts w:ascii="Times New Roman" w:hAnsi="Times New Roman"/>
          <w:i/>
          <w:sz w:val="24"/>
          <w:szCs w:val="24"/>
        </w:rPr>
        <w:t>Elemental</w:t>
      </w:r>
      <w:r w:rsidR="0074391B" w:rsidRPr="00FF2251">
        <w:rPr>
          <w:rFonts w:ascii="Times New Roman" w:hAnsi="Times New Roman"/>
          <w:i/>
          <w:sz w:val="24"/>
          <w:szCs w:val="24"/>
        </w:rPr>
        <w:t xml:space="preserve"> Analysis</w:t>
      </w:r>
    </w:p>
    <w:p w14:paraId="3C829D24" w14:textId="1D693021" w:rsidR="00823B10" w:rsidRDefault="00A435B9" w:rsidP="005F742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5F742A">
        <w:rPr>
          <w:rFonts w:ascii="Times New Roman" w:hAnsi="Times New Roman"/>
          <w:sz w:val="24"/>
          <w:szCs w:val="24"/>
        </w:rPr>
        <w:t xml:space="preserve">Blood elements analyzed included </w:t>
      </w:r>
      <w:r w:rsidR="005F742A">
        <w:rPr>
          <w:rFonts w:ascii="Times New Roman" w:hAnsi="Times New Roman"/>
          <w:sz w:val="24"/>
          <w:szCs w:val="24"/>
        </w:rPr>
        <w:t xml:space="preserve">toxic chemicals (cadmium, Cd; mercury, Hg; lead, Pb) and essential elements (copper, Cu; iron, Fe; manganese, Mn; selenium, Se; zinc, Zn).  </w:t>
      </w:r>
      <w:r w:rsidR="00F5161A" w:rsidRPr="005F742A">
        <w:rPr>
          <w:rFonts w:ascii="Times New Roman" w:hAnsi="Times New Roman"/>
          <w:sz w:val="24"/>
          <w:szCs w:val="24"/>
        </w:rPr>
        <w:t xml:space="preserve">Urinary elements analyzed included </w:t>
      </w:r>
      <w:r w:rsidR="005F742A">
        <w:rPr>
          <w:rFonts w:ascii="Times New Roman" w:hAnsi="Times New Roman"/>
          <w:sz w:val="24"/>
          <w:szCs w:val="24"/>
        </w:rPr>
        <w:t xml:space="preserve">toxic chemicals (arsenic, As; cobalt, Co; chromium, Cr; Hg; nickel, Ni; Pb) and essential elements (Cu, Zn).  </w:t>
      </w:r>
      <w:r w:rsidR="001A0787" w:rsidRPr="005F742A">
        <w:rPr>
          <w:rFonts w:ascii="Times New Roman" w:hAnsi="Times New Roman"/>
          <w:sz w:val="24"/>
          <w:szCs w:val="24"/>
        </w:rPr>
        <w:t xml:space="preserve">Total </w:t>
      </w:r>
      <w:r w:rsidR="00DC6385">
        <w:rPr>
          <w:rFonts w:ascii="Times New Roman" w:hAnsi="Times New Roman"/>
          <w:sz w:val="24"/>
          <w:szCs w:val="24"/>
        </w:rPr>
        <w:t>Hg</w:t>
      </w:r>
      <w:r w:rsidRPr="005F742A">
        <w:rPr>
          <w:rFonts w:ascii="Times New Roman" w:hAnsi="Times New Roman"/>
          <w:sz w:val="24"/>
          <w:szCs w:val="24"/>
        </w:rPr>
        <w:t xml:space="preserve"> levels in blood and urine were quantified </w:t>
      </w:r>
      <w:r w:rsidRPr="00353FA5">
        <w:rPr>
          <w:rFonts w:ascii="Times New Roman" w:hAnsi="Times New Roman"/>
          <w:sz w:val="24"/>
          <w:szCs w:val="24"/>
        </w:rPr>
        <w:t>using a Direct Mercury Analyzer 80 as previously outlined (</w:t>
      </w:r>
      <w:r w:rsidR="00353FA5" w:rsidRPr="00353FA5">
        <w:rPr>
          <w:rFonts w:ascii="Times New Roman" w:hAnsi="Times New Roman"/>
          <w:sz w:val="24"/>
          <w:szCs w:val="24"/>
        </w:rPr>
        <w:t>Basu et al., 2014; Rajaee</w:t>
      </w:r>
      <w:r w:rsidRPr="00353FA5">
        <w:rPr>
          <w:rFonts w:ascii="Times New Roman" w:hAnsi="Times New Roman"/>
          <w:sz w:val="24"/>
          <w:szCs w:val="24"/>
        </w:rPr>
        <w:t xml:space="preserve"> et al., 2015).  </w:t>
      </w:r>
      <w:r w:rsidR="00297F97" w:rsidRPr="00353FA5">
        <w:rPr>
          <w:rFonts w:ascii="Times New Roman" w:hAnsi="Times New Roman"/>
          <w:sz w:val="24"/>
          <w:szCs w:val="24"/>
        </w:rPr>
        <w:t>For all</w:t>
      </w:r>
      <w:r w:rsidR="00F5161A" w:rsidRPr="00353FA5">
        <w:rPr>
          <w:rFonts w:ascii="Times New Roman" w:hAnsi="Times New Roman"/>
          <w:sz w:val="24"/>
          <w:szCs w:val="24"/>
        </w:rPr>
        <w:t xml:space="preserve"> </w:t>
      </w:r>
      <w:r w:rsidRPr="00353FA5">
        <w:rPr>
          <w:rFonts w:ascii="Times New Roman" w:hAnsi="Times New Roman"/>
          <w:sz w:val="24"/>
          <w:szCs w:val="24"/>
        </w:rPr>
        <w:t xml:space="preserve">other </w:t>
      </w:r>
      <w:r w:rsidR="00F5161A" w:rsidRPr="00353FA5">
        <w:rPr>
          <w:rFonts w:ascii="Times New Roman" w:hAnsi="Times New Roman"/>
          <w:sz w:val="24"/>
          <w:szCs w:val="24"/>
        </w:rPr>
        <w:t>elements</w:t>
      </w:r>
      <w:r w:rsidR="00297F97" w:rsidRPr="00353FA5">
        <w:rPr>
          <w:rFonts w:ascii="Times New Roman" w:hAnsi="Times New Roman"/>
          <w:sz w:val="24"/>
          <w:szCs w:val="24"/>
        </w:rPr>
        <w:t>, the</w:t>
      </w:r>
      <w:r w:rsidR="00F5161A" w:rsidRPr="00353FA5">
        <w:rPr>
          <w:rFonts w:ascii="Times New Roman" w:hAnsi="Times New Roman"/>
          <w:sz w:val="24"/>
          <w:szCs w:val="24"/>
        </w:rPr>
        <w:t xml:space="preserve"> </w:t>
      </w:r>
      <w:r w:rsidR="00297F97" w:rsidRPr="00353FA5">
        <w:rPr>
          <w:rFonts w:ascii="Times New Roman" w:hAnsi="Times New Roman"/>
          <w:sz w:val="24"/>
          <w:szCs w:val="24"/>
        </w:rPr>
        <w:t>urine and blood samples were digested with nitric acid as outlined elsewhere (Basu et al., 20</w:t>
      </w:r>
      <w:r w:rsidR="00353FA5" w:rsidRPr="00353FA5">
        <w:rPr>
          <w:rFonts w:ascii="Times New Roman" w:hAnsi="Times New Roman"/>
          <w:sz w:val="24"/>
          <w:szCs w:val="24"/>
        </w:rPr>
        <w:t>11</w:t>
      </w:r>
      <w:r w:rsidR="00297F97" w:rsidRPr="00353FA5">
        <w:rPr>
          <w:rFonts w:ascii="Times New Roman" w:hAnsi="Times New Roman"/>
          <w:sz w:val="24"/>
          <w:szCs w:val="24"/>
        </w:rPr>
        <w:t>), and elemental</w:t>
      </w:r>
      <w:r w:rsidR="00297F97" w:rsidRPr="005F742A">
        <w:rPr>
          <w:rFonts w:ascii="Times New Roman" w:hAnsi="Times New Roman"/>
          <w:sz w:val="24"/>
          <w:szCs w:val="24"/>
        </w:rPr>
        <w:t xml:space="preserve"> concentrations determined</w:t>
      </w:r>
      <w:r w:rsidR="00297F97" w:rsidRPr="00FF2251">
        <w:rPr>
          <w:rFonts w:ascii="Times New Roman" w:hAnsi="Times New Roman"/>
          <w:sz w:val="24"/>
          <w:szCs w:val="24"/>
        </w:rPr>
        <w:t xml:space="preserve"> using </w:t>
      </w:r>
      <w:r w:rsidR="00665A49" w:rsidRPr="00FF2251">
        <w:rPr>
          <w:rFonts w:ascii="Times New Roman" w:hAnsi="Times New Roman"/>
          <w:sz w:val="24"/>
          <w:szCs w:val="24"/>
        </w:rPr>
        <w:t xml:space="preserve">Inductively Coupled Plasma Mass Spectrometer (ICPMS; </w:t>
      </w:r>
      <w:r w:rsidR="00C62877" w:rsidRPr="00FF2251">
        <w:rPr>
          <w:rFonts w:ascii="Times New Roman" w:hAnsi="Times New Roman"/>
          <w:sz w:val="24"/>
          <w:szCs w:val="24"/>
        </w:rPr>
        <w:t>Varian 820MS</w:t>
      </w:r>
      <w:r w:rsidR="00297F97" w:rsidRPr="00FF2251">
        <w:rPr>
          <w:rFonts w:ascii="Times New Roman" w:hAnsi="Times New Roman"/>
          <w:sz w:val="24"/>
          <w:szCs w:val="24"/>
        </w:rPr>
        <w:t>).</w:t>
      </w:r>
    </w:p>
    <w:p w14:paraId="3C67596D" w14:textId="77777777" w:rsidR="00FF2251" w:rsidRPr="00FF2251" w:rsidRDefault="00FF2251" w:rsidP="00FF225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79D34C8F" w14:textId="513E7102" w:rsidR="00665A49" w:rsidRPr="00FF2251" w:rsidRDefault="00F5161A" w:rsidP="00FF2251">
      <w:pPr>
        <w:spacing w:after="0"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 xml:space="preserve">Several </w:t>
      </w:r>
      <w:r w:rsidR="00665A49" w:rsidRPr="00FF2251">
        <w:rPr>
          <w:rFonts w:ascii="Times New Roman" w:hAnsi="Times New Roman"/>
          <w:sz w:val="24"/>
          <w:szCs w:val="24"/>
        </w:rPr>
        <w:t>analytical qua</w:t>
      </w:r>
      <w:r w:rsidRPr="00FF2251">
        <w:rPr>
          <w:rFonts w:ascii="Times New Roman" w:hAnsi="Times New Roman"/>
          <w:sz w:val="24"/>
          <w:szCs w:val="24"/>
        </w:rPr>
        <w:t>lity control measures were used.</w:t>
      </w:r>
      <w:r w:rsidR="00665A49" w:rsidRPr="00FF2251">
        <w:rPr>
          <w:rFonts w:ascii="Times New Roman" w:hAnsi="Times New Roman"/>
          <w:sz w:val="24"/>
          <w:szCs w:val="24"/>
        </w:rPr>
        <w:t xml:space="preserve">  </w:t>
      </w:r>
      <w:r w:rsidRPr="00FF2251">
        <w:rPr>
          <w:rFonts w:ascii="Times New Roman" w:hAnsi="Times New Roman"/>
          <w:sz w:val="24"/>
          <w:szCs w:val="24"/>
        </w:rPr>
        <w:t xml:space="preserve">All laboratory </w:t>
      </w:r>
      <w:r w:rsidR="00C50CE8" w:rsidRPr="00FF2251">
        <w:rPr>
          <w:rFonts w:ascii="Times New Roman" w:hAnsi="Times New Roman"/>
          <w:sz w:val="24"/>
          <w:szCs w:val="24"/>
        </w:rPr>
        <w:t>glass</w:t>
      </w:r>
      <w:r w:rsidRPr="00FF2251">
        <w:rPr>
          <w:rFonts w:ascii="Times New Roman" w:hAnsi="Times New Roman"/>
          <w:sz w:val="24"/>
          <w:szCs w:val="24"/>
        </w:rPr>
        <w:t xml:space="preserve">ware </w:t>
      </w:r>
      <w:r w:rsidR="00C50CE8" w:rsidRPr="00FF2251">
        <w:rPr>
          <w:rFonts w:ascii="Times New Roman" w:hAnsi="Times New Roman"/>
          <w:sz w:val="24"/>
          <w:szCs w:val="24"/>
        </w:rPr>
        <w:t xml:space="preserve">and plastic </w:t>
      </w:r>
      <w:r w:rsidRPr="00FF2251">
        <w:rPr>
          <w:rFonts w:ascii="Times New Roman" w:hAnsi="Times New Roman"/>
          <w:sz w:val="24"/>
          <w:szCs w:val="24"/>
        </w:rPr>
        <w:t xml:space="preserve">was </w:t>
      </w:r>
      <w:r w:rsidR="00665A49" w:rsidRPr="00FF2251">
        <w:rPr>
          <w:rFonts w:ascii="Times New Roman" w:hAnsi="Times New Roman"/>
          <w:sz w:val="24"/>
          <w:szCs w:val="24"/>
        </w:rPr>
        <w:t>acid-washed (</w:t>
      </w:r>
      <w:r w:rsidR="00E44B1D" w:rsidRPr="00FF2251">
        <w:rPr>
          <w:rFonts w:ascii="Times New Roman" w:hAnsi="Times New Roman"/>
          <w:sz w:val="24"/>
          <w:szCs w:val="24"/>
        </w:rPr>
        <w:t>cleaned, soaked</w:t>
      </w:r>
      <w:r w:rsidR="00E44B1D">
        <w:rPr>
          <w:rFonts w:ascii="Times New Roman" w:hAnsi="Times New Roman"/>
          <w:sz w:val="24"/>
          <w:szCs w:val="24"/>
        </w:rPr>
        <w:t xml:space="preserve"> 24 hr in 20% nitric acid, and rinse 3 times in Milli-Q water</w:t>
      </w:r>
      <w:r w:rsidR="00665A49" w:rsidRPr="00FF2251">
        <w:rPr>
          <w:rFonts w:ascii="Times New Roman" w:hAnsi="Times New Roman"/>
          <w:sz w:val="24"/>
          <w:szCs w:val="24"/>
        </w:rPr>
        <w:t>) prior to use.</w:t>
      </w:r>
      <w:r w:rsidR="00665A49" w:rsidRPr="00FF2251">
        <w:rPr>
          <w:rFonts w:ascii="Times New Roman" w:hAnsi="Times New Roman"/>
          <w:sz w:val="24"/>
          <w:szCs w:val="24"/>
          <w:lang w:val="en-GB"/>
        </w:rPr>
        <w:t xml:space="preserve"> Accuracy and precision were measured by use of </w:t>
      </w:r>
      <w:r w:rsidR="005E3576">
        <w:rPr>
          <w:rFonts w:ascii="Times New Roman" w:hAnsi="Times New Roman"/>
          <w:sz w:val="24"/>
          <w:szCs w:val="24"/>
          <w:lang w:val="en-GB"/>
        </w:rPr>
        <w:t xml:space="preserve">certified </w:t>
      </w:r>
      <w:r w:rsidRPr="00FF2251">
        <w:rPr>
          <w:rFonts w:ascii="Times New Roman" w:hAnsi="Times New Roman"/>
          <w:sz w:val="24"/>
          <w:szCs w:val="24"/>
        </w:rPr>
        <w:t xml:space="preserve">reference standards obtained from the </w:t>
      </w:r>
      <w:r w:rsidR="00665A49" w:rsidRPr="00FF2251">
        <w:rPr>
          <w:rFonts w:ascii="Times New Roman" w:hAnsi="Times New Roman"/>
          <w:sz w:val="24"/>
          <w:szCs w:val="24"/>
        </w:rPr>
        <w:t xml:space="preserve">Institut </w:t>
      </w:r>
      <w:r w:rsidRPr="00FF2251">
        <w:rPr>
          <w:rFonts w:ascii="Times New Roman" w:hAnsi="Times New Roman"/>
          <w:sz w:val="24"/>
          <w:szCs w:val="24"/>
        </w:rPr>
        <w:t>N</w:t>
      </w:r>
      <w:r w:rsidR="00665A49" w:rsidRPr="00FF2251">
        <w:rPr>
          <w:rFonts w:ascii="Times New Roman" w:hAnsi="Times New Roman"/>
          <w:sz w:val="24"/>
          <w:szCs w:val="24"/>
        </w:rPr>
        <w:t xml:space="preserve">ational de </w:t>
      </w:r>
      <w:r w:rsidRPr="00FF2251">
        <w:rPr>
          <w:rFonts w:ascii="Times New Roman" w:hAnsi="Times New Roman"/>
          <w:sz w:val="24"/>
          <w:szCs w:val="24"/>
        </w:rPr>
        <w:t>S</w:t>
      </w:r>
      <w:r w:rsidR="00665A49" w:rsidRPr="00FF2251">
        <w:rPr>
          <w:rFonts w:ascii="Times New Roman" w:hAnsi="Times New Roman"/>
          <w:sz w:val="24"/>
          <w:szCs w:val="24"/>
        </w:rPr>
        <w:t xml:space="preserve">anté </w:t>
      </w:r>
      <w:r w:rsidRPr="00FF2251">
        <w:rPr>
          <w:rFonts w:ascii="Times New Roman" w:hAnsi="Times New Roman"/>
          <w:sz w:val="24"/>
          <w:szCs w:val="24"/>
        </w:rPr>
        <w:t>P</w:t>
      </w:r>
      <w:r w:rsidR="00665A49" w:rsidRPr="00FF2251">
        <w:rPr>
          <w:rFonts w:ascii="Times New Roman" w:hAnsi="Times New Roman"/>
          <w:sz w:val="24"/>
          <w:szCs w:val="24"/>
        </w:rPr>
        <w:t xml:space="preserve">ublique du Québec (INSPQ; </w:t>
      </w:r>
      <w:r w:rsidR="00665A49" w:rsidRPr="00FF2251">
        <w:rPr>
          <w:rFonts w:ascii="Times New Roman" w:hAnsi="Times New Roman"/>
          <w:color w:val="000000"/>
          <w:sz w:val="24"/>
          <w:szCs w:val="24"/>
        </w:rPr>
        <w:t>QMEQAS</w:t>
      </w:r>
      <w:r w:rsidR="00A435B9" w:rsidRPr="00FF2251">
        <w:rPr>
          <w:rFonts w:ascii="Times New Roman" w:hAnsi="Times New Roman"/>
          <w:color w:val="000000"/>
          <w:sz w:val="24"/>
          <w:szCs w:val="24"/>
        </w:rPr>
        <w:t>10U-04</w:t>
      </w:r>
      <w:r w:rsidR="00665A49" w:rsidRPr="00FF22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A49" w:rsidRPr="00FF2251">
        <w:rPr>
          <w:rFonts w:ascii="Times New Roman" w:hAnsi="Times New Roman"/>
          <w:sz w:val="24"/>
          <w:szCs w:val="24"/>
        </w:rPr>
        <w:t>urine</w:t>
      </w:r>
      <w:r w:rsidR="00A435B9" w:rsidRPr="00FF2251">
        <w:rPr>
          <w:rFonts w:ascii="Times New Roman" w:hAnsi="Times New Roman"/>
          <w:sz w:val="24"/>
          <w:szCs w:val="24"/>
        </w:rPr>
        <w:t xml:space="preserve"> and QMEQAS10B-09 blood</w:t>
      </w:r>
      <w:r w:rsidR="00665A49" w:rsidRPr="00FF2251">
        <w:rPr>
          <w:rFonts w:ascii="Times New Roman" w:hAnsi="Times New Roman"/>
          <w:sz w:val="24"/>
          <w:szCs w:val="24"/>
        </w:rPr>
        <w:t xml:space="preserve">).  In addition, each batch run </w:t>
      </w:r>
      <w:r w:rsidR="00665A49" w:rsidRPr="005F742A">
        <w:rPr>
          <w:rFonts w:ascii="Times New Roman" w:hAnsi="Times New Roman"/>
          <w:sz w:val="24"/>
          <w:szCs w:val="24"/>
        </w:rPr>
        <w:t>contained procedural blanks and replicate runs.  For each element</w:t>
      </w:r>
      <w:r w:rsidR="002C1781" w:rsidRPr="005F742A">
        <w:rPr>
          <w:rFonts w:ascii="Times New Roman" w:hAnsi="Times New Roman"/>
          <w:sz w:val="24"/>
          <w:szCs w:val="24"/>
        </w:rPr>
        <w:t xml:space="preserve"> analyzed</w:t>
      </w:r>
      <w:r w:rsidR="00E44B1D">
        <w:rPr>
          <w:rFonts w:ascii="Times New Roman" w:hAnsi="Times New Roman"/>
          <w:sz w:val="24"/>
          <w:szCs w:val="24"/>
        </w:rPr>
        <w:t>, the theoretical</w:t>
      </w:r>
      <w:r w:rsidR="00665A49" w:rsidRPr="005F742A">
        <w:rPr>
          <w:rFonts w:ascii="Times New Roman" w:hAnsi="Times New Roman"/>
          <w:sz w:val="24"/>
          <w:szCs w:val="24"/>
        </w:rPr>
        <w:t xml:space="preserve"> detection limit was calculated as </w:t>
      </w:r>
      <w:r w:rsidR="002C1781" w:rsidRPr="005F742A">
        <w:rPr>
          <w:rFonts w:ascii="Times New Roman" w:hAnsi="Times New Roman"/>
          <w:sz w:val="24"/>
          <w:szCs w:val="24"/>
        </w:rPr>
        <w:t xml:space="preserve">three </w:t>
      </w:r>
      <w:r w:rsidR="00665A49" w:rsidRPr="005F742A">
        <w:rPr>
          <w:rFonts w:ascii="Times New Roman" w:hAnsi="Times New Roman"/>
          <w:sz w:val="24"/>
          <w:szCs w:val="24"/>
        </w:rPr>
        <w:t>times the standard deviation of the mean blank value</w:t>
      </w:r>
      <w:r w:rsidR="00535F2E" w:rsidRPr="005F742A">
        <w:rPr>
          <w:rFonts w:ascii="Times New Roman" w:hAnsi="Times New Roman"/>
          <w:sz w:val="24"/>
          <w:szCs w:val="24"/>
        </w:rPr>
        <w:t xml:space="preserve"> </w:t>
      </w:r>
      <w:r w:rsidR="00535F2E" w:rsidRPr="00353FA5">
        <w:rPr>
          <w:rFonts w:ascii="Times New Roman" w:hAnsi="Times New Roman"/>
          <w:sz w:val="24"/>
          <w:szCs w:val="24"/>
        </w:rPr>
        <w:t>(</w:t>
      </w:r>
      <w:r w:rsidR="005F742A" w:rsidRPr="00353FA5">
        <w:rPr>
          <w:rFonts w:ascii="Times New Roman" w:hAnsi="Times New Roman"/>
          <w:sz w:val="24"/>
          <w:szCs w:val="24"/>
        </w:rPr>
        <w:t>Supplemental Table 1</w:t>
      </w:r>
      <w:r w:rsidR="00535F2E" w:rsidRPr="00353FA5">
        <w:rPr>
          <w:rFonts w:ascii="Times New Roman" w:hAnsi="Times New Roman"/>
          <w:sz w:val="24"/>
          <w:szCs w:val="24"/>
        </w:rPr>
        <w:t>).</w:t>
      </w:r>
    </w:p>
    <w:p w14:paraId="3A2D0C07" w14:textId="77777777" w:rsidR="00823B10" w:rsidRPr="00FF2251" w:rsidRDefault="00823B10" w:rsidP="00FF2251">
      <w:pPr>
        <w:pStyle w:val="Subtitle"/>
        <w:spacing w:after="0" w:line="480" w:lineRule="auto"/>
      </w:pPr>
      <w:bookmarkStart w:id="2" w:name="_Toc254344080"/>
    </w:p>
    <w:p w14:paraId="5EA9A7C3" w14:textId="377202B7" w:rsidR="00823B10" w:rsidRPr="00FF2251" w:rsidRDefault="00823B10" w:rsidP="00FF2251">
      <w:pPr>
        <w:pStyle w:val="Subtitle"/>
        <w:spacing w:after="0" w:line="480" w:lineRule="auto"/>
      </w:pPr>
      <w:r w:rsidRPr="00FF2251">
        <w:t>2.</w:t>
      </w:r>
      <w:r w:rsidR="00F8664D" w:rsidRPr="00FF2251">
        <w:t>4</w:t>
      </w:r>
      <w:r w:rsidRPr="00FF2251">
        <w:t xml:space="preserve"> </w:t>
      </w:r>
      <w:r w:rsidR="00B11957" w:rsidRPr="00FF2251">
        <w:t>Data</w:t>
      </w:r>
      <w:r w:rsidR="0074391B" w:rsidRPr="00FF2251">
        <w:t xml:space="preserve"> Analyses</w:t>
      </w:r>
      <w:bookmarkEnd w:id="2"/>
    </w:p>
    <w:p w14:paraId="2D95BB95" w14:textId="63851506" w:rsidR="0074391B" w:rsidRPr="00FF2251" w:rsidRDefault="0074391B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>Preliminary data analysis included tabulation of descriptive statistics for all measurements</w:t>
      </w:r>
      <w:r w:rsidR="00E30EAC" w:rsidRPr="00FF2251">
        <w:rPr>
          <w:rFonts w:ascii="Times New Roman" w:hAnsi="Times New Roman"/>
          <w:sz w:val="24"/>
          <w:szCs w:val="24"/>
        </w:rPr>
        <w:t xml:space="preserve"> to understand the basic features of </w:t>
      </w:r>
      <w:r w:rsidR="00E44B1D">
        <w:rPr>
          <w:rFonts w:ascii="Times New Roman" w:hAnsi="Times New Roman"/>
          <w:sz w:val="24"/>
          <w:szCs w:val="24"/>
        </w:rPr>
        <w:t>the</w:t>
      </w:r>
      <w:r w:rsidR="00E30EAC" w:rsidRPr="00FF2251">
        <w:rPr>
          <w:rFonts w:ascii="Times New Roman" w:hAnsi="Times New Roman"/>
          <w:sz w:val="24"/>
          <w:szCs w:val="24"/>
        </w:rPr>
        <w:t xml:space="preserve"> dataset</w:t>
      </w:r>
      <w:r w:rsidRPr="00FF2251">
        <w:rPr>
          <w:rFonts w:ascii="Times New Roman" w:hAnsi="Times New Roman"/>
          <w:sz w:val="24"/>
          <w:szCs w:val="24"/>
        </w:rPr>
        <w:t xml:space="preserve">.  </w:t>
      </w:r>
      <w:r w:rsidR="00535F2E">
        <w:rPr>
          <w:rFonts w:ascii="Times New Roman" w:hAnsi="Times New Roman"/>
          <w:sz w:val="24"/>
          <w:szCs w:val="24"/>
        </w:rPr>
        <w:t>Results from the</w:t>
      </w:r>
      <w:r w:rsidR="00535F2E" w:rsidRPr="00FF2251">
        <w:rPr>
          <w:rFonts w:ascii="Times New Roman" w:hAnsi="Times New Roman"/>
          <w:sz w:val="24"/>
          <w:szCs w:val="24"/>
        </w:rPr>
        <w:t xml:space="preserve"> semi-structured questionnaire </w:t>
      </w:r>
      <w:r w:rsidR="00E44B1D">
        <w:rPr>
          <w:rFonts w:ascii="Times New Roman" w:hAnsi="Times New Roman"/>
          <w:sz w:val="24"/>
          <w:szCs w:val="24"/>
        </w:rPr>
        <w:t xml:space="preserve">of the male workers </w:t>
      </w:r>
      <w:r w:rsidR="00535F2E">
        <w:rPr>
          <w:rFonts w:ascii="Times New Roman" w:hAnsi="Times New Roman"/>
          <w:sz w:val="24"/>
          <w:szCs w:val="24"/>
        </w:rPr>
        <w:t>were</w:t>
      </w:r>
      <w:r w:rsidR="00535F2E" w:rsidRPr="00FF2251">
        <w:rPr>
          <w:rFonts w:ascii="Times New Roman" w:hAnsi="Times New Roman"/>
          <w:sz w:val="24"/>
          <w:szCs w:val="24"/>
        </w:rPr>
        <w:t xml:space="preserve"> used to identify key job categories, and from this we were ab</w:t>
      </w:r>
      <w:r w:rsidR="00C55BC7">
        <w:rPr>
          <w:rFonts w:ascii="Times New Roman" w:hAnsi="Times New Roman"/>
          <w:sz w:val="24"/>
          <w:szCs w:val="24"/>
        </w:rPr>
        <w:t>le to identify and focus upon 9</w:t>
      </w:r>
      <w:r w:rsidR="00535F2E" w:rsidRPr="00FF2251">
        <w:rPr>
          <w:rFonts w:ascii="Times New Roman" w:hAnsi="Times New Roman"/>
          <w:sz w:val="24"/>
          <w:szCs w:val="24"/>
        </w:rPr>
        <w:t xml:space="preserve"> </w:t>
      </w:r>
      <w:r w:rsidR="00E44B1D">
        <w:rPr>
          <w:rFonts w:ascii="Times New Roman" w:hAnsi="Times New Roman"/>
          <w:sz w:val="24"/>
          <w:szCs w:val="24"/>
        </w:rPr>
        <w:t>key job categories</w:t>
      </w:r>
      <w:r w:rsidR="00535F2E" w:rsidRPr="00FF2251">
        <w:rPr>
          <w:rFonts w:ascii="Times New Roman" w:hAnsi="Times New Roman"/>
          <w:sz w:val="24"/>
          <w:szCs w:val="24"/>
        </w:rPr>
        <w:t xml:space="preserve"> (collect, deal, sort, repair, dismantle or burn e-waste, remov</w:t>
      </w:r>
      <w:r w:rsidR="00C55BC7">
        <w:rPr>
          <w:rFonts w:ascii="Times New Roman" w:hAnsi="Times New Roman"/>
          <w:sz w:val="24"/>
          <w:szCs w:val="24"/>
        </w:rPr>
        <w:t>e wires, burn wires, smelt lead</w:t>
      </w:r>
      <w:r w:rsidR="00535F2E" w:rsidRPr="00FF2251">
        <w:rPr>
          <w:rFonts w:ascii="Times New Roman" w:hAnsi="Times New Roman"/>
          <w:sz w:val="24"/>
          <w:szCs w:val="24"/>
        </w:rPr>
        <w:t xml:space="preserve"> and recycle batteries).  </w:t>
      </w:r>
      <w:r w:rsidR="00E44B1D">
        <w:rPr>
          <w:rFonts w:ascii="Times New Roman" w:hAnsi="Times New Roman"/>
          <w:sz w:val="24"/>
          <w:szCs w:val="24"/>
        </w:rPr>
        <w:t xml:space="preserve">Additionally, we derived 4 main e-waste activities: dealing, sorting, dismantling, and burning e-waste materials.  </w:t>
      </w:r>
      <w:r w:rsidR="005E3576">
        <w:rPr>
          <w:rFonts w:ascii="Times New Roman" w:hAnsi="Times New Roman"/>
          <w:sz w:val="24"/>
          <w:szCs w:val="24"/>
        </w:rPr>
        <w:t>Blood and urine</w:t>
      </w:r>
      <w:r w:rsidR="00BF6427" w:rsidRPr="00FF2251">
        <w:rPr>
          <w:rFonts w:ascii="Times New Roman" w:hAnsi="Times New Roman"/>
          <w:sz w:val="24"/>
          <w:szCs w:val="24"/>
        </w:rPr>
        <w:t xml:space="preserve"> biomarkers</w:t>
      </w:r>
      <w:r w:rsidR="005E3576">
        <w:rPr>
          <w:rFonts w:ascii="Times New Roman" w:hAnsi="Times New Roman"/>
          <w:sz w:val="24"/>
          <w:szCs w:val="24"/>
        </w:rPr>
        <w:t xml:space="preserve"> of elemental exposures</w:t>
      </w:r>
      <w:r w:rsidR="00BF6427" w:rsidRPr="00FF2251">
        <w:rPr>
          <w:rFonts w:ascii="Times New Roman" w:hAnsi="Times New Roman"/>
          <w:sz w:val="24"/>
          <w:szCs w:val="24"/>
        </w:rPr>
        <w:t xml:space="preserve"> were not normally distributed. Transformations of this dataset </w:t>
      </w:r>
      <w:r w:rsidR="00B11957" w:rsidRPr="00FF2251">
        <w:rPr>
          <w:rFonts w:ascii="Times New Roman" w:hAnsi="Times New Roman"/>
          <w:sz w:val="24"/>
          <w:szCs w:val="24"/>
        </w:rPr>
        <w:t>did not</w:t>
      </w:r>
      <w:r w:rsidR="00BF6427" w:rsidRPr="00FF2251">
        <w:rPr>
          <w:rFonts w:ascii="Times New Roman" w:hAnsi="Times New Roman"/>
          <w:sz w:val="24"/>
          <w:szCs w:val="24"/>
        </w:rPr>
        <w:t xml:space="preserve"> achieve normality, and thus non-parametric </w:t>
      </w:r>
      <w:r w:rsidR="00B11957" w:rsidRPr="00FF2251">
        <w:rPr>
          <w:rFonts w:ascii="Times New Roman" w:hAnsi="Times New Roman"/>
          <w:sz w:val="24"/>
          <w:szCs w:val="24"/>
        </w:rPr>
        <w:t>tests</w:t>
      </w:r>
      <w:r w:rsidR="00BF6427" w:rsidRPr="00FF2251">
        <w:rPr>
          <w:rFonts w:ascii="Times New Roman" w:hAnsi="Times New Roman"/>
          <w:sz w:val="24"/>
          <w:szCs w:val="24"/>
        </w:rPr>
        <w:t xml:space="preserve"> were favored.</w:t>
      </w:r>
      <w:r w:rsidR="00FD6D15" w:rsidRPr="00FF2251">
        <w:rPr>
          <w:rFonts w:ascii="Times New Roman" w:hAnsi="Times New Roman"/>
          <w:sz w:val="24"/>
          <w:szCs w:val="24"/>
        </w:rPr>
        <w:t xml:space="preserve">  </w:t>
      </w:r>
      <w:r w:rsidR="00E30EAC" w:rsidRPr="00FF2251">
        <w:rPr>
          <w:rFonts w:ascii="Times New Roman" w:hAnsi="Times New Roman"/>
          <w:sz w:val="24"/>
          <w:szCs w:val="24"/>
        </w:rPr>
        <w:t xml:space="preserve">For each </w:t>
      </w:r>
      <w:r w:rsidR="005E3576">
        <w:rPr>
          <w:rFonts w:ascii="Times New Roman" w:hAnsi="Times New Roman"/>
          <w:sz w:val="24"/>
          <w:szCs w:val="24"/>
        </w:rPr>
        <w:t xml:space="preserve">blood and urine </w:t>
      </w:r>
      <w:r w:rsidR="00E30EAC" w:rsidRPr="00FF2251">
        <w:rPr>
          <w:rFonts w:ascii="Times New Roman" w:hAnsi="Times New Roman"/>
          <w:sz w:val="24"/>
          <w:szCs w:val="24"/>
        </w:rPr>
        <w:t xml:space="preserve">biomarker, estimates of central tendencies, variances, and percentiles were calculated and summarized. </w:t>
      </w:r>
      <w:r w:rsidRPr="00FF2251">
        <w:rPr>
          <w:rFonts w:ascii="Times New Roman" w:hAnsi="Times New Roman"/>
          <w:sz w:val="24"/>
          <w:szCs w:val="24"/>
        </w:rPr>
        <w:t xml:space="preserve">The primary relationships of interest were associations between </w:t>
      </w:r>
      <w:r w:rsidR="005E3576">
        <w:rPr>
          <w:rFonts w:ascii="Times New Roman" w:hAnsi="Times New Roman"/>
          <w:sz w:val="24"/>
          <w:szCs w:val="24"/>
        </w:rPr>
        <w:t>elemental</w:t>
      </w:r>
      <w:r w:rsidR="005C7BF9" w:rsidRPr="00FF2251">
        <w:rPr>
          <w:rFonts w:ascii="Times New Roman" w:hAnsi="Times New Roman"/>
          <w:sz w:val="24"/>
          <w:szCs w:val="24"/>
        </w:rPr>
        <w:t xml:space="preserve"> biomarkers</w:t>
      </w:r>
      <w:r w:rsidR="00FD6D15" w:rsidRPr="00FF2251">
        <w:rPr>
          <w:rFonts w:ascii="Times New Roman" w:hAnsi="Times New Roman"/>
          <w:sz w:val="24"/>
          <w:szCs w:val="24"/>
        </w:rPr>
        <w:t xml:space="preserve"> </w:t>
      </w:r>
      <w:r w:rsidRPr="00FF2251">
        <w:rPr>
          <w:rFonts w:ascii="Times New Roman" w:hAnsi="Times New Roman"/>
          <w:sz w:val="24"/>
          <w:szCs w:val="24"/>
        </w:rPr>
        <w:t xml:space="preserve">with </w:t>
      </w:r>
      <w:r w:rsidR="00FD6D15" w:rsidRPr="00FF2251">
        <w:rPr>
          <w:rFonts w:ascii="Times New Roman" w:hAnsi="Times New Roman"/>
          <w:sz w:val="24"/>
          <w:szCs w:val="24"/>
        </w:rPr>
        <w:t xml:space="preserve">a participant’s </w:t>
      </w:r>
      <w:r w:rsidR="005C7BF9" w:rsidRPr="00FF2251">
        <w:rPr>
          <w:rFonts w:ascii="Times New Roman" w:hAnsi="Times New Roman"/>
          <w:sz w:val="24"/>
          <w:szCs w:val="24"/>
        </w:rPr>
        <w:t xml:space="preserve">demographics and </w:t>
      </w:r>
      <w:r w:rsidR="00782A8F" w:rsidRPr="00FF2251">
        <w:rPr>
          <w:rFonts w:ascii="Times New Roman" w:hAnsi="Times New Roman"/>
          <w:sz w:val="24"/>
          <w:szCs w:val="24"/>
        </w:rPr>
        <w:t>work characteristics</w:t>
      </w:r>
      <w:r w:rsidRPr="00FF2251">
        <w:rPr>
          <w:rFonts w:ascii="Times New Roman" w:hAnsi="Times New Roman"/>
          <w:sz w:val="24"/>
          <w:szCs w:val="24"/>
        </w:rPr>
        <w:t xml:space="preserve">.  </w:t>
      </w:r>
      <w:r w:rsidR="00C60F89" w:rsidRPr="00FF2251">
        <w:rPr>
          <w:rFonts w:ascii="Times New Roman" w:hAnsi="Times New Roman"/>
          <w:sz w:val="24"/>
          <w:szCs w:val="24"/>
        </w:rPr>
        <w:t xml:space="preserve">Comparisons with reference range values </w:t>
      </w:r>
      <w:r w:rsidR="00E44B1D">
        <w:rPr>
          <w:rFonts w:ascii="Times New Roman" w:hAnsi="Times New Roman"/>
          <w:sz w:val="24"/>
          <w:szCs w:val="24"/>
        </w:rPr>
        <w:t xml:space="preserve">from the literature </w:t>
      </w:r>
      <w:r w:rsidR="00C60F89" w:rsidRPr="00FF2251">
        <w:rPr>
          <w:rFonts w:ascii="Times New Roman" w:hAnsi="Times New Roman"/>
          <w:sz w:val="24"/>
          <w:szCs w:val="24"/>
        </w:rPr>
        <w:t xml:space="preserve">were made by calculating percentage differences and also </w:t>
      </w:r>
      <w:r w:rsidR="00C50CE8" w:rsidRPr="00FF2251">
        <w:rPr>
          <w:rFonts w:ascii="Times New Roman" w:hAnsi="Times New Roman"/>
          <w:sz w:val="24"/>
          <w:szCs w:val="24"/>
        </w:rPr>
        <w:t xml:space="preserve">done </w:t>
      </w:r>
      <w:r w:rsidR="00C60F89" w:rsidRPr="00FF2251">
        <w:rPr>
          <w:rFonts w:ascii="Times New Roman" w:hAnsi="Times New Roman"/>
          <w:sz w:val="24"/>
          <w:szCs w:val="24"/>
        </w:rPr>
        <w:t xml:space="preserve">in a qualitative manner.  </w:t>
      </w:r>
      <w:r w:rsidR="00897460" w:rsidRPr="00FF2251">
        <w:rPr>
          <w:rFonts w:ascii="Times New Roman" w:hAnsi="Times New Roman"/>
          <w:sz w:val="24"/>
          <w:szCs w:val="24"/>
        </w:rPr>
        <w:t>A</w:t>
      </w:r>
      <w:r w:rsidR="002E38AB" w:rsidRPr="00FF2251">
        <w:rPr>
          <w:rFonts w:ascii="Times New Roman" w:hAnsi="Times New Roman"/>
          <w:sz w:val="24"/>
          <w:szCs w:val="24"/>
        </w:rPr>
        <w:t>ssociation</w:t>
      </w:r>
      <w:r w:rsidR="00897460" w:rsidRPr="00FF2251">
        <w:rPr>
          <w:rFonts w:ascii="Times New Roman" w:hAnsi="Times New Roman"/>
          <w:sz w:val="24"/>
          <w:szCs w:val="24"/>
        </w:rPr>
        <w:t>s</w:t>
      </w:r>
      <w:r w:rsidR="002E38AB" w:rsidRPr="00FF2251">
        <w:rPr>
          <w:rFonts w:ascii="Times New Roman" w:hAnsi="Times New Roman"/>
          <w:sz w:val="24"/>
          <w:szCs w:val="24"/>
        </w:rPr>
        <w:t xml:space="preserve"> </w:t>
      </w:r>
      <w:r w:rsidR="00897460" w:rsidRPr="00FF2251">
        <w:rPr>
          <w:rFonts w:ascii="Times New Roman" w:hAnsi="Times New Roman"/>
          <w:sz w:val="24"/>
          <w:szCs w:val="24"/>
        </w:rPr>
        <w:t xml:space="preserve">among </w:t>
      </w:r>
      <w:r w:rsidR="005E3576">
        <w:rPr>
          <w:rFonts w:ascii="Times New Roman" w:hAnsi="Times New Roman"/>
          <w:sz w:val="24"/>
          <w:szCs w:val="24"/>
        </w:rPr>
        <w:t>elemental biomarkers</w:t>
      </w:r>
      <w:r w:rsidR="002E38AB" w:rsidRPr="00FF2251">
        <w:rPr>
          <w:rFonts w:ascii="Times New Roman" w:hAnsi="Times New Roman"/>
          <w:sz w:val="24"/>
          <w:szCs w:val="24"/>
        </w:rPr>
        <w:t xml:space="preserve"> </w:t>
      </w:r>
      <w:r w:rsidR="00E44B1D">
        <w:rPr>
          <w:rFonts w:ascii="Times New Roman" w:hAnsi="Times New Roman"/>
          <w:sz w:val="24"/>
          <w:szCs w:val="24"/>
        </w:rPr>
        <w:t>and job categories and main e-waste activities</w:t>
      </w:r>
      <w:r w:rsidR="005C7BF9" w:rsidRPr="00FF2251">
        <w:rPr>
          <w:rFonts w:ascii="Times New Roman" w:hAnsi="Times New Roman"/>
          <w:sz w:val="24"/>
          <w:szCs w:val="24"/>
        </w:rPr>
        <w:t xml:space="preserve"> </w:t>
      </w:r>
      <w:r w:rsidR="00897460" w:rsidRPr="00FF2251">
        <w:rPr>
          <w:rFonts w:ascii="Times New Roman" w:hAnsi="Times New Roman"/>
          <w:sz w:val="24"/>
          <w:szCs w:val="24"/>
        </w:rPr>
        <w:t xml:space="preserve">were </w:t>
      </w:r>
      <w:r w:rsidR="00FD6D15" w:rsidRPr="00FF2251">
        <w:rPr>
          <w:rFonts w:ascii="Times New Roman" w:hAnsi="Times New Roman"/>
          <w:sz w:val="24"/>
          <w:szCs w:val="24"/>
        </w:rPr>
        <w:t xml:space="preserve">analyzed </w:t>
      </w:r>
      <w:r w:rsidR="005C7BF9" w:rsidRPr="00FF2251">
        <w:rPr>
          <w:rFonts w:ascii="Times New Roman" w:hAnsi="Times New Roman"/>
          <w:sz w:val="24"/>
          <w:szCs w:val="24"/>
        </w:rPr>
        <w:t xml:space="preserve">using </w:t>
      </w:r>
      <w:r w:rsidR="00535F2E">
        <w:rPr>
          <w:rFonts w:ascii="Times New Roman" w:hAnsi="Times New Roman"/>
          <w:sz w:val="24"/>
          <w:szCs w:val="24"/>
        </w:rPr>
        <w:t>correlational approaches (e.g., factor analy</w:t>
      </w:r>
      <w:r w:rsidR="006E5FDE">
        <w:rPr>
          <w:rFonts w:ascii="Times New Roman" w:hAnsi="Times New Roman"/>
          <w:sz w:val="24"/>
          <w:szCs w:val="24"/>
        </w:rPr>
        <w:t>s</w:t>
      </w:r>
      <w:r w:rsidR="00535F2E">
        <w:rPr>
          <w:rFonts w:ascii="Times New Roman" w:hAnsi="Times New Roman"/>
          <w:sz w:val="24"/>
          <w:szCs w:val="24"/>
        </w:rPr>
        <w:t>es, Spearman’s)</w:t>
      </w:r>
      <w:r w:rsidR="002E38AB" w:rsidRPr="00FF2251">
        <w:rPr>
          <w:rFonts w:ascii="Times New Roman" w:hAnsi="Times New Roman"/>
          <w:sz w:val="24"/>
          <w:szCs w:val="24"/>
        </w:rPr>
        <w:t>.</w:t>
      </w:r>
      <w:r w:rsidR="00730325" w:rsidRPr="00FF2251">
        <w:rPr>
          <w:rFonts w:ascii="Times New Roman" w:hAnsi="Times New Roman"/>
          <w:sz w:val="24"/>
          <w:szCs w:val="24"/>
        </w:rPr>
        <w:t xml:space="preserve"> </w:t>
      </w:r>
      <w:r w:rsidR="00C60F89" w:rsidRPr="00FF2251">
        <w:rPr>
          <w:rFonts w:ascii="Times New Roman" w:hAnsi="Times New Roman"/>
          <w:sz w:val="24"/>
          <w:szCs w:val="24"/>
        </w:rPr>
        <w:t xml:space="preserve">All values are reported as </w:t>
      </w:r>
      <w:r w:rsidR="00E30EAC" w:rsidRPr="00FF2251">
        <w:rPr>
          <w:rFonts w:ascii="Times New Roman" w:hAnsi="Times New Roman"/>
          <w:sz w:val="24"/>
          <w:szCs w:val="24"/>
        </w:rPr>
        <w:t xml:space="preserve">mean (standard </w:t>
      </w:r>
      <w:r w:rsidR="00E30EAC" w:rsidRPr="008E0B33">
        <w:rPr>
          <w:rFonts w:ascii="Times New Roman" w:hAnsi="Times New Roman"/>
          <w:sz w:val="24"/>
          <w:szCs w:val="24"/>
        </w:rPr>
        <w:t xml:space="preserve">deviation) or </w:t>
      </w:r>
      <w:r w:rsidR="00B11957" w:rsidRPr="008E0B33">
        <w:rPr>
          <w:rFonts w:ascii="Times New Roman" w:hAnsi="Times New Roman"/>
          <w:sz w:val="24"/>
          <w:szCs w:val="24"/>
        </w:rPr>
        <w:t>median</w:t>
      </w:r>
      <w:r w:rsidR="00C60F89" w:rsidRPr="008E0B33">
        <w:rPr>
          <w:rFonts w:ascii="Times New Roman" w:hAnsi="Times New Roman"/>
          <w:sz w:val="24"/>
          <w:szCs w:val="24"/>
        </w:rPr>
        <w:t xml:space="preserve"> </w:t>
      </w:r>
      <w:r w:rsidR="00B11957" w:rsidRPr="008E0B33">
        <w:rPr>
          <w:rFonts w:ascii="Times New Roman" w:hAnsi="Times New Roman"/>
          <w:sz w:val="24"/>
          <w:szCs w:val="24"/>
        </w:rPr>
        <w:t>(25</w:t>
      </w:r>
      <w:r w:rsidR="00B11957" w:rsidRPr="008E0B33">
        <w:rPr>
          <w:rFonts w:ascii="Times New Roman" w:hAnsi="Times New Roman"/>
          <w:sz w:val="24"/>
          <w:szCs w:val="24"/>
          <w:vertAlign w:val="superscript"/>
        </w:rPr>
        <w:t>th</w:t>
      </w:r>
      <w:r w:rsidR="00B11957" w:rsidRPr="008E0B33">
        <w:rPr>
          <w:rFonts w:ascii="Times New Roman" w:hAnsi="Times New Roman"/>
          <w:sz w:val="24"/>
          <w:szCs w:val="24"/>
        </w:rPr>
        <w:t>-75</w:t>
      </w:r>
      <w:r w:rsidR="00B11957" w:rsidRPr="008E0B33">
        <w:rPr>
          <w:rFonts w:ascii="Times New Roman" w:hAnsi="Times New Roman"/>
          <w:sz w:val="24"/>
          <w:szCs w:val="24"/>
          <w:vertAlign w:val="superscript"/>
        </w:rPr>
        <w:t>th</w:t>
      </w:r>
      <w:r w:rsidR="00B11957" w:rsidRPr="008E0B33">
        <w:rPr>
          <w:rFonts w:ascii="Times New Roman" w:hAnsi="Times New Roman"/>
          <w:sz w:val="24"/>
          <w:szCs w:val="24"/>
        </w:rPr>
        <w:t xml:space="preserve"> interquartile range)</w:t>
      </w:r>
      <w:r w:rsidR="00C60F89" w:rsidRPr="008E0B33">
        <w:rPr>
          <w:rFonts w:ascii="Times New Roman" w:hAnsi="Times New Roman"/>
          <w:sz w:val="24"/>
          <w:szCs w:val="24"/>
        </w:rPr>
        <w:t xml:space="preserve"> </w:t>
      </w:r>
      <w:r w:rsidR="00E30EAC" w:rsidRPr="008E0B33">
        <w:rPr>
          <w:rFonts w:ascii="Times New Roman" w:hAnsi="Times New Roman"/>
          <w:sz w:val="24"/>
          <w:szCs w:val="24"/>
        </w:rPr>
        <w:t>as</w:t>
      </w:r>
      <w:r w:rsidR="00C60F89" w:rsidRPr="008E0B33">
        <w:rPr>
          <w:rFonts w:ascii="Times New Roman" w:hAnsi="Times New Roman"/>
          <w:sz w:val="24"/>
          <w:szCs w:val="24"/>
        </w:rPr>
        <w:t xml:space="preserve"> indicated.  A p-value of 0.05 </w:t>
      </w:r>
      <w:r w:rsidR="00C50CE8" w:rsidRPr="008E0B33">
        <w:rPr>
          <w:rFonts w:ascii="Times New Roman" w:hAnsi="Times New Roman"/>
          <w:sz w:val="24"/>
          <w:szCs w:val="24"/>
        </w:rPr>
        <w:t xml:space="preserve">or lower </w:t>
      </w:r>
      <w:r w:rsidR="00C60F89" w:rsidRPr="008E0B33">
        <w:rPr>
          <w:rFonts w:ascii="Times New Roman" w:hAnsi="Times New Roman"/>
          <w:sz w:val="24"/>
          <w:szCs w:val="24"/>
        </w:rPr>
        <w:t xml:space="preserve">was </w:t>
      </w:r>
      <w:r w:rsidR="00C50CE8" w:rsidRPr="008E0B33">
        <w:rPr>
          <w:rFonts w:ascii="Times New Roman" w:hAnsi="Times New Roman"/>
          <w:sz w:val="24"/>
          <w:szCs w:val="24"/>
        </w:rPr>
        <w:t>considered significant</w:t>
      </w:r>
      <w:r w:rsidR="00535F2E" w:rsidRPr="008E0B33">
        <w:rPr>
          <w:rFonts w:ascii="Times New Roman" w:hAnsi="Times New Roman"/>
          <w:sz w:val="24"/>
          <w:szCs w:val="24"/>
        </w:rPr>
        <w:t xml:space="preserve">, </w:t>
      </w:r>
      <w:r w:rsidR="008E0B33" w:rsidRPr="008E0B33">
        <w:rPr>
          <w:rFonts w:ascii="Times New Roman" w:hAnsi="Times New Roman"/>
          <w:sz w:val="24"/>
          <w:szCs w:val="24"/>
        </w:rPr>
        <w:t>and in some cases when performing multiple comparisons a more</w:t>
      </w:r>
      <w:r w:rsidR="00535F2E" w:rsidRPr="008E0B33">
        <w:rPr>
          <w:rFonts w:ascii="Times New Roman" w:hAnsi="Times New Roman"/>
          <w:sz w:val="24"/>
          <w:szCs w:val="24"/>
        </w:rPr>
        <w:t xml:space="preserve"> restrictive p-value</w:t>
      </w:r>
      <w:r w:rsidR="008E0B33" w:rsidRPr="008E0B33">
        <w:rPr>
          <w:rFonts w:ascii="Times New Roman" w:hAnsi="Times New Roman"/>
          <w:sz w:val="24"/>
          <w:szCs w:val="24"/>
        </w:rPr>
        <w:t xml:space="preserve"> was </w:t>
      </w:r>
      <w:r w:rsidR="00535F2E" w:rsidRPr="008E0B33">
        <w:rPr>
          <w:rFonts w:ascii="Times New Roman" w:hAnsi="Times New Roman"/>
          <w:sz w:val="24"/>
          <w:szCs w:val="24"/>
        </w:rPr>
        <w:t xml:space="preserve">used </w:t>
      </w:r>
      <w:r w:rsidR="008E0B33" w:rsidRPr="008E0B33">
        <w:rPr>
          <w:rFonts w:ascii="Times New Roman" w:hAnsi="Times New Roman"/>
          <w:sz w:val="24"/>
          <w:szCs w:val="24"/>
        </w:rPr>
        <w:t>and indicated</w:t>
      </w:r>
      <w:r w:rsidR="00C60F89" w:rsidRPr="008E0B33">
        <w:rPr>
          <w:rFonts w:ascii="Times New Roman" w:hAnsi="Times New Roman"/>
          <w:sz w:val="24"/>
          <w:szCs w:val="24"/>
        </w:rPr>
        <w:t xml:space="preserve">.  </w:t>
      </w:r>
      <w:r w:rsidR="00730325" w:rsidRPr="008E0B33">
        <w:rPr>
          <w:rFonts w:ascii="Times New Roman" w:hAnsi="Times New Roman"/>
          <w:sz w:val="24"/>
          <w:szCs w:val="24"/>
        </w:rPr>
        <w:t>All statistical operations</w:t>
      </w:r>
      <w:r w:rsidR="00730325" w:rsidRPr="00FF2251">
        <w:rPr>
          <w:rFonts w:ascii="Times New Roman" w:hAnsi="Times New Roman"/>
          <w:sz w:val="24"/>
          <w:szCs w:val="24"/>
        </w:rPr>
        <w:t xml:space="preserve"> were performed using SPSS (v11.5, Chicago IL).  </w:t>
      </w:r>
    </w:p>
    <w:p w14:paraId="644A1181" w14:textId="77777777" w:rsidR="003A3CBA" w:rsidRPr="00FF2251" w:rsidRDefault="003A3CBA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5555E122" w14:textId="44994AA6" w:rsidR="0078025B" w:rsidRDefault="00823B10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F2251">
        <w:rPr>
          <w:rFonts w:ascii="Times New Roman" w:hAnsi="Times New Roman"/>
          <w:b/>
          <w:sz w:val="24"/>
          <w:szCs w:val="24"/>
        </w:rPr>
        <w:br w:type="page"/>
        <w:t xml:space="preserve">3.0 </w:t>
      </w:r>
      <w:r w:rsidR="0074391B" w:rsidRPr="00FF2251">
        <w:rPr>
          <w:rFonts w:ascii="Times New Roman" w:hAnsi="Times New Roman"/>
          <w:b/>
          <w:sz w:val="24"/>
          <w:szCs w:val="24"/>
        </w:rPr>
        <w:t>RESULTS</w:t>
      </w:r>
    </w:p>
    <w:p w14:paraId="63DE7214" w14:textId="77777777" w:rsidR="00FF2251" w:rsidRPr="00FF2251" w:rsidRDefault="00FF2251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207CE268" w14:textId="2BDEF66E" w:rsidR="005369C4" w:rsidRPr="00FF2251" w:rsidRDefault="00F8664D" w:rsidP="00FF2251">
      <w:pPr>
        <w:pStyle w:val="Heading1"/>
        <w:spacing w:before="0" w:beforeAutospacing="0" w:after="0" w:afterAutospacing="0" w:line="480" w:lineRule="auto"/>
        <w:rPr>
          <w:b w:val="0"/>
          <w:i/>
          <w:sz w:val="24"/>
          <w:szCs w:val="24"/>
        </w:rPr>
      </w:pPr>
      <w:r w:rsidRPr="00FF2251">
        <w:rPr>
          <w:b w:val="0"/>
          <w:i/>
          <w:sz w:val="24"/>
          <w:szCs w:val="24"/>
        </w:rPr>
        <w:t xml:space="preserve">3.1 </w:t>
      </w:r>
      <w:r w:rsidR="00734AE6" w:rsidRPr="00FF2251">
        <w:rPr>
          <w:b w:val="0"/>
          <w:i/>
          <w:sz w:val="24"/>
          <w:szCs w:val="24"/>
        </w:rPr>
        <w:t>E-waste Worker</w:t>
      </w:r>
      <w:r w:rsidR="005369C4" w:rsidRPr="00FF2251">
        <w:rPr>
          <w:b w:val="0"/>
          <w:i/>
          <w:sz w:val="24"/>
          <w:szCs w:val="24"/>
        </w:rPr>
        <w:t xml:space="preserve"> </w:t>
      </w:r>
      <w:r w:rsidR="009952D2" w:rsidRPr="00FF2251">
        <w:rPr>
          <w:b w:val="0"/>
          <w:i/>
          <w:sz w:val="24"/>
          <w:szCs w:val="24"/>
        </w:rPr>
        <w:t>Demographics</w:t>
      </w:r>
    </w:p>
    <w:p w14:paraId="25470C55" w14:textId="562482F8" w:rsidR="006E5FDE" w:rsidRPr="00FF2251" w:rsidRDefault="009952D2" w:rsidP="006E5FDE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>The mean (</w:t>
      </w:r>
      <w:r w:rsidRPr="00353FA5">
        <w:rPr>
          <w:rFonts w:ascii="Times New Roman" w:hAnsi="Times New Roman"/>
          <w:sz w:val="24"/>
          <w:szCs w:val="24"/>
        </w:rPr>
        <w:t xml:space="preserve">SD) and median (IQR) age of the </w:t>
      </w:r>
      <w:r w:rsidR="00AD4440" w:rsidRPr="00353FA5">
        <w:rPr>
          <w:rFonts w:ascii="Times New Roman" w:hAnsi="Times New Roman"/>
          <w:sz w:val="24"/>
          <w:szCs w:val="24"/>
        </w:rPr>
        <w:t xml:space="preserve">58 </w:t>
      </w:r>
      <w:r w:rsidR="00944E94" w:rsidRPr="00353FA5">
        <w:rPr>
          <w:rFonts w:ascii="Times New Roman" w:hAnsi="Times New Roman"/>
          <w:sz w:val="24"/>
          <w:szCs w:val="24"/>
        </w:rPr>
        <w:t>male</w:t>
      </w:r>
      <w:r w:rsidR="00AD4440" w:rsidRPr="00353FA5">
        <w:rPr>
          <w:rFonts w:ascii="Times New Roman" w:hAnsi="Times New Roman"/>
          <w:sz w:val="24"/>
          <w:szCs w:val="24"/>
        </w:rPr>
        <w:t xml:space="preserve"> workers </w:t>
      </w:r>
      <w:r w:rsidRPr="00353FA5">
        <w:rPr>
          <w:rFonts w:ascii="Times New Roman" w:hAnsi="Times New Roman"/>
          <w:sz w:val="24"/>
          <w:szCs w:val="24"/>
        </w:rPr>
        <w:t xml:space="preserve">studied </w:t>
      </w:r>
      <w:r w:rsidR="00944E94" w:rsidRPr="00353FA5">
        <w:rPr>
          <w:rFonts w:ascii="Times New Roman" w:hAnsi="Times New Roman"/>
          <w:sz w:val="24"/>
          <w:szCs w:val="24"/>
        </w:rPr>
        <w:t>was 25.9</w:t>
      </w:r>
      <w:r w:rsidRPr="00353FA5">
        <w:rPr>
          <w:rFonts w:ascii="Times New Roman" w:hAnsi="Times New Roman"/>
          <w:sz w:val="24"/>
          <w:szCs w:val="24"/>
        </w:rPr>
        <w:t xml:space="preserve"> (</w:t>
      </w:r>
      <w:r w:rsidR="00944E94" w:rsidRPr="00353FA5">
        <w:rPr>
          <w:rFonts w:ascii="Times New Roman" w:hAnsi="Times New Roman"/>
          <w:sz w:val="24"/>
          <w:szCs w:val="24"/>
        </w:rPr>
        <w:t>7.9</w:t>
      </w:r>
      <w:r w:rsidRPr="00353FA5">
        <w:rPr>
          <w:rFonts w:ascii="Times New Roman" w:hAnsi="Times New Roman"/>
          <w:sz w:val="24"/>
          <w:szCs w:val="24"/>
        </w:rPr>
        <w:t>)</w:t>
      </w:r>
      <w:r w:rsidR="00944E94" w:rsidRPr="00353FA5">
        <w:rPr>
          <w:rFonts w:ascii="Times New Roman" w:hAnsi="Times New Roman"/>
          <w:sz w:val="24"/>
          <w:szCs w:val="24"/>
        </w:rPr>
        <w:t xml:space="preserve"> </w:t>
      </w:r>
      <w:r w:rsidRPr="00353FA5">
        <w:rPr>
          <w:rFonts w:ascii="Times New Roman" w:hAnsi="Times New Roman"/>
          <w:sz w:val="24"/>
          <w:szCs w:val="24"/>
        </w:rPr>
        <w:t>and 24 (20.8-29.3),</w:t>
      </w:r>
      <w:r w:rsidR="00944E94" w:rsidRPr="00353FA5">
        <w:rPr>
          <w:rFonts w:ascii="Times New Roman" w:hAnsi="Times New Roman"/>
          <w:sz w:val="24"/>
          <w:szCs w:val="24"/>
        </w:rPr>
        <w:t xml:space="preserve"> and they ranged in age from 18 to 61</w:t>
      </w:r>
      <w:r w:rsidRPr="00353FA5">
        <w:rPr>
          <w:rFonts w:ascii="Times New Roman" w:hAnsi="Times New Roman"/>
          <w:sz w:val="24"/>
          <w:szCs w:val="24"/>
        </w:rPr>
        <w:t xml:space="preserve"> (Table 1)</w:t>
      </w:r>
      <w:r w:rsidR="00944E94" w:rsidRPr="00353FA5">
        <w:rPr>
          <w:rFonts w:ascii="Times New Roman" w:hAnsi="Times New Roman"/>
          <w:sz w:val="24"/>
          <w:szCs w:val="24"/>
        </w:rPr>
        <w:t xml:space="preserve">. </w:t>
      </w:r>
      <w:r w:rsidR="00CE215D" w:rsidRPr="00353FA5">
        <w:rPr>
          <w:rFonts w:ascii="Times New Roman" w:hAnsi="Times New Roman"/>
          <w:sz w:val="24"/>
          <w:szCs w:val="24"/>
        </w:rPr>
        <w:t xml:space="preserve"> Nearly all </w:t>
      </w:r>
      <w:r w:rsidRPr="00353FA5">
        <w:rPr>
          <w:rFonts w:ascii="Times New Roman" w:hAnsi="Times New Roman"/>
          <w:sz w:val="24"/>
          <w:szCs w:val="24"/>
        </w:rPr>
        <w:t xml:space="preserve">(96.6%) </w:t>
      </w:r>
      <w:r w:rsidR="00CE215D" w:rsidRPr="00353FA5">
        <w:rPr>
          <w:rFonts w:ascii="Times New Roman" w:hAnsi="Times New Roman"/>
          <w:sz w:val="24"/>
          <w:szCs w:val="24"/>
        </w:rPr>
        <w:t xml:space="preserve">the workers were Muslim.  Just over </w:t>
      </w:r>
      <w:r w:rsidR="00944E94" w:rsidRPr="00353FA5">
        <w:rPr>
          <w:rFonts w:ascii="Times New Roman" w:hAnsi="Times New Roman"/>
          <w:sz w:val="24"/>
          <w:szCs w:val="24"/>
        </w:rPr>
        <w:t>one</w:t>
      </w:r>
      <w:r w:rsidR="00944E94" w:rsidRPr="00087FF3">
        <w:rPr>
          <w:rFonts w:ascii="Times New Roman" w:hAnsi="Times New Roman"/>
          <w:sz w:val="24"/>
          <w:szCs w:val="24"/>
        </w:rPr>
        <w:t>-third (</w:t>
      </w:r>
      <w:r w:rsidR="00CE215D" w:rsidRPr="00087FF3">
        <w:rPr>
          <w:rFonts w:ascii="Times New Roman" w:hAnsi="Times New Roman"/>
          <w:sz w:val="24"/>
          <w:szCs w:val="24"/>
        </w:rPr>
        <w:t>37.9%</w:t>
      </w:r>
      <w:r w:rsidR="00944E94" w:rsidRPr="00087FF3">
        <w:rPr>
          <w:rFonts w:ascii="Times New Roman" w:hAnsi="Times New Roman"/>
          <w:sz w:val="24"/>
          <w:szCs w:val="24"/>
        </w:rPr>
        <w:t xml:space="preserve">) of the participants indicated </w:t>
      </w:r>
      <w:r w:rsidRPr="00087FF3">
        <w:rPr>
          <w:rFonts w:ascii="Times New Roman" w:hAnsi="Times New Roman"/>
          <w:sz w:val="24"/>
          <w:szCs w:val="24"/>
        </w:rPr>
        <w:t xml:space="preserve">that </w:t>
      </w:r>
      <w:r w:rsidR="00944E94" w:rsidRPr="00087FF3">
        <w:rPr>
          <w:rFonts w:ascii="Times New Roman" w:hAnsi="Times New Roman"/>
          <w:sz w:val="24"/>
          <w:szCs w:val="24"/>
        </w:rPr>
        <w:t>they were single, with the rest being married (</w:t>
      </w:r>
      <w:r w:rsidR="00CE215D" w:rsidRPr="00087FF3">
        <w:rPr>
          <w:rFonts w:ascii="Times New Roman" w:hAnsi="Times New Roman"/>
          <w:sz w:val="24"/>
          <w:szCs w:val="24"/>
        </w:rPr>
        <w:t>37.9</w:t>
      </w:r>
      <w:r w:rsidR="00944E94" w:rsidRPr="00087FF3">
        <w:rPr>
          <w:rFonts w:ascii="Times New Roman" w:hAnsi="Times New Roman"/>
          <w:sz w:val="24"/>
          <w:szCs w:val="24"/>
        </w:rPr>
        <w:t xml:space="preserve">% living together; </w:t>
      </w:r>
      <w:r w:rsidR="00CE215D" w:rsidRPr="00087FF3">
        <w:rPr>
          <w:rFonts w:ascii="Times New Roman" w:hAnsi="Times New Roman"/>
          <w:sz w:val="24"/>
          <w:szCs w:val="24"/>
        </w:rPr>
        <w:t>19.0</w:t>
      </w:r>
      <w:r w:rsidR="00944E94" w:rsidRPr="00087FF3">
        <w:rPr>
          <w:rFonts w:ascii="Times New Roman" w:hAnsi="Times New Roman"/>
          <w:sz w:val="24"/>
          <w:szCs w:val="24"/>
        </w:rPr>
        <w:t xml:space="preserve">% not living together), </w:t>
      </w:r>
      <w:r w:rsidR="007D47C3">
        <w:rPr>
          <w:rFonts w:ascii="Times New Roman" w:hAnsi="Times New Roman"/>
          <w:sz w:val="24"/>
          <w:szCs w:val="24"/>
        </w:rPr>
        <w:t xml:space="preserve">and </w:t>
      </w:r>
      <w:r w:rsidR="00944E94" w:rsidRPr="00087FF3">
        <w:rPr>
          <w:rFonts w:ascii="Times New Roman" w:hAnsi="Times New Roman"/>
          <w:sz w:val="24"/>
          <w:szCs w:val="24"/>
        </w:rPr>
        <w:t>divorced or separated (5.</w:t>
      </w:r>
      <w:r w:rsidR="00CE215D" w:rsidRPr="00087FF3">
        <w:rPr>
          <w:rFonts w:ascii="Times New Roman" w:hAnsi="Times New Roman"/>
          <w:sz w:val="24"/>
          <w:szCs w:val="24"/>
        </w:rPr>
        <w:t>2</w:t>
      </w:r>
      <w:r w:rsidR="00944E94" w:rsidRPr="00087FF3">
        <w:rPr>
          <w:rFonts w:ascii="Times New Roman" w:hAnsi="Times New Roman"/>
          <w:sz w:val="24"/>
          <w:szCs w:val="24"/>
        </w:rPr>
        <w:t xml:space="preserve">%).  More than half </w:t>
      </w:r>
      <w:r w:rsidR="00CE215D" w:rsidRPr="00087FF3">
        <w:rPr>
          <w:rFonts w:ascii="Times New Roman" w:hAnsi="Times New Roman"/>
          <w:sz w:val="24"/>
          <w:szCs w:val="24"/>
        </w:rPr>
        <w:t xml:space="preserve">(53.4%) </w:t>
      </w:r>
      <w:r w:rsidR="00944E94" w:rsidRPr="00087FF3">
        <w:rPr>
          <w:rFonts w:ascii="Times New Roman" w:hAnsi="Times New Roman"/>
          <w:sz w:val="24"/>
          <w:szCs w:val="24"/>
        </w:rPr>
        <w:t>of the</w:t>
      </w:r>
      <w:r w:rsidR="00944E94" w:rsidRPr="00FF2251">
        <w:rPr>
          <w:rFonts w:ascii="Times New Roman" w:hAnsi="Times New Roman"/>
          <w:sz w:val="24"/>
          <w:szCs w:val="24"/>
        </w:rPr>
        <w:t xml:space="preserve"> participants had no formal education</w:t>
      </w:r>
      <w:r w:rsidR="00CE215D" w:rsidRPr="00FF2251">
        <w:rPr>
          <w:rFonts w:ascii="Times New Roman" w:hAnsi="Times New Roman"/>
          <w:sz w:val="24"/>
          <w:szCs w:val="24"/>
        </w:rPr>
        <w:t xml:space="preserve"> and 27.6% </w:t>
      </w:r>
      <w:r w:rsidRPr="00FF2251">
        <w:rPr>
          <w:rFonts w:ascii="Times New Roman" w:hAnsi="Times New Roman"/>
          <w:sz w:val="24"/>
          <w:szCs w:val="24"/>
        </w:rPr>
        <w:t>reported having completed</w:t>
      </w:r>
      <w:r w:rsidR="00CE215D" w:rsidRPr="00FF2251">
        <w:rPr>
          <w:rFonts w:ascii="Times New Roman" w:hAnsi="Times New Roman"/>
          <w:sz w:val="24"/>
          <w:szCs w:val="24"/>
        </w:rPr>
        <w:t xml:space="preserve"> middle or secondary education.  </w:t>
      </w:r>
      <w:r w:rsidRPr="00FF2251">
        <w:rPr>
          <w:rFonts w:ascii="Times New Roman" w:hAnsi="Times New Roman"/>
          <w:sz w:val="24"/>
          <w:szCs w:val="24"/>
        </w:rPr>
        <w:t xml:space="preserve">More than 50% of the participants had moved </w:t>
      </w:r>
      <w:r w:rsidR="00D9424F" w:rsidRPr="00FF2251">
        <w:rPr>
          <w:rFonts w:ascii="Times New Roman" w:hAnsi="Times New Roman"/>
          <w:sz w:val="24"/>
          <w:szCs w:val="24"/>
        </w:rPr>
        <w:t xml:space="preserve">to the </w:t>
      </w:r>
      <w:r w:rsidR="007D47C3">
        <w:rPr>
          <w:rFonts w:ascii="Times New Roman" w:hAnsi="Times New Roman"/>
          <w:sz w:val="24"/>
          <w:szCs w:val="24"/>
        </w:rPr>
        <w:t>e</w:t>
      </w:r>
      <w:r w:rsidR="00D9424F" w:rsidRPr="00FF2251">
        <w:rPr>
          <w:rFonts w:ascii="Times New Roman" w:hAnsi="Times New Roman"/>
          <w:sz w:val="24"/>
          <w:szCs w:val="24"/>
        </w:rPr>
        <w:t>-waste</w:t>
      </w:r>
      <w:r w:rsidRPr="00FF2251">
        <w:rPr>
          <w:rFonts w:ascii="Times New Roman" w:hAnsi="Times New Roman"/>
          <w:sz w:val="24"/>
          <w:szCs w:val="24"/>
        </w:rPr>
        <w:t xml:space="preserve"> from the North of Ghana.  </w:t>
      </w:r>
      <w:r w:rsidR="006E5FDE" w:rsidRPr="00FF2251">
        <w:rPr>
          <w:rFonts w:ascii="Times New Roman" w:hAnsi="Times New Roman"/>
          <w:sz w:val="24"/>
          <w:szCs w:val="24"/>
        </w:rPr>
        <w:t xml:space="preserve">Most (96.6%) of the participants indicated that they slept near Agbogbloshie, 70.7% </w:t>
      </w:r>
      <w:r w:rsidR="006E5FDE">
        <w:rPr>
          <w:rFonts w:ascii="Times New Roman" w:hAnsi="Times New Roman"/>
          <w:sz w:val="24"/>
          <w:szCs w:val="24"/>
        </w:rPr>
        <w:t>reported</w:t>
      </w:r>
      <w:r w:rsidR="006E5FDE" w:rsidRPr="00FF2251">
        <w:rPr>
          <w:rFonts w:ascii="Times New Roman" w:hAnsi="Times New Roman"/>
          <w:sz w:val="24"/>
          <w:szCs w:val="24"/>
        </w:rPr>
        <w:t xml:space="preserve"> sleeping inside their </w:t>
      </w:r>
      <w:r w:rsidR="006E5FDE">
        <w:rPr>
          <w:rFonts w:ascii="Times New Roman" w:hAnsi="Times New Roman"/>
          <w:sz w:val="24"/>
          <w:szCs w:val="24"/>
        </w:rPr>
        <w:t>work shed</w:t>
      </w:r>
      <w:r w:rsidR="006E5FDE" w:rsidRPr="00FF2251">
        <w:rPr>
          <w:rFonts w:ascii="Times New Roman" w:hAnsi="Times New Roman"/>
          <w:sz w:val="24"/>
          <w:szCs w:val="24"/>
        </w:rPr>
        <w:t xml:space="preserve">, and the mean (SD) number of years lived near Agbogbloshie was 6.0 (4.2).  More than half (68.9%) of the respondents </w:t>
      </w:r>
      <w:r w:rsidR="006E5FDE">
        <w:rPr>
          <w:rFonts w:ascii="Times New Roman" w:hAnsi="Times New Roman"/>
          <w:sz w:val="24"/>
          <w:szCs w:val="24"/>
        </w:rPr>
        <w:t>reported</w:t>
      </w:r>
      <w:r w:rsidR="006E5FDE" w:rsidRPr="00FF2251">
        <w:rPr>
          <w:rFonts w:ascii="Times New Roman" w:hAnsi="Times New Roman"/>
          <w:sz w:val="24"/>
          <w:szCs w:val="24"/>
        </w:rPr>
        <w:t xml:space="preserve"> earning less than 20 Ghana cedis per day </w:t>
      </w:r>
      <w:r w:rsidR="006E5FDE" w:rsidRPr="00CF656A">
        <w:rPr>
          <w:rFonts w:ascii="Times New Roman" w:hAnsi="Times New Roman"/>
          <w:sz w:val="24"/>
          <w:szCs w:val="24"/>
        </w:rPr>
        <w:t>(~$5USD), with</w:t>
      </w:r>
      <w:r w:rsidR="006E5FDE" w:rsidRPr="00FF2251">
        <w:rPr>
          <w:rFonts w:ascii="Times New Roman" w:hAnsi="Times New Roman"/>
          <w:sz w:val="24"/>
          <w:szCs w:val="24"/>
        </w:rPr>
        <w:t xml:space="preserve"> 37.9% earning less than 10 cedis per day.   Self-reported income </w:t>
      </w:r>
      <w:r w:rsidR="007D47C3">
        <w:rPr>
          <w:rFonts w:ascii="Times New Roman" w:hAnsi="Times New Roman"/>
          <w:sz w:val="24"/>
          <w:szCs w:val="24"/>
        </w:rPr>
        <w:t>was</w:t>
      </w:r>
      <w:r w:rsidR="006E5FDE" w:rsidRPr="00FF2251">
        <w:rPr>
          <w:rFonts w:ascii="Times New Roman" w:hAnsi="Times New Roman"/>
          <w:sz w:val="24"/>
          <w:szCs w:val="24"/>
        </w:rPr>
        <w:t xml:space="preserve"> not associate</w:t>
      </w:r>
      <w:r w:rsidR="007D47C3">
        <w:rPr>
          <w:rFonts w:ascii="Times New Roman" w:hAnsi="Times New Roman"/>
          <w:sz w:val="24"/>
          <w:szCs w:val="24"/>
        </w:rPr>
        <w:t>d</w:t>
      </w:r>
      <w:r w:rsidR="006E5FDE" w:rsidRPr="00FF2251">
        <w:rPr>
          <w:rFonts w:ascii="Times New Roman" w:hAnsi="Times New Roman"/>
          <w:sz w:val="24"/>
          <w:szCs w:val="24"/>
        </w:rPr>
        <w:t xml:space="preserve"> (chi-squared) with recent job activities or education level.</w:t>
      </w:r>
    </w:p>
    <w:p w14:paraId="78F2558D" w14:textId="300AB178" w:rsidR="009952D2" w:rsidRPr="00FF2251" w:rsidRDefault="009952D2" w:rsidP="006E5FDE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4D7F7241" w14:textId="4156AE03" w:rsidR="00CE215D" w:rsidRPr="00FF2251" w:rsidRDefault="00F8664D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F2251">
        <w:rPr>
          <w:rFonts w:ascii="Times New Roman" w:hAnsi="Times New Roman"/>
          <w:i/>
          <w:sz w:val="24"/>
          <w:szCs w:val="24"/>
        </w:rPr>
        <w:t>3.2 E-waste Work</w:t>
      </w:r>
      <w:r w:rsidR="00CE2395">
        <w:rPr>
          <w:rFonts w:ascii="Times New Roman" w:hAnsi="Times New Roman"/>
          <w:i/>
          <w:sz w:val="24"/>
          <w:szCs w:val="24"/>
        </w:rPr>
        <w:t xml:space="preserve"> </w:t>
      </w:r>
      <w:r w:rsidR="007D47C3">
        <w:rPr>
          <w:rFonts w:ascii="Times New Roman" w:hAnsi="Times New Roman"/>
          <w:i/>
          <w:sz w:val="24"/>
          <w:szCs w:val="24"/>
        </w:rPr>
        <w:t>Characteristics</w:t>
      </w:r>
    </w:p>
    <w:p w14:paraId="046647D7" w14:textId="1C59726C" w:rsidR="00567591" w:rsidRPr="00087FF3" w:rsidRDefault="006E5FDE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353FA5">
        <w:rPr>
          <w:rFonts w:ascii="Times New Roman" w:hAnsi="Times New Roman"/>
          <w:sz w:val="24"/>
          <w:szCs w:val="24"/>
        </w:rPr>
        <w:t>All respondents worked in different aspects of e-waste at some point in their careers (Table 2). The mean (SD) and median (IQR) number of years worked in e-waste was 6.2 (4.2) and 5</w:t>
      </w:r>
      <w:r w:rsidRPr="00087FF3">
        <w:rPr>
          <w:rFonts w:ascii="Times New Roman" w:hAnsi="Times New Roman"/>
          <w:sz w:val="24"/>
          <w:szCs w:val="24"/>
        </w:rPr>
        <w:t>.0 (3.5-8.0), with a range between 6 m</w:t>
      </w:r>
      <w:r w:rsidR="00C55BC7">
        <w:rPr>
          <w:rFonts w:ascii="Times New Roman" w:hAnsi="Times New Roman"/>
          <w:sz w:val="24"/>
          <w:szCs w:val="24"/>
        </w:rPr>
        <w:t>onths and 22 years. Among the 9</w:t>
      </w:r>
      <w:r w:rsidRPr="00087FF3">
        <w:rPr>
          <w:rFonts w:ascii="Times New Roman" w:hAnsi="Times New Roman"/>
          <w:sz w:val="24"/>
          <w:szCs w:val="24"/>
        </w:rPr>
        <w:t xml:space="preserve"> job categories we focused on, </w:t>
      </w:r>
      <w:r>
        <w:rPr>
          <w:rFonts w:ascii="Times New Roman" w:hAnsi="Times New Roman"/>
          <w:sz w:val="24"/>
          <w:szCs w:val="24"/>
        </w:rPr>
        <w:t>the average</w:t>
      </w:r>
      <w:r w:rsidRPr="00087FF3">
        <w:rPr>
          <w:rFonts w:ascii="Times New Roman" w:hAnsi="Times New Roman"/>
          <w:sz w:val="24"/>
          <w:szCs w:val="24"/>
        </w:rPr>
        <w:t xml:space="preserve"> individual </w:t>
      </w:r>
      <w:r>
        <w:rPr>
          <w:rFonts w:ascii="Times New Roman" w:hAnsi="Times New Roman"/>
          <w:sz w:val="24"/>
          <w:szCs w:val="24"/>
        </w:rPr>
        <w:t>was</w:t>
      </w:r>
      <w:r w:rsidRPr="00087FF3">
        <w:rPr>
          <w:rFonts w:ascii="Times New Roman" w:hAnsi="Times New Roman"/>
          <w:sz w:val="24"/>
          <w:szCs w:val="24"/>
        </w:rPr>
        <w:t xml:space="preserve"> active in 6.8 (2.0) </w:t>
      </w:r>
      <w:r w:rsidR="007D47C3">
        <w:rPr>
          <w:rFonts w:ascii="Times New Roman" w:hAnsi="Times New Roman"/>
          <w:sz w:val="24"/>
          <w:szCs w:val="24"/>
        </w:rPr>
        <w:t>categories</w:t>
      </w:r>
      <w:r w:rsidRPr="00087FF3">
        <w:rPr>
          <w:rFonts w:ascii="Times New Roman" w:hAnsi="Times New Roman"/>
          <w:sz w:val="24"/>
          <w:szCs w:val="24"/>
        </w:rPr>
        <w:t xml:space="preserve">, and this ranged from 1 to </w:t>
      </w:r>
      <w:r w:rsidR="00C55BC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7FF3">
        <w:rPr>
          <w:rFonts w:ascii="Times New Roman" w:hAnsi="Times New Roman"/>
          <w:sz w:val="24"/>
          <w:szCs w:val="24"/>
        </w:rPr>
        <w:t xml:space="preserve"> </w:t>
      </w:r>
      <w:r w:rsidR="007D47C3" w:rsidRPr="00F0191A">
        <w:rPr>
          <w:rFonts w:ascii="Times New Roman" w:hAnsi="Times New Roman"/>
          <w:sz w:val="24"/>
          <w:szCs w:val="24"/>
        </w:rPr>
        <w:t xml:space="preserve">Most indicated to have performed </w:t>
      </w:r>
      <w:r w:rsidR="007D47C3">
        <w:rPr>
          <w:rFonts w:ascii="Times New Roman" w:hAnsi="Times New Roman"/>
          <w:sz w:val="24"/>
          <w:szCs w:val="24"/>
        </w:rPr>
        <w:t xml:space="preserve">tasks in </w:t>
      </w:r>
      <w:r w:rsidR="007D47C3" w:rsidRPr="00F0191A">
        <w:rPr>
          <w:rFonts w:ascii="Times New Roman" w:hAnsi="Times New Roman"/>
          <w:sz w:val="24"/>
          <w:szCs w:val="24"/>
        </w:rPr>
        <w:t xml:space="preserve">7 </w:t>
      </w:r>
      <w:r w:rsidR="007D47C3">
        <w:rPr>
          <w:rFonts w:ascii="Times New Roman" w:hAnsi="Times New Roman"/>
          <w:sz w:val="24"/>
          <w:szCs w:val="24"/>
        </w:rPr>
        <w:t>job categories</w:t>
      </w:r>
      <w:r w:rsidR="007D47C3" w:rsidRPr="00F0191A">
        <w:rPr>
          <w:rFonts w:ascii="Times New Roman" w:hAnsi="Times New Roman"/>
          <w:sz w:val="24"/>
          <w:szCs w:val="24"/>
        </w:rPr>
        <w:t xml:space="preserve"> (31%), </w:t>
      </w:r>
      <w:r w:rsidRPr="00087FF3">
        <w:rPr>
          <w:rFonts w:ascii="Times New Roman" w:hAnsi="Times New Roman"/>
          <w:sz w:val="24"/>
          <w:szCs w:val="24"/>
        </w:rPr>
        <w:t xml:space="preserve">followed by </w:t>
      </w:r>
      <w:r>
        <w:rPr>
          <w:rFonts w:ascii="Times New Roman" w:hAnsi="Times New Roman"/>
          <w:sz w:val="24"/>
          <w:szCs w:val="24"/>
        </w:rPr>
        <w:t>six</w:t>
      </w:r>
      <w:r w:rsidRPr="00087FF3">
        <w:rPr>
          <w:rFonts w:ascii="Times New Roman" w:hAnsi="Times New Roman"/>
          <w:sz w:val="24"/>
          <w:szCs w:val="24"/>
        </w:rPr>
        <w:t xml:space="preserve"> (17%), </w:t>
      </w:r>
      <w:r>
        <w:rPr>
          <w:rFonts w:ascii="Times New Roman" w:hAnsi="Times New Roman"/>
          <w:sz w:val="24"/>
          <w:szCs w:val="24"/>
        </w:rPr>
        <w:t>eight</w:t>
      </w:r>
      <w:r w:rsidRPr="00087FF3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>nine</w:t>
      </w:r>
      <w:r w:rsidRPr="00087FF3">
        <w:rPr>
          <w:rFonts w:ascii="Times New Roman" w:hAnsi="Times New Roman"/>
          <w:sz w:val="24"/>
          <w:szCs w:val="24"/>
        </w:rPr>
        <w:t xml:space="preserve"> (14% each).</w:t>
      </w:r>
      <w:r>
        <w:rPr>
          <w:rFonts w:ascii="Times New Roman" w:hAnsi="Times New Roman"/>
          <w:sz w:val="24"/>
          <w:szCs w:val="24"/>
        </w:rPr>
        <w:t xml:space="preserve">  </w:t>
      </w:r>
      <w:r w:rsidR="007D47C3" w:rsidRPr="00F0191A">
        <w:rPr>
          <w:rFonts w:ascii="Times New Roman" w:hAnsi="Times New Roman"/>
          <w:sz w:val="24"/>
          <w:szCs w:val="24"/>
        </w:rPr>
        <w:t xml:space="preserve">Less than 5% of the study population indicated to performing </w:t>
      </w:r>
      <w:r w:rsidR="007D47C3">
        <w:rPr>
          <w:rFonts w:ascii="Times New Roman" w:hAnsi="Times New Roman"/>
          <w:sz w:val="24"/>
          <w:szCs w:val="24"/>
        </w:rPr>
        <w:t xml:space="preserve">tasks in </w:t>
      </w:r>
      <w:r w:rsidR="007D47C3" w:rsidRPr="00F0191A">
        <w:rPr>
          <w:rFonts w:ascii="Times New Roman" w:hAnsi="Times New Roman"/>
          <w:sz w:val="24"/>
          <w:szCs w:val="24"/>
        </w:rPr>
        <w:t xml:space="preserve">either 1, 2, 3 or 4 </w:t>
      </w:r>
      <w:r w:rsidR="007D47C3">
        <w:rPr>
          <w:rFonts w:ascii="Times New Roman" w:hAnsi="Times New Roman"/>
          <w:sz w:val="24"/>
          <w:szCs w:val="24"/>
        </w:rPr>
        <w:t>job categorie</w:t>
      </w:r>
      <w:r w:rsidR="007D47C3" w:rsidRPr="00F0191A">
        <w:rPr>
          <w:rFonts w:ascii="Times New Roman" w:hAnsi="Times New Roman"/>
          <w:sz w:val="24"/>
          <w:szCs w:val="24"/>
        </w:rPr>
        <w:t xml:space="preserve">s.  The most </w:t>
      </w:r>
      <w:r w:rsidR="007D47C3">
        <w:rPr>
          <w:rFonts w:ascii="Times New Roman" w:hAnsi="Times New Roman"/>
          <w:sz w:val="24"/>
          <w:szCs w:val="24"/>
        </w:rPr>
        <w:t>common</w:t>
      </w:r>
      <w:r w:rsidR="007D47C3" w:rsidRPr="00F0191A">
        <w:rPr>
          <w:rFonts w:ascii="Times New Roman" w:hAnsi="Times New Roman"/>
          <w:sz w:val="24"/>
          <w:szCs w:val="24"/>
        </w:rPr>
        <w:t xml:space="preserve"> </w:t>
      </w:r>
      <w:r w:rsidR="007D47C3">
        <w:rPr>
          <w:rFonts w:ascii="Times New Roman" w:hAnsi="Times New Roman"/>
          <w:sz w:val="24"/>
          <w:szCs w:val="24"/>
        </w:rPr>
        <w:t>job category</w:t>
      </w:r>
      <w:r w:rsidR="007D47C3" w:rsidRPr="00F0191A">
        <w:rPr>
          <w:rFonts w:ascii="Times New Roman" w:hAnsi="Times New Roman"/>
          <w:sz w:val="24"/>
          <w:szCs w:val="24"/>
        </w:rPr>
        <w:t xml:space="preserve"> was </w:t>
      </w:r>
      <w:r w:rsidR="00077A54" w:rsidRPr="00FF2251">
        <w:rPr>
          <w:rFonts w:ascii="Times New Roman" w:hAnsi="Times New Roman"/>
          <w:sz w:val="24"/>
          <w:szCs w:val="24"/>
        </w:rPr>
        <w:t xml:space="preserve">dealing </w:t>
      </w:r>
      <w:r w:rsidR="00F8664D" w:rsidRPr="00FF2251">
        <w:rPr>
          <w:rFonts w:ascii="Times New Roman" w:hAnsi="Times New Roman"/>
          <w:sz w:val="24"/>
          <w:szCs w:val="24"/>
        </w:rPr>
        <w:t>e-waste</w:t>
      </w:r>
      <w:r w:rsidR="005C7BF9" w:rsidRPr="00FF2251">
        <w:rPr>
          <w:rFonts w:ascii="Times New Roman" w:hAnsi="Times New Roman"/>
          <w:sz w:val="24"/>
          <w:szCs w:val="24"/>
        </w:rPr>
        <w:t xml:space="preserve"> </w:t>
      </w:r>
      <w:r w:rsidR="00077A54" w:rsidRPr="00FF2251">
        <w:rPr>
          <w:rFonts w:ascii="Times New Roman" w:hAnsi="Times New Roman"/>
          <w:sz w:val="24"/>
          <w:szCs w:val="24"/>
        </w:rPr>
        <w:t>scrap</w:t>
      </w:r>
      <w:r w:rsidR="00214117">
        <w:rPr>
          <w:rFonts w:ascii="Times New Roman" w:hAnsi="Times New Roman"/>
          <w:sz w:val="24"/>
          <w:szCs w:val="24"/>
        </w:rPr>
        <w:t>s</w:t>
      </w:r>
      <w:r w:rsidR="00077A54" w:rsidRPr="00FF2251">
        <w:rPr>
          <w:rFonts w:ascii="Times New Roman" w:hAnsi="Times New Roman"/>
          <w:sz w:val="24"/>
          <w:szCs w:val="24"/>
        </w:rPr>
        <w:t xml:space="preserve"> (96.6%</w:t>
      </w:r>
      <w:r w:rsidR="008C4065">
        <w:rPr>
          <w:rFonts w:ascii="Times New Roman" w:hAnsi="Times New Roman"/>
          <w:sz w:val="24"/>
          <w:szCs w:val="24"/>
        </w:rPr>
        <w:t xml:space="preserve"> of the participants indicated to being involved</w:t>
      </w:r>
      <w:r w:rsidR="00077A54" w:rsidRPr="00FF2251">
        <w:rPr>
          <w:rFonts w:ascii="Times New Roman" w:hAnsi="Times New Roman"/>
          <w:sz w:val="24"/>
          <w:szCs w:val="24"/>
        </w:rPr>
        <w:t>) followed by dismantling (84.5%), collecting (81%)</w:t>
      </w:r>
      <w:r w:rsidR="003E2639">
        <w:rPr>
          <w:rFonts w:ascii="Times New Roman" w:hAnsi="Times New Roman"/>
          <w:sz w:val="24"/>
          <w:szCs w:val="24"/>
        </w:rPr>
        <w:t>,</w:t>
      </w:r>
      <w:r w:rsidR="00077A54" w:rsidRPr="00FF2251">
        <w:rPr>
          <w:rFonts w:ascii="Times New Roman" w:hAnsi="Times New Roman"/>
          <w:sz w:val="24"/>
          <w:szCs w:val="24"/>
        </w:rPr>
        <w:t xml:space="preserve"> and sorting (81%) </w:t>
      </w:r>
      <w:r w:rsidR="00F8664D" w:rsidRPr="00FF2251">
        <w:rPr>
          <w:rFonts w:ascii="Times New Roman" w:hAnsi="Times New Roman"/>
          <w:sz w:val="24"/>
          <w:szCs w:val="24"/>
        </w:rPr>
        <w:t>e-waste</w:t>
      </w:r>
      <w:r w:rsidR="00077A54" w:rsidRPr="00FF2251">
        <w:rPr>
          <w:rFonts w:ascii="Times New Roman" w:hAnsi="Times New Roman"/>
          <w:sz w:val="24"/>
          <w:szCs w:val="24"/>
        </w:rPr>
        <w:t xml:space="preserve">. </w:t>
      </w:r>
      <w:r w:rsidR="00567591" w:rsidRPr="00FF2251">
        <w:rPr>
          <w:rFonts w:ascii="Times New Roman" w:hAnsi="Times New Roman"/>
          <w:sz w:val="24"/>
          <w:szCs w:val="24"/>
        </w:rPr>
        <w:t xml:space="preserve">The work data were subjected to a factor analysis to determine if </w:t>
      </w:r>
      <w:r w:rsidR="007D47C3">
        <w:rPr>
          <w:rFonts w:ascii="Times New Roman" w:hAnsi="Times New Roman"/>
          <w:sz w:val="24"/>
          <w:szCs w:val="24"/>
        </w:rPr>
        <w:t>job categories</w:t>
      </w:r>
      <w:r w:rsidR="005C7BF9" w:rsidRPr="00FF2251">
        <w:rPr>
          <w:rFonts w:ascii="Times New Roman" w:hAnsi="Times New Roman"/>
          <w:sz w:val="24"/>
          <w:szCs w:val="24"/>
        </w:rPr>
        <w:t xml:space="preserve"> </w:t>
      </w:r>
      <w:r w:rsidR="003E2639">
        <w:rPr>
          <w:rFonts w:ascii="Times New Roman" w:hAnsi="Times New Roman"/>
          <w:sz w:val="24"/>
          <w:szCs w:val="24"/>
        </w:rPr>
        <w:t>activities clustered in groups</w:t>
      </w:r>
      <w:r w:rsidR="00567591" w:rsidRPr="00FF2251">
        <w:rPr>
          <w:rFonts w:ascii="Times New Roman" w:hAnsi="Times New Roman"/>
          <w:sz w:val="24"/>
          <w:szCs w:val="24"/>
        </w:rPr>
        <w:t xml:space="preserve">.  The first three eigenvalues explained 58.7% of the total variance.  A diagnostic </w:t>
      </w:r>
      <w:r w:rsidR="00567591" w:rsidRPr="00087FF3">
        <w:rPr>
          <w:rFonts w:ascii="Times New Roman" w:hAnsi="Times New Roman"/>
          <w:sz w:val="24"/>
          <w:szCs w:val="24"/>
        </w:rPr>
        <w:t>assessment of the scatterplots indicated three groupings</w:t>
      </w:r>
      <w:r w:rsidR="00F8664D" w:rsidRPr="00087FF3">
        <w:rPr>
          <w:rFonts w:ascii="Times New Roman" w:hAnsi="Times New Roman"/>
          <w:sz w:val="24"/>
          <w:szCs w:val="24"/>
        </w:rPr>
        <w:t xml:space="preserve"> specifically, those who a) burned </w:t>
      </w:r>
      <w:r w:rsidR="00E30EAC" w:rsidRPr="00087FF3">
        <w:rPr>
          <w:rFonts w:ascii="Times New Roman" w:hAnsi="Times New Roman"/>
          <w:sz w:val="24"/>
          <w:szCs w:val="24"/>
        </w:rPr>
        <w:t>e-waste or wires</w:t>
      </w:r>
      <w:r w:rsidR="00F8664D" w:rsidRPr="00087FF3">
        <w:rPr>
          <w:rFonts w:ascii="Times New Roman" w:hAnsi="Times New Roman"/>
          <w:sz w:val="24"/>
          <w:szCs w:val="24"/>
        </w:rPr>
        <w:t>; b) smelted</w:t>
      </w:r>
      <w:r w:rsidR="00567591" w:rsidRPr="00087FF3">
        <w:rPr>
          <w:rFonts w:ascii="Times New Roman" w:hAnsi="Times New Roman"/>
          <w:sz w:val="24"/>
          <w:szCs w:val="24"/>
        </w:rPr>
        <w:t xml:space="preserve"> lead </w:t>
      </w:r>
      <w:r w:rsidR="00E30EAC" w:rsidRPr="00087FF3">
        <w:rPr>
          <w:rFonts w:ascii="Times New Roman" w:hAnsi="Times New Roman"/>
          <w:sz w:val="24"/>
          <w:szCs w:val="24"/>
        </w:rPr>
        <w:t xml:space="preserve">or recycled </w:t>
      </w:r>
      <w:r w:rsidR="00567591" w:rsidRPr="00087FF3">
        <w:rPr>
          <w:rFonts w:ascii="Times New Roman" w:hAnsi="Times New Roman"/>
          <w:sz w:val="24"/>
          <w:szCs w:val="24"/>
        </w:rPr>
        <w:t xml:space="preserve">batteries; and c) all other </w:t>
      </w:r>
      <w:r w:rsidR="005C7BF9" w:rsidRPr="00087FF3">
        <w:rPr>
          <w:rFonts w:ascii="Times New Roman" w:hAnsi="Times New Roman"/>
          <w:sz w:val="24"/>
          <w:szCs w:val="24"/>
        </w:rPr>
        <w:t xml:space="preserve">(n=6) </w:t>
      </w:r>
      <w:r w:rsidR="007D47C3">
        <w:rPr>
          <w:rFonts w:ascii="Times New Roman" w:hAnsi="Times New Roman"/>
          <w:sz w:val="24"/>
          <w:szCs w:val="24"/>
        </w:rPr>
        <w:t>job categories</w:t>
      </w:r>
      <w:r w:rsidR="00567591" w:rsidRPr="00087FF3">
        <w:rPr>
          <w:rFonts w:ascii="Times New Roman" w:hAnsi="Times New Roman"/>
          <w:sz w:val="24"/>
          <w:szCs w:val="24"/>
        </w:rPr>
        <w:t>.</w:t>
      </w:r>
    </w:p>
    <w:p w14:paraId="67CB4E0B" w14:textId="77777777" w:rsidR="00FF2251" w:rsidRPr="00087FF3" w:rsidRDefault="00FF2251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4CB9E236" w14:textId="2DD04DDE" w:rsidR="00077A54" w:rsidRPr="00FF2251" w:rsidRDefault="00077A54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087FF3">
        <w:rPr>
          <w:rFonts w:ascii="Times New Roman" w:hAnsi="Times New Roman"/>
          <w:sz w:val="24"/>
          <w:szCs w:val="24"/>
        </w:rPr>
        <w:t xml:space="preserve">When asked about </w:t>
      </w:r>
      <w:r w:rsidR="005C7BF9" w:rsidRPr="00087FF3">
        <w:rPr>
          <w:rFonts w:ascii="Times New Roman" w:hAnsi="Times New Roman"/>
          <w:sz w:val="24"/>
          <w:szCs w:val="24"/>
        </w:rPr>
        <w:t>the</w:t>
      </w:r>
      <w:r w:rsidRPr="00087FF3">
        <w:rPr>
          <w:rFonts w:ascii="Times New Roman" w:hAnsi="Times New Roman"/>
          <w:sz w:val="24"/>
          <w:szCs w:val="24"/>
        </w:rPr>
        <w:t xml:space="preserve"> main </w:t>
      </w:r>
      <w:r w:rsidR="007D47C3">
        <w:rPr>
          <w:rFonts w:ascii="Times New Roman" w:hAnsi="Times New Roman"/>
          <w:sz w:val="24"/>
          <w:szCs w:val="24"/>
        </w:rPr>
        <w:t>activity</w:t>
      </w:r>
      <w:r w:rsidRPr="00087FF3">
        <w:rPr>
          <w:rFonts w:ascii="Times New Roman" w:hAnsi="Times New Roman"/>
          <w:sz w:val="24"/>
          <w:szCs w:val="24"/>
        </w:rPr>
        <w:t xml:space="preserve"> </w:t>
      </w:r>
      <w:r w:rsidR="005C7BF9" w:rsidRPr="00087FF3">
        <w:rPr>
          <w:rFonts w:ascii="Times New Roman" w:hAnsi="Times New Roman"/>
          <w:sz w:val="24"/>
          <w:szCs w:val="24"/>
        </w:rPr>
        <w:t xml:space="preserve">they performed </w:t>
      </w:r>
      <w:r w:rsidRPr="008C4065">
        <w:rPr>
          <w:rFonts w:ascii="Times New Roman" w:hAnsi="Times New Roman"/>
          <w:sz w:val="24"/>
          <w:szCs w:val="24"/>
        </w:rPr>
        <w:t xml:space="preserve">over the preceding </w:t>
      </w:r>
      <w:r w:rsidR="00C55BC7">
        <w:rPr>
          <w:rFonts w:ascii="Times New Roman" w:hAnsi="Times New Roman"/>
          <w:sz w:val="24"/>
          <w:szCs w:val="24"/>
        </w:rPr>
        <w:t>six</w:t>
      </w:r>
      <w:r w:rsidRPr="008C4065">
        <w:rPr>
          <w:rFonts w:ascii="Times New Roman" w:hAnsi="Times New Roman"/>
          <w:sz w:val="24"/>
          <w:szCs w:val="24"/>
        </w:rPr>
        <w:t xml:space="preserve"> months, the</w:t>
      </w:r>
      <w:r w:rsidRPr="00087FF3">
        <w:rPr>
          <w:rFonts w:ascii="Times New Roman" w:hAnsi="Times New Roman"/>
          <w:sz w:val="24"/>
          <w:szCs w:val="24"/>
        </w:rPr>
        <w:t xml:space="preserve"> participants </w:t>
      </w:r>
      <w:r w:rsidR="005C7BF9" w:rsidRPr="00087FF3">
        <w:rPr>
          <w:rFonts w:ascii="Times New Roman" w:hAnsi="Times New Roman"/>
          <w:sz w:val="24"/>
          <w:szCs w:val="24"/>
        </w:rPr>
        <w:t xml:space="preserve">could be </w:t>
      </w:r>
      <w:r w:rsidRPr="00087FF3">
        <w:rPr>
          <w:rFonts w:ascii="Times New Roman" w:hAnsi="Times New Roman"/>
          <w:sz w:val="24"/>
          <w:szCs w:val="24"/>
        </w:rPr>
        <w:t xml:space="preserve">binned into four </w:t>
      </w:r>
      <w:r w:rsidR="00E30EAC" w:rsidRPr="00087FF3">
        <w:rPr>
          <w:rFonts w:ascii="Times New Roman" w:hAnsi="Times New Roman"/>
          <w:sz w:val="24"/>
          <w:szCs w:val="24"/>
        </w:rPr>
        <w:t>broad</w:t>
      </w:r>
      <w:r w:rsidR="005C7BF9" w:rsidRPr="00087FF3">
        <w:rPr>
          <w:rFonts w:ascii="Times New Roman" w:hAnsi="Times New Roman"/>
          <w:sz w:val="24"/>
          <w:szCs w:val="24"/>
        </w:rPr>
        <w:t xml:space="preserve"> </w:t>
      </w:r>
      <w:r w:rsidR="007D47C3">
        <w:rPr>
          <w:rFonts w:ascii="Times New Roman" w:hAnsi="Times New Roman"/>
          <w:sz w:val="24"/>
          <w:szCs w:val="24"/>
        </w:rPr>
        <w:t xml:space="preserve">e-waste activities </w:t>
      </w:r>
      <w:r w:rsidRPr="00087FF3">
        <w:rPr>
          <w:rFonts w:ascii="Times New Roman" w:hAnsi="Times New Roman"/>
          <w:sz w:val="24"/>
          <w:szCs w:val="24"/>
        </w:rPr>
        <w:t>including those who deal</w:t>
      </w:r>
      <w:r w:rsidR="00E30EAC" w:rsidRPr="00087FF3">
        <w:rPr>
          <w:rFonts w:ascii="Times New Roman" w:hAnsi="Times New Roman"/>
          <w:sz w:val="24"/>
          <w:szCs w:val="24"/>
        </w:rPr>
        <w:t>t e-waste</w:t>
      </w:r>
      <w:r w:rsidRPr="00087FF3">
        <w:rPr>
          <w:rFonts w:ascii="Times New Roman" w:hAnsi="Times New Roman"/>
          <w:sz w:val="24"/>
          <w:szCs w:val="24"/>
        </w:rPr>
        <w:t xml:space="preserve"> </w:t>
      </w:r>
      <w:r w:rsidR="006A162D">
        <w:rPr>
          <w:rFonts w:ascii="Times New Roman" w:hAnsi="Times New Roman"/>
          <w:sz w:val="24"/>
          <w:szCs w:val="24"/>
        </w:rPr>
        <w:t>materials</w:t>
      </w:r>
      <w:r w:rsidRPr="00087FF3">
        <w:rPr>
          <w:rFonts w:ascii="Times New Roman" w:hAnsi="Times New Roman"/>
          <w:sz w:val="24"/>
          <w:szCs w:val="24"/>
        </w:rPr>
        <w:t xml:space="preserve"> (22.4%), sort</w:t>
      </w:r>
      <w:r w:rsidR="00E30EAC" w:rsidRPr="00087FF3">
        <w:rPr>
          <w:rFonts w:ascii="Times New Roman" w:hAnsi="Times New Roman"/>
          <w:sz w:val="24"/>
          <w:szCs w:val="24"/>
        </w:rPr>
        <w:t>ed</w:t>
      </w:r>
      <w:r w:rsidRPr="00087FF3">
        <w:rPr>
          <w:rFonts w:ascii="Times New Roman" w:hAnsi="Times New Roman"/>
          <w:sz w:val="24"/>
          <w:szCs w:val="24"/>
        </w:rPr>
        <w:t xml:space="preserve"> </w:t>
      </w:r>
      <w:r w:rsidR="006A162D">
        <w:rPr>
          <w:rFonts w:ascii="Times New Roman" w:hAnsi="Times New Roman"/>
          <w:sz w:val="24"/>
          <w:szCs w:val="24"/>
        </w:rPr>
        <w:t xml:space="preserve">e-waste </w:t>
      </w:r>
      <w:r w:rsidRPr="00087FF3">
        <w:rPr>
          <w:rFonts w:ascii="Times New Roman" w:hAnsi="Times New Roman"/>
          <w:sz w:val="24"/>
          <w:szCs w:val="24"/>
        </w:rPr>
        <w:t>materials (24.1%), dismantle</w:t>
      </w:r>
      <w:r w:rsidR="00E30EAC" w:rsidRPr="00087FF3">
        <w:rPr>
          <w:rFonts w:ascii="Times New Roman" w:hAnsi="Times New Roman"/>
          <w:sz w:val="24"/>
          <w:szCs w:val="24"/>
        </w:rPr>
        <w:t>d</w:t>
      </w:r>
      <w:r w:rsidRPr="00087FF3">
        <w:rPr>
          <w:rFonts w:ascii="Times New Roman" w:hAnsi="Times New Roman"/>
          <w:sz w:val="24"/>
          <w:szCs w:val="24"/>
        </w:rPr>
        <w:t xml:space="preserve"> </w:t>
      </w:r>
      <w:r w:rsidR="006A162D">
        <w:rPr>
          <w:rFonts w:ascii="Times New Roman" w:hAnsi="Times New Roman"/>
          <w:sz w:val="24"/>
          <w:szCs w:val="24"/>
        </w:rPr>
        <w:t xml:space="preserve">e-waste </w:t>
      </w:r>
      <w:r w:rsidRPr="00087FF3">
        <w:rPr>
          <w:rFonts w:ascii="Times New Roman" w:hAnsi="Times New Roman"/>
          <w:sz w:val="24"/>
          <w:szCs w:val="24"/>
        </w:rPr>
        <w:t>equipment (50%), and burn</w:t>
      </w:r>
      <w:r w:rsidR="00E30EAC" w:rsidRPr="00087FF3">
        <w:rPr>
          <w:rFonts w:ascii="Times New Roman" w:hAnsi="Times New Roman"/>
          <w:sz w:val="24"/>
          <w:szCs w:val="24"/>
        </w:rPr>
        <w:t>ed</w:t>
      </w:r>
      <w:r w:rsidRPr="00087FF3">
        <w:rPr>
          <w:rFonts w:ascii="Times New Roman" w:hAnsi="Times New Roman"/>
          <w:sz w:val="24"/>
          <w:szCs w:val="24"/>
        </w:rPr>
        <w:t xml:space="preserve"> materials (3.4%).</w:t>
      </w:r>
    </w:p>
    <w:p w14:paraId="19404AFF" w14:textId="77777777" w:rsidR="00285460" w:rsidRPr="00FF2251" w:rsidRDefault="00285460" w:rsidP="00FF225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4364D8C" w14:textId="4FC22DC1" w:rsidR="00A52E7F" w:rsidRPr="00FF2251" w:rsidRDefault="00C02FB6" w:rsidP="00FF22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FF2251">
        <w:rPr>
          <w:rFonts w:ascii="Times New Roman" w:hAnsi="Times New Roman"/>
          <w:i/>
          <w:sz w:val="24"/>
          <w:szCs w:val="24"/>
        </w:rPr>
        <w:t xml:space="preserve">3.3 </w:t>
      </w:r>
      <w:r w:rsidR="00CE2395">
        <w:rPr>
          <w:rFonts w:ascii="Times New Roman" w:hAnsi="Times New Roman"/>
          <w:i/>
          <w:sz w:val="24"/>
          <w:szCs w:val="24"/>
        </w:rPr>
        <w:t xml:space="preserve">Elemental </w:t>
      </w:r>
      <w:r w:rsidR="00944E94" w:rsidRPr="00FF2251">
        <w:rPr>
          <w:rFonts w:ascii="Times New Roman" w:hAnsi="Times New Roman"/>
          <w:i/>
          <w:sz w:val="24"/>
          <w:szCs w:val="24"/>
        </w:rPr>
        <w:t>Biomarkers</w:t>
      </w:r>
      <w:r w:rsidR="00D621B9" w:rsidRPr="00FF2251">
        <w:rPr>
          <w:rFonts w:ascii="Times New Roman" w:hAnsi="Times New Roman"/>
          <w:i/>
          <w:sz w:val="24"/>
          <w:szCs w:val="24"/>
        </w:rPr>
        <w:t xml:space="preserve"> </w:t>
      </w:r>
      <w:r w:rsidR="00B9088E" w:rsidRPr="00FF2251">
        <w:rPr>
          <w:rFonts w:ascii="Times New Roman" w:hAnsi="Times New Roman"/>
          <w:i/>
          <w:sz w:val="24"/>
          <w:szCs w:val="24"/>
        </w:rPr>
        <w:t xml:space="preserve"> - Descriptive Summary</w:t>
      </w:r>
    </w:p>
    <w:p w14:paraId="7CD3597D" w14:textId="7A72AC8E" w:rsidR="004D2D4A" w:rsidRDefault="009935A5" w:rsidP="00FF22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ab/>
      </w:r>
      <w:r w:rsidR="007053CE" w:rsidRPr="00353FA5">
        <w:rPr>
          <w:rFonts w:ascii="Times New Roman" w:hAnsi="Times New Roman"/>
          <w:sz w:val="24"/>
          <w:szCs w:val="24"/>
        </w:rPr>
        <w:t xml:space="preserve">For every </w:t>
      </w:r>
      <w:r w:rsidR="000B3F54" w:rsidRPr="00353FA5">
        <w:rPr>
          <w:rFonts w:ascii="Times New Roman" w:hAnsi="Times New Roman"/>
          <w:sz w:val="24"/>
          <w:szCs w:val="24"/>
        </w:rPr>
        <w:t>urine and blood</w:t>
      </w:r>
      <w:r w:rsidR="007053CE" w:rsidRPr="00353FA5">
        <w:rPr>
          <w:rFonts w:ascii="Times New Roman" w:hAnsi="Times New Roman"/>
          <w:sz w:val="24"/>
          <w:szCs w:val="24"/>
        </w:rPr>
        <w:t xml:space="preserve"> sample </w:t>
      </w:r>
      <w:r w:rsidR="000B3F54" w:rsidRPr="00353FA5">
        <w:rPr>
          <w:rFonts w:ascii="Times New Roman" w:hAnsi="Times New Roman"/>
          <w:sz w:val="24"/>
          <w:szCs w:val="24"/>
        </w:rPr>
        <w:t xml:space="preserve">studied, </w:t>
      </w:r>
      <w:r w:rsidR="007053CE" w:rsidRPr="00353FA5">
        <w:rPr>
          <w:rFonts w:ascii="Times New Roman" w:hAnsi="Times New Roman"/>
          <w:sz w:val="24"/>
          <w:szCs w:val="24"/>
        </w:rPr>
        <w:t xml:space="preserve">quantifiable results </w:t>
      </w:r>
      <w:r w:rsidR="00CE2395" w:rsidRPr="00353FA5">
        <w:rPr>
          <w:rFonts w:ascii="Times New Roman" w:hAnsi="Times New Roman"/>
          <w:sz w:val="24"/>
          <w:szCs w:val="24"/>
        </w:rPr>
        <w:t xml:space="preserve">of the target elements </w:t>
      </w:r>
      <w:r w:rsidR="007053CE" w:rsidRPr="00353FA5">
        <w:rPr>
          <w:rFonts w:ascii="Times New Roman" w:hAnsi="Times New Roman"/>
          <w:sz w:val="24"/>
          <w:szCs w:val="24"/>
        </w:rPr>
        <w:t>were obtained</w:t>
      </w:r>
      <w:r w:rsidR="003E2639" w:rsidRPr="00353FA5">
        <w:rPr>
          <w:rFonts w:ascii="Times New Roman" w:hAnsi="Times New Roman"/>
          <w:sz w:val="24"/>
          <w:szCs w:val="24"/>
        </w:rPr>
        <w:t xml:space="preserve"> (Supplemental Table 1)</w:t>
      </w:r>
      <w:r w:rsidR="007053CE" w:rsidRPr="00353FA5">
        <w:rPr>
          <w:rFonts w:ascii="Times New Roman" w:hAnsi="Times New Roman"/>
          <w:sz w:val="24"/>
          <w:szCs w:val="24"/>
        </w:rPr>
        <w:t xml:space="preserve">. </w:t>
      </w:r>
      <w:r w:rsidR="000C6455" w:rsidRPr="00353FA5">
        <w:rPr>
          <w:rFonts w:ascii="Times New Roman" w:hAnsi="Times New Roman"/>
          <w:sz w:val="24"/>
          <w:szCs w:val="24"/>
        </w:rPr>
        <w:t>In general, the urine data was of higher quality than the blood data</w:t>
      </w:r>
      <w:r w:rsidR="00CE2395" w:rsidRPr="00353FA5">
        <w:rPr>
          <w:rFonts w:ascii="Times New Roman" w:hAnsi="Times New Roman"/>
          <w:sz w:val="24"/>
          <w:szCs w:val="24"/>
        </w:rPr>
        <w:t xml:space="preserve">, though both datasets </w:t>
      </w:r>
      <w:r w:rsidR="007D47C3">
        <w:rPr>
          <w:rFonts w:ascii="Times New Roman" w:hAnsi="Times New Roman"/>
          <w:sz w:val="24"/>
          <w:szCs w:val="24"/>
        </w:rPr>
        <w:t>were</w:t>
      </w:r>
      <w:r w:rsidR="00CE2395" w:rsidRPr="00353FA5">
        <w:rPr>
          <w:rFonts w:ascii="Times New Roman" w:hAnsi="Times New Roman"/>
          <w:sz w:val="24"/>
          <w:szCs w:val="24"/>
        </w:rPr>
        <w:t xml:space="preserve"> deemed to be </w:t>
      </w:r>
      <w:r w:rsidR="00535F2E" w:rsidRPr="00353FA5">
        <w:rPr>
          <w:rFonts w:ascii="Times New Roman" w:hAnsi="Times New Roman"/>
          <w:sz w:val="24"/>
          <w:szCs w:val="24"/>
        </w:rPr>
        <w:t>sufficiently high quality for analyses</w:t>
      </w:r>
      <w:r w:rsidR="000C6455" w:rsidRPr="00353FA5">
        <w:rPr>
          <w:rFonts w:ascii="Times New Roman" w:hAnsi="Times New Roman"/>
          <w:sz w:val="24"/>
          <w:szCs w:val="24"/>
        </w:rPr>
        <w:t xml:space="preserve">.  </w:t>
      </w:r>
      <w:r w:rsidR="00AC47DC" w:rsidRPr="00353FA5">
        <w:rPr>
          <w:rFonts w:ascii="Times New Roman" w:hAnsi="Times New Roman"/>
          <w:sz w:val="24"/>
          <w:szCs w:val="24"/>
        </w:rPr>
        <w:t xml:space="preserve">The average recovery of elements from the </w:t>
      </w:r>
      <w:r w:rsidR="007D47C3">
        <w:rPr>
          <w:rFonts w:ascii="Times New Roman" w:hAnsi="Times New Roman"/>
          <w:sz w:val="24"/>
          <w:szCs w:val="24"/>
        </w:rPr>
        <w:t>certified reference materials</w:t>
      </w:r>
      <w:r w:rsidR="00AC47DC" w:rsidRPr="00FF2251">
        <w:rPr>
          <w:rFonts w:ascii="Times New Roman" w:hAnsi="Times New Roman"/>
          <w:sz w:val="24"/>
          <w:szCs w:val="24"/>
        </w:rPr>
        <w:t xml:space="preserve"> was within </w:t>
      </w:r>
      <w:r w:rsidR="003536A9" w:rsidRPr="00FF2251">
        <w:rPr>
          <w:rFonts w:ascii="Times New Roman" w:hAnsi="Times New Roman"/>
          <w:sz w:val="24"/>
          <w:szCs w:val="24"/>
        </w:rPr>
        <w:t>11</w:t>
      </w:r>
      <w:r w:rsidR="00AC47DC" w:rsidRPr="00FF2251">
        <w:rPr>
          <w:rFonts w:ascii="Times New Roman" w:hAnsi="Times New Roman"/>
          <w:sz w:val="24"/>
          <w:szCs w:val="24"/>
        </w:rPr>
        <w:t xml:space="preserve">% of expected value for all elements </w:t>
      </w:r>
      <w:r w:rsidR="003E2639" w:rsidRPr="00FF2251">
        <w:rPr>
          <w:rFonts w:ascii="Times New Roman" w:hAnsi="Times New Roman"/>
          <w:sz w:val="24"/>
          <w:szCs w:val="24"/>
        </w:rPr>
        <w:t xml:space="preserve">(except for blood </w:t>
      </w:r>
      <w:r w:rsidR="007D47C3">
        <w:rPr>
          <w:rFonts w:ascii="Times New Roman" w:hAnsi="Times New Roman"/>
          <w:sz w:val="24"/>
          <w:szCs w:val="24"/>
        </w:rPr>
        <w:t>Mn</w:t>
      </w:r>
      <w:r w:rsidR="003E2639" w:rsidRPr="00FF2251">
        <w:rPr>
          <w:rFonts w:ascii="Times New Roman" w:hAnsi="Times New Roman"/>
          <w:sz w:val="24"/>
          <w:szCs w:val="24"/>
        </w:rPr>
        <w:t>)</w:t>
      </w:r>
      <w:r w:rsidR="00CE301C" w:rsidRPr="00FF2251">
        <w:rPr>
          <w:rFonts w:ascii="Times New Roman" w:hAnsi="Times New Roman"/>
          <w:sz w:val="24"/>
          <w:szCs w:val="24"/>
        </w:rPr>
        <w:t>.</w:t>
      </w:r>
      <w:r w:rsidR="003536A9" w:rsidRPr="00FF2251">
        <w:rPr>
          <w:rFonts w:ascii="Times New Roman" w:hAnsi="Times New Roman"/>
          <w:sz w:val="24"/>
          <w:szCs w:val="24"/>
        </w:rPr>
        <w:t xml:space="preserve">  </w:t>
      </w:r>
      <w:r w:rsidR="004020B5" w:rsidRPr="00FF2251">
        <w:rPr>
          <w:rFonts w:ascii="Times New Roman" w:hAnsi="Times New Roman"/>
          <w:sz w:val="24"/>
          <w:szCs w:val="24"/>
        </w:rPr>
        <w:t>Analytical</w:t>
      </w:r>
      <w:r w:rsidR="003536A9" w:rsidRPr="00FF2251">
        <w:rPr>
          <w:rFonts w:ascii="Times New Roman" w:hAnsi="Times New Roman"/>
          <w:sz w:val="24"/>
          <w:szCs w:val="24"/>
        </w:rPr>
        <w:t xml:space="preserve"> precision was </w:t>
      </w:r>
      <w:r w:rsidR="006B77D5" w:rsidRPr="00FF2251">
        <w:rPr>
          <w:rFonts w:ascii="Times New Roman" w:hAnsi="Times New Roman"/>
          <w:sz w:val="24"/>
          <w:szCs w:val="24"/>
        </w:rPr>
        <w:t xml:space="preserve">under 15% for all elements, with most being </w:t>
      </w:r>
      <w:r w:rsidR="00CE2395">
        <w:rPr>
          <w:rFonts w:ascii="Times New Roman" w:hAnsi="Times New Roman"/>
          <w:sz w:val="24"/>
          <w:szCs w:val="24"/>
        </w:rPr>
        <w:t>less than</w:t>
      </w:r>
      <w:r w:rsidR="006B77D5" w:rsidRPr="00FF2251">
        <w:rPr>
          <w:rFonts w:ascii="Times New Roman" w:hAnsi="Times New Roman"/>
          <w:sz w:val="24"/>
          <w:szCs w:val="24"/>
        </w:rPr>
        <w:t xml:space="preserve"> 5%. </w:t>
      </w:r>
      <w:r w:rsidR="003536A9" w:rsidRPr="00FF2251">
        <w:rPr>
          <w:rFonts w:ascii="Times New Roman" w:hAnsi="Times New Roman"/>
          <w:sz w:val="24"/>
          <w:szCs w:val="24"/>
        </w:rPr>
        <w:t xml:space="preserve"> None of the </w:t>
      </w:r>
      <w:r w:rsidR="008C4065">
        <w:rPr>
          <w:rFonts w:ascii="Times New Roman" w:hAnsi="Times New Roman"/>
          <w:sz w:val="24"/>
          <w:szCs w:val="24"/>
        </w:rPr>
        <w:t>raw elemental data</w:t>
      </w:r>
      <w:r w:rsidR="003536A9" w:rsidRPr="00FF2251">
        <w:rPr>
          <w:rFonts w:ascii="Times New Roman" w:hAnsi="Times New Roman"/>
          <w:sz w:val="24"/>
          <w:szCs w:val="24"/>
        </w:rPr>
        <w:t xml:space="preserve"> were adjusted except for blood </w:t>
      </w:r>
      <w:r w:rsidR="007D47C3">
        <w:rPr>
          <w:rFonts w:ascii="Times New Roman" w:hAnsi="Times New Roman"/>
          <w:sz w:val="24"/>
          <w:szCs w:val="24"/>
        </w:rPr>
        <w:t>Mn</w:t>
      </w:r>
      <w:r w:rsidR="003536A9" w:rsidRPr="00FF2251">
        <w:rPr>
          <w:rFonts w:ascii="Times New Roman" w:hAnsi="Times New Roman"/>
          <w:sz w:val="24"/>
          <w:szCs w:val="24"/>
        </w:rPr>
        <w:t xml:space="preserve"> and blood </w:t>
      </w:r>
      <w:r w:rsidR="007D47C3">
        <w:rPr>
          <w:rFonts w:ascii="Times New Roman" w:hAnsi="Times New Roman"/>
          <w:sz w:val="24"/>
          <w:szCs w:val="24"/>
        </w:rPr>
        <w:t>Pb</w:t>
      </w:r>
      <w:r w:rsidR="00535F2E">
        <w:rPr>
          <w:rFonts w:ascii="Times New Roman" w:hAnsi="Times New Roman"/>
          <w:sz w:val="24"/>
          <w:szCs w:val="24"/>
        </w:rPr>
        <w:t xml:space="preserve">; these </w:t>
      </w:r>
      <w:r w:rsidR="003536A9" w:rsidRPr="00FF2251">
        <w:rPr>
          <w:rFonts w:ascii="Times New Roman" w:hAnsi="Times New Roman"/>
          <w:sz w:val="24"/>
          <w:szCs w:val="24"/>
        </w:rPr>
        <w:t xml:space="preserve">were adjusted by subtracting the mean value of the </w:t>
      </w:r>
      <w:r w:rsidR="004020B5" w:rsidRPr="00FF2251">
        <w:rPr>
          <w:rFonts w:ascii="Times New Roman" w:hAnsi="Times New Roman"/>
          <w:sz w:val="24"/>
          <w:szCs w:val="24"/>
        </w:rPr>
        <w:t>procedural</w:t>
      </w:r>
      <w:r w:rsidR="003536A9" w:rsidRPr="00FF2251">
        <w:rPr>
          <w:rFonts w:ascii="Times New Roman" w:hAnsi="Times New Roman"/>
          <w:sz w:val="24"/>
          <w:szCs w:val="24"/>
        </w:rPr>
        <w:t xml:space="preserve"> blanks</w:t>
      </w:r>
      <w:r w:rsidR="0078025B" w:rsidRPr="00FF2251">
        <w:rPr>
          <w:rFonts w:ascii="Times New Roman" w:hAnsi="Times New Roman"/>
          <w:sz w:val="24"/>
          <w:szCs w:val="24"/>
        </w:rPr>
        <w:t xml:space="preserve"> from each sample</w:t>
      </w:r>
      <w:r w:rsidR="003536A9" w:rsidRPr="00FF2251">
        <w:rPr>
          <w:rFonts w:ascii="Times New Roman" w:hAnsi="Times New Roman"/>
          <w:sz w:val="24"/>
          <w:szCs w:val="24"/>
        </w:rPr>
        <w:t xml:space="preserve">. </w:t>
      </w:r>
      <w:r w:rsidR="006B77D5" w:rsidRPr="00FF2251">
        <w:rPr>
          <w:rFonts w:ascii="Times New Roman" w:hAnsi="Times New Roman"/>
          <w:sz w:val="24"/>
          <w:szCs w:val="24"/>
        </w:rPr>
        <w:t xml:space="preserve"> Bl</w:t>
      </w:r>
      <w:r w:rsidR="004D2D4A" w:rsidRPr="00FF2251">
        <w:rPr>
          <w:rFonts w:ascii="Times New Roman" w:hAnsi="Times New Roman"/>
          <w:sz w:val="24"/>
          <w:szCs w:val="24"/>
        </w:rPr>
        <w:t>ood Mn</w:t>
      </w:r>
      <w:r w:rsidR="00BE5FFB">
        <w:rPr>
          <w:rFonts w:ascii="Times New Roman" w:hAnsi="Times New Roman"/>
          <w:sz w:val="24"/>
          <w:szCs w:val="24"/>
        </w:rPr>
        <w:t>,</w:t>
      </w:r>
      <w:r w:rsidR="00865308" w:rsidRPr="00FF2251">
        <w:rPr>
          <w:rFonts w:ascii="Times New Roman" w:hAnsi="Times New Roman"/>
          <w:sz w:val="24"/>
          <w:szCs w:val="24"/>
        </w:rPr>
        <w:t xml:space="preserve"> Cd, and </w:t>
      </w:r>
      <w:r w:rsidR="004D2D4A" w:rsidRPr="00FF2251">
        <w:rPr>
          <w:rFonts w:ascii="Times New Roman" w:hAnsi="Times New Roman"/>
          <w:sz w:val="24"/>
          <w:szCs w:val="24"/>
        </w:rPr>
        <w:t xml:space="preserve">Pb </w:t>
      </w:r>
      <w:r w:rsidR="006B77D5" w:rsidRPr="00FF2251">
        <w:rPr>
          <w:rFonts w:ascii="Times New Roman" w:hAnsi="Times New Roman"/>
          <w:sz w:val="24"/>
          <w:szCs w:val="24"/>
        </w:rPr>
        <w:t>had 11</w:t>
      </w:r>
      <w:r w:rsidR="00865308" w:rsidRPr="00FF2251">
        <w:rPr>
          <w:rFonts w:ascii="Times New Roman" w:hAnsi="Times New Roman"/>
          <w:sz w:val="24"/>
          <w:szCs w:val="24"/>
        </w:rPr>
        <w:t>, 9</w:t>
      </w:r>
      <w:r w:rsidR="006B77D5" w:rsidRPr="00FF2251">
        <w:rPr>
          <w:rFonts w:ascii="Times New Roman" w:hAnsi="Times New Roman"/>
          <w:sz w:val="24"/>
          <w:szCs w:val="24"/>
        </w:rPr>
        <w:t xml:space="preserve"> and 8 samples, respectively, that fell below the calculated theoretical detection limits, and the values obtained from the instrument were retained for analyses.</w:t>
      </w:r>
      <w:r w:rsidR="00E30EAC" w:rsidRPr="00FF2251">
        <w:rPr>
          <w:rFonts w:ascii="Times New Roman" w:hAnsi="Times New Roman"/>
          <w:sz w:val="24"/>
          <w:szCs w:val="24"/>
        </w:rPr>
        <w:t xml:space="preserve">  Urinary elements were adjusted for specific gravity, which was normally distributed within </w:t>
      </w:r>
      <w:r w:rsidR="00CE2395">
        <w:rPr>
          <w:rFonts w:ascii="Times New Roman" w:hAnsi="Times New Roman"/>
          <w:sz w:val="24"/>
          <w:szCs w:val="24"/>
        </w:rPr>
        <w:t>the study</w:t>
      </w:r>
      <w:r w:rsidR="00E30EAC" w:rsidRPr="00FF2251">
        <w:rPr>
          <w:rFonts w:ascii="Times New Roman" w:hAnsi="Times New Roman"/>
          <w:sz w:val="24"/>
          <w:szCs w:val="24"/>
        </w:rPr>
        <w:t xml:space="preserve"> population with a mean (SD) of 1.016 (0.008), and</w:t>
      </w:r>
      <w:r w:rsidR="005641F8">
        <w:rPr>
          <w:rFonts w:ascii="Times New Roman" w:hAnsi="Times New Roman"/>
          <w:sz w:val="24"/>
          <w:szCs w:val="24"/>
        </w:rPr>
        <w:t xml:space="preserve"> a</w:t>
      </w:r>
      <w:r w:rsidR="00E30EAC" w:rsidRPr="00FF2251">
        <w:rPr>
          <w:rFonts w:ascii="Times New Roman" w:hAnsi="Times New Roman"/>
          <w:sz w:val="24"/>
          <w:szCs w:val="24"/>
        </w:rPr>
        <w:t xml:space="preserve"> range </w:t>
      </w:r>
      <w:r w:rsidR="005641F8">
        <w:rPr>
          <w:rFonts w:ascii="Times New Roman" w:hAnsi="Times New Roman"/>
          <w:sz w:val="24"/>
          <w:szCs w:val="24"/>
        </w:rPr>
        <w:t>between</w:t>
      </w:r>
      <w:r w:rsidR="00E30EAC" w:rsidRPr="00FF2251">
        <w:rPr>
          <w:rFonts w:ascii="Times New Roman" w:hAnsi="Times New Roman"/>
          <w:sz w:val="24"/>
          <w:szCs w:val="24"/>
        </w:rPr>
        <w:t xml:space="preserve"> 1.00 </w:t>
      </w:r>
      <w:r w:rsidR="005641F8">
        <w:rPr>
          <w:rFonts w:ascii="Times New Roman" w:hAnsi="Times New Roman"/>
          <w:sz w:val="24"/>
          <w:szCs w:val="24"/>
        </w:rPr>
        <w:t>and</w:t>
      </w:r>
      <w:r w:rsidR="00E30EAC" w:rsidRPr="00FF2251">
        <w:rPr>
          <w:rFonts w:ascii="Times New Roman" w:hAnsi="Times New Roman"/>
          <w:sz w:val="24"/>
          <w:szCs w:val="24"/>
        </w:rPr>
        <w:t xml:space="preserve"> 1.03.</w:t>
      </w:r>
    </w:p>
    <w:p w14:paraId="7D7DE198" w14:textId="77777777" w:rsidR="00FF2251" w:rsidRPr="00FF2251" w:rsidRDefault="00FF2251" w:rsidP="00FF225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AAE4E6B" w14:textId="7142969C" w:rsidR="00964F2D" w:rsidRPr="00353FA5" w:rsidRDefault="00CE2395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353FA5">
        <w:rPr>
          <w:rFonts w:ascii="Times New Roman" w:hAnsi="Times New Roman"/>
          <w:sz w:val="24"/>
          <w:szCs w:val="24"/>
        </w:rPr>
        <w:t xml:space="preserve">Elemental analyses of the blood samples </w:t>
      </w:r>
      <w:r w:rsidR="00964F2D" w:rsidRPr="00353FA5">
        <w:rPr>
          <w:rFonts w:ascii="Times New Roman" w:hAnsi="Times New Roman"/>
          <w:sz w:val="24"/>
          <w:szCs w:val="24"/>
        </w:rPr>
        <w:t>are presented</w:t>
      </w:r>
      <w:r w:rsidR="0055150B" w:rsidRPr="00353FA5">
        <w:rPr>
          <w:rFonts w:ascii="Times New Roman" w:hAnsi="Times New Roman"/>
          <w:sz w:val="24"/>
          <w:szCs w:val="24"/>
        </w:rPr>
        <w:t xml:space="preserve"> </w:t>
      </w:r>
      <w:r w:rsidR="00BE5FFB" w:rsidRPr="00353FA5">
        <w:rPr>
          <w:rFonts w:ascii="Times New Roman" w:hAnsi="Times New Roman"/>
          <w:sz w:val="24"/>
          <w:szCs w:val="24"/>
        </w:rPr>
        <w:t>for the male e-waste workers (Table 3</w:t>
      </w:r>
      <w:r w:rsidR="00BA1B07" w:rsidRPr="00353FA5">
        <w:rPr>
          <w:rFonts w:ascii="Times New Roman" w:hAnsi="Times New Roman"/>
          <w:sz w:val="24"/>
          <w:szCs w:val="24"/>
        </w:rPr>
        <w:t>)</w:t>
      </w:r>
      <w:r w:rsidR="00BE5FFB" w:rsidRPr="00353FA5">
        <w:rPr>
          <w:rFonts w:ascii="Times New Roman" w:hAnsi="Times New Roman"/>
          <w:sz w:val="24"/>
          <w:szCs w:val="24"/>
        </w:rPr>
        <w:t xml:space="preserve"> as well as the female service workers (Supplemental Table 2)</w:t>
      </w:r>
      <w:r w:rsidR="00964F2D" w:rsidRPr="00353FA5">
        <w:rPr>
          <w:rFonts w:ascii="Times New Roman" w:hAnsi="Times New Roman"/>
          <w:sz w:val="24"/>
          <w:szCs w:val="24"/>
        </w:rPr>
        <w:t>. In the absence of a suitable reference population from Ghana (or Africa), the values</w:t>
      </w:r>
      <w:r w:rsidR="00BE5FFB" w:rsidRPr="00353FA5">
        <w:rPr>
          <w:rFonts w:ascii="Times New Roman" w:hAnsi="Times New Roman"/>
          <w:sz w:val="24"/>
          <w:szCs w:val="24"/>
        </w:rPr>
        <w:t xml:space="preserve"> from the male e-waste workers</w:t>
      </w:r>
      <w:r w:rsidR="00964F2D" w:rsidRPr="00353FA5">
        <w:rPr>
          <w:rFonts w:ascii="Times New Roman" w:hAnsi="Times New Roman"/>
          <w:sz w:val="24"/>
          <w:szCs w:val="24"/>
        </w:rPr>
        <w:t xml:space="preserve"> were compared to numbers </w:t>
      </w:r>
      <w:r w:rsidR="00027BF9" w:rsidRPr="00353FA5">
        <w:rPr>
          <w:rFonts w:ascii="Times New Roman" w:hAnsi="Times New Roman"/>
          <w:sz w:val="24"/>
          <w:szCs w:val="24"/>
        </w:rPr>
        <w:t>proposed</w:t>
      </w:r>
      <w:r w:rsidR="00964F2D" w:rsidRPr="00353FA5">
        <w:rPr>
          <w:rFonts w:ascii="Times New Roman" w:hAnsi="Times New Roman"/>
          <w:sz w:val="24"/>
          <w:szCs w:val="24"/>
        </w:rPr>
        <w:t xml:space="preserve"> by Iyengar </w:t>
      </w:r>
      <w:r w:rsidR="007B0FC8">
        <w:rPr>
          <w:rFonts w:ascii="Times New Roman" w:hAnsi="Times New Roman"/>
          <w:sz w:val="24"/>
          <w:szCs w:val="24"/>
        </w:rPr>
        <w:t xml:space="preserve">and Woittiez </w:t>
      </w:r>
      <w:r w:rsidR="00964F2D" w:rsidRPr="00353FA5">
        <w:rPr>
          <w:rFonts w:ascii="Times New Roman" w:hAnsi="Times New Roman"/>
          <w:sz w:val="24"/>
          <w:szCs w:val="24"/>
        </w:rPr>
        <w:t xml:space="preserve">(1988) as part of </w:t>
      </w:r>
      <w:r w:rsidR="00027BF9" w:rsidRPr="00353FA5">
        <w:rPr>
          <w:rFonts w:ascii="Times New Roman" w:hAnsi="Times New Roman"/>
          <w:sz w:val="24"/>
          <w:szCs w:val="24"/>
        </w:rPr>
        <w:t>their</w:t>
      </w:r>
      <w:r w:rsidR="00964F2D" w:rsidRPr="00353FA5">
        <w:rPr>
          <w:rFonts w:ascii="Times New Roman" w:hAnsi="Times New Roman"/>
          <w:sz w:val="24"/>
          <w:szCs w:val="24"/>
        </w:rPr>
        <w:t xml:space="preserve"> effort to establish “normal values” for trace elements in biological specimens.   </w:t>
      </w:r>
      <w:r w:rsidR="00027BF9" w:rsidRPr="00353FA5">
        <w:rPr>
          <w:rFonts w:ascii="Times New Roman" w:hAnsi="Times New Roman"/>
          <w:sz w:val="24"/>
          <w:szCs w:val="24"/>
        </w:rPr>
        <w:t xml:space="preserve">In general, the blood </w:t>
      </w:r>
      <w:r w:rsidRPr="00353FA5">
        <w:rPr>
          <w:rFonts w:ascii="Times New Roman" w:hAnsi="Times New Roman"/>
          <w:sz w:val="24"/>
          <w:szCs w:val="24"/>
        </w:rPr>
        <w:t>elemental</w:t>
      </w:r>
      <w:r w:rsidR="00027BF9" w:rsidRPr="00353FA5">
        <w:rPr>
          <w:rFonts w:ascii="Times New Roman" w:hAnsi="Times New Roman"/>
          <w:sz w:val="24"/>
          <w:szCs w:val="24"/>
        </w:rPr>
        <w:t xml:space="preserve"> levels reported here are within the reference range proposed by </w:t>
      </w:r>
      <w:r w:rsidR="007B0FC8" w:rsidRPr="00353FA5">
        <w:rPr>
          <w:rFonts w:ascii="Times New Roman" w:hAnsi="Times New Roman"/>
          <w:sz w:val="24"/>
          <w:szCs w:val="24"/>
        </w:rPr>
        <w:t xml:space="preserve">Iyengar </w:t>
      </w:r>
      <w:r w:rsidR="007B0FC8">
        <w:rPr>
          <w:rFonts w:ascii="Times New Roman" w:hAnsi="Times New Roman"/>
          <w:sz w:val="24"/>
          <w:szCs w:val="24"/>
        </w:rPr>
        <w:t xml:space="preserve">and Woittiez </w:t>
      </w:r>
      <w:r w:rsidR="007B0FC8" w:rsidRPr="00353FA5">
        <w:rPr>
          <w:rFonts w:ascii="Times New Roman" w:hAnsi="Times New Roman"/>
          <w:sz w:val="24"/>
          <w:szCs w:val="24"/>
        </w:rPr>
        <w:t>(1988)</w:t>
      </w:r>
      <w:r w:rsidR="00027BF9" w:rsidRPr="00353FA5">
        <w:rPr>
          <w:rFonts w:ascii="Times New Roman" w:hAnsi="Times New Roman"/>
          <w:sz w:val="24"/>
          <w:szCs w:val="24"/>
        </w:rPr>
        <w:t xml:space="preserve">, though in </w:t>
      </w:r>
      <w:r w:rsidRPr="00353FA5">
        <w:rPr>
          <w:rFonts w:ascii="Times New Roman" w:hAnsi="Times New Roman"/>
          <w:sz w:val="24"/>
          <w:szCs w:val="24"/>
        </w:rPr>
        <w:t>the Discussion section of this paper</w:t>
      </w:r>
      <w:r w:rsidR="00027BF9" w:rsidRPr="00353FA5">
        <w:rPr>
          <w:rFonts w:ascii="Times New Roman" w:hAnsi="Times New Roman"/>
          <w:sz w:val="24"/>
          <w:szCs w:val="24"/>
        </w:rPr>
        <w:t xml:space="preserve"> we expand the scope of this comparison.</w:t>
      </w:r>
    </w:p>
    <w:p w14:paraId="69C37B3B" w14:textId="77777777" w:rsidR="00FF2251" w:rsidRPr="00353FA5" w:rsidRDefault="00FF2251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3CF0C2D8" w14:textId="63FCD948" w:rsidR="000C3386" w:rsidRPr="00353FA5" w:rsidRDefault="008C4065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353FA5">
        <w:rPr>
          <w:rFonts w:ascii="Times New Roman" w:hAnsi="Times New Roman"/>
          <w:sz w:val="24"/>
          <w:szCs w:val="24"/>
        </w:rPr>
        <w:t>For urine samples, e</w:t>
      </w:r>
      <w:r w:rsidR="00BE5FFB" w:rsidRPr="00353FA5">
        <w:rPr>
          <w:rFonts w:ascii="Times New Roman" w:hAnsi="Times New Roman"/>
          <w:sz w:val="24"/>
          <w:szCs w:val="24"/>
        </w:rPr>
        <w:t xml:space="preserve">lemental analyses are presented for the male e-waste workers (Table 3) as well as the female service workers (Supplemental Table 2).  </w:t>
      </w:r>
      <w:r w:rsidR="001363C0" w:rsidRPr="00353FA5">
        <w:rPr>
          <w:rFonts w:ascii="Times New Roman" w:hAnsi="Times New Roman"/>
          <w:sz w:val="24"/>
          <w:szCs w:val="24"/>
        </w:rPr>
        <w:t>U</w:t>
      </w:r>
      <w:r w:rsidR="00222CFD" w:rsidRPr="00353FA5">
        <w:rPr>
          <w:rFonts w:ascii="Times New Roman" w:hAnsi="Times New Roman"/>
          <w:sz w:val="24"/>
          <w:szCs w:val="24"/>
        </w:rPr>
        <w:t xml:space="preserve">rinary data were compared to </w:t>
      </w:r>
      <w:r w:rsidR="001363C0" w:rsidRPr="00353FA5">
        <w:rPr>
          <w:rFonts w:ascii="Times New Roman" w:hAnsi="Times New Roman"/>
          <w:sz w:val="24"/>
          <w:szCs w:val="24"/>
        </w:rPr>
        <w:t xml:space="preserve">the </w:t>
      </w:r>
      <w:r w:rsidR="00222CFD" w:rsidRPr="00353FA5">
        <w:rPr>
          <w:rFonts w:ascii="Times New Roman" w:hAnsi="Times New Roman"/>
          <w:sz w:val="24"/>
          <w:szCs w:val="24"/>
        </w:rPr>
        <w:t>study by Asante et al. (</w:t>
      </w:r>
      <w:r w:rsidR="00085E9C" w:rsidRPr="00353FA5">
        <w:rPr>
          <w:rFonts w:ascii="Times New Roman" w:hAnsi="Times New Roman"/>
          <w:sz w:val="24"/>
          <w:szCs w:val="24"/>
        </w:rPr>
        <w:t>2012</w:t>
      </w:r>
      <w:r w:rsidR="00222CFD" w:rsidRPr="00353FA5">
        <w:rPr>
          <w:rFonts w:ascii="Times New Roman" w:hAnsi="Times New Roman"/>
          <w:sz w:val="24"/>
          <w:szCs w:val="24"/>
        </w:rPr>
        <w:t xml:space="preserve">) </w:t>
      </w:r>
      <w:r w:rsidR="007D47C3">
        <w:rPr>
          <w:rFonts w:ascii="Times New Roman" w:hAnsi="Times New Roman"/>
          <w:sz w:val="24"/>
          <w:szCs w:val="24"/>
        </w:rPr>
        <w:t>that</w:t>
      </w:r>
      <w:r w:rsidR="005C7BF9" w:rsidRPr="00353FA5">
        <w:rPr>
          <w:rFonts w:ascii="Times New Roman" w:hAnsi="Times New Roman"/>
          <w:sz w:val="24"/>
          <w:szCs w:val="24"/>
        </w:rPr>
        <w:t xml:space="preserve"> previously</w:t>
      </w:r>
      <w:r w:rsidR="00222CFD" w:rsidRPr="00CE2395">
        <w:rPr>
          <w:rFonts w:ascii="Times New Roman" w:hAnsi="Times New Roman"/>
          <w:sz w:val="24"/>
          <w:szCs w:val="24"/>
        </w:rPr>
        <w:t xml:space="preserve"> measured several </w:t>
      </w:r>
      <w:r w:rsidR="001363C0" w:rsidRPr="00CE2395">
        <w:rPr>
          <w:rFonts w:ascii="Times New Roman" w:hAnsi="Times New Roman"/>
          <w:sz w:val="24"/>
          <w:szCs w:val="24"/>
        </w:rPr>
        <w:t xml:space="preserve">urinary </w:t>
      </w:r>
      <w:r w:rsidR="00222CFD" w:rsidRPr="00CE2395">
        <w:rPr>
          <w:rFonts w:ascii="Times New Roman" w:hAnsi="Times New Roman"/>
          <w:sz w:val="24"/>
          <w:szCs w:val="24"/>
        </w:rPr>
        <w:t xml:space="preserve">elements </w:t>
      </w:r>
      <w:r w:rsidR="00946E27" w:rsidRPr="00CE2395">
        <w:rPr>
          <w:rFonts w:ascii="Times New Roman" w:hAnsi="Times New Roman"/>
          <w:sz w:val="24"/>
          <w:szCs w:val="24"/>
        </w:rPr>
        <w:t>in</w:t>
      </w:r>
      <w:r w:rsidR="00222CFD" w:rsidRPr="00CE2395">
        <w:rPr>
          <w:rFonts w:ascii="Times New Roman" w:hAnsi="Times New Roman"/>
          <w:sz w:val="24"/>
          <w:szCs w:val="24"/>
        </w:rPr>
        <w:t xml:space="preserve"> 20 </w:t>
      </w:r>
      <w:r w:rsidR="00946E27" w:rsidRPr="00CE2395">
        <w:rPr>
          <w:rFonts w:ascii="Times New Roman" w:hAnsi="Times New Roman"/>
          <w:sz w:val="24"/>
          <w:szCs w:val="24"/>
        </w:rPr>
        <w:t xml:space="preserve">male </w:t>
      </w:r>
      <w:r w:rsidR="00CE2395" w:rsidRPr="00CE2395">
        <w:rPr>
          <w:rFonts w:ascii="Times New Roman" w:hAnsi="Times New Roman"/>
          <w:sz w:val="24"/>
          <w:szCs w:val="24"/>
        </w:rPr>
        <w:t xml:space="preserve">Agbogbloshie </w:t>
      </w:r>
      <w:r w:rsidR="00222CFD" w:rsidRPr="00CE2395">
        <w:rPr>
          <w:rFonts w:ascii="Times New Roman" w:hAnsi="Times New Roman"/>
          <w:sz w:val="24"/>
          <w:szCs w:val="24"/>
        </w:rPr>
        <w:t>e-waste workers</w:t>
      </w:r>
      <w:r w:rsidR="00085E9C" w:rsidRPr="00CE2395">
        <w:rPr>
          <w:rFonts w:ascii="Times New Roman" w:hAnsi="Times New Roman"/>
          <w:sz w:val="24"/>
          <w:szCs w:val="24"/>
        </w:rPr>
        <w:t xml:space="preserve"> sampled in August 2008</w:t>
      </w:r>
      <w:r w:rsidR="00222CFD" w:rsidRPr="00CE2395">
        <w:rPr>
          <w:rFonts w:ascii="Times New Roman" w:hAnsi="Times New Roman"/>
          <w:sz w:val="24"/>
          <w:szCs w:val="24"/>
        </w:rPr>
        <w:t>.</w:t>
      </w:r>
      <w:r w:rsidR="00ED4372" w:rsidRPr="00CE2395">
        <w:rPr>
          <w:rFonts w:ascii="Times New Roman" w:hAnsi="Times New Roman"/>
          <w:sz w:val="24"/>
          <w:szCs w:val="24"/>
        </w:rPr>
        <w:t xml:space="preserve">  </w:t>
      </w:r>
      <w:r w:rsidR="00085E9C" w:rsidRPr="00CE2395">
        <w:rPr>
          <w:rFonts w:ascii="Times New Roman" w:hAnsi="Times New Roman"/>
          <w:sz w:val="24"/>
          <w:szCs w:val="24"/>
        </w:rPr>
        <w:t xml:space="preserve">There </w:t>
      </w:r>
      <w:r w:rsidR="00085E9C" w:rsidRPr="00353FA5">
        <w:rPr>
          <w:rFonts w:ascii="Times New Roman" w:hAnsi="Times New Roman"/>
          <w:sz w:val="24"/>
          <w:szCs w:val="24"/>
        </w:rPr>
        <w:t xml:space="preserve">were </w:t>
      </w:r>
      <w:r w:rsidR="000C3386" w:rsidRPr="00353FA5">
        <w:rPr>
          <w:rFonts w:ascii="Times New Roman" w:hAnsi="Times New Roman"/>
          <w:sz w:val="24"/>
          <w:szCs w:val="24"/>
        </w:rPr>
        <w:t>7</w:t>
      </w:r>
      <w:r w:rsidR="00085E9C" w:rsidRPr="00353FA5">
        <w:rPr>
          <w:rFonts w:ascii="Times New Roman" w:hAnsi="Times New Roman"/>
          <w:sz w:val="24"/>
          <w:szCs w:val="24"/>
        </w:rPr>
        <w:t xml:space="preserve"> urinary elements common between our studies</w:t>
      </w:r>
      <w:r w:rsidR="000C3386" w:rsidRPr="00353FA5">
        <w:rPr>
          <w:rFonts w:ascii="Times New Roman" w:hAnsi="Times New Roman"/>
          <w:sz w:val="24"/>
          <w:szCs w:val="24"/>
        </w:rPr>
        <w:t xml:space="preserve">, and of these the mean values reported by Asante et al. </w:t>
      </w:r>
      <w:r w:rsidR="00CE2395" w:rsidRPr="00353FA5">
        <w:rPr>
          <w:rFonts w:ascii="Times New Roman" w:hAnsi="Times New Roman"/>
          <w:sz w:val="24"/>
          <w:szCs w:val="24"/>
        </w:rPr>
        <w:t xml:space="preserve">(2012) </w:t>
      </w:r>
      <w:r w:rsidR="000C3386" w:rsidRPr="00353FA5">
        <w:rPr>
          <w:rFonts w:ascii="Times New Roman" w:hAnsi="Times New Roman"/>
          <w:sz w:val="24"/>
          <w:szCs w:val="24"/>
        </w:rPr>
        <w:t xml:space="preserve">for As, </w:t>
      </w:r>
      <w:r w:rsidRPr="00353FA5">
        <w:rPr>
          <w:rFonts w:ascii="Times New Roman" w:hAnsi="Times New Roman"/>
          <w:sz w:val="24"/>
          <w:szCs w:val="24"/>
        </w:rPr>
        <w:t>Co, and Hg</w:t>
      </w:r>
      <w:r w:rsidR="00BE5FFB" w:rsidRPr="00353FA5">
        <w:rPr>
          <w:rFonts w:ascii="Times New Roman" w:hAnsi="Times New Roman"/>
          <w:sz w:val="24"/>
          <w:szCs w:val="24"/>
        </w:rPr>
        <w:t xml:space="preserve"> w</w:t>
      </w:r>
      <w:r w:rsidR="000C3386" w:rsidRPr="00353FA5">
        <w:rPr>
          <w:rFonts w:ascii="Times New Roman" w:hAnsi="Times New Roman"/>
          <w:sz w:val="24"/>
          <w:szCs w:val="24"/>
        </w:rPr>
        <w:t>ere within the interquartile range we report here.  For the other elements (Cr</w:t>
      </w:r>
      <w:r w:rsidR="000C3386" w:rsidRPr="00FF2251">
        <w:rPr>
          <w:rFonts w:ascii="Times New Roman" w:hAnsi="Times New Roman"/>
          <w:sz w:val="24"/>
          <w:szCs w:val="24"/>
        </w:rPr>
        <w:t xml:space="preserve">, </w:t>
      </w:r>
      <w:r w:rsidR="00BE5FFB">
        <w:rPr>
          <w:rFonts w:ascii="Times New Roman" w:hAnsi="Times New Roman"/>
          <w:sz w:val="24"/>
          <w:szCs w:val="24"/>
        </w:rPr>
        <w:t xml:space="preserve">Pb, </w:t>
      </w:r>
      <w:r>
        <w:rPr>
          <w:rFonts w:ascii="Times New Roman" w:hAnsi="Times New Roman"/>
          <w:sz w:val="24"/>
          <w:szCs w:val="24"/>
        </w:rPr>
        <w:t>Cu, Zn</w:t>
      </w:r>
      <w:r w:rsidR="000C3386" w:rsidRPr="00FF2251">
        <w:rPr>
          <w:rFonts w:ascii="Times New Roman" w:hAnsi="Times New Roman"/>
          <w:sz w:val="24"/>
          <w:szCs w:val="24"/>
        </w:rPr>
        <w:t xml:space="preserve">), </w:t>
      </w:r>
      <w:r w:rsidR="00BE5FFB">
        <w:rPr>
          <w:rFonts w:ascii="Times New Roman" w:hAnsi="Times New Roman"/>
          <w:sz w:val="24"/>
          <w:szCs w:val="24"/>
        </w:rPr>
        <w:t>our</w:t>
      </w:r>
      <w:r w:rsidR="000C3386" w:rsidRPr="00FF2251">
        <w:rPr>
          <w:rFonts w:ascii="Times New Roman" w:hAnsi="Times New Roman"/>
          <w:sz w:val="24"/>
          <w:szCs w:val="24"/>
        </w:rPr>
        <w:t xml:space="preserve"> values </w:t>
      </w:r>
      <w:r w:rsidR="00BE5FFB">
        <w:rPr>
          <w:rFonts w:ascii="Times New Roman" w:hAnsi="Times New Roman"/>
          <w:sz w:val="24"/>
          <w:szCs w:val="24"/>
        </w:rPr>
        <w:t xml:space="preserve">differ </w:t>
      </w:r>
      <w:r w:rsidR="007D47C3">
        <w:rPr>
          <w:rFonts w:ascii="Times New Roman" w:hAnsi="Times New Roman"/>
          <w:sz w:val="24"/>
          <w:szCs w:val="24"/>
        </w:rPr>
        <w:t>from</w:t>
      </w:r>
      <w:r w:rsidR="00BE5FFB">
        <w:rPr>
          <w:rFonts w:ascii="Times New Roman" w:hAnsi="Times New Roman"/>
          <w:sz w:val="24"/>
          <w:szCs w:val="24"/>
        </w:rPr>
        <w:t xml:space="preserve"> those reported b</w:t>
      </w:r>
      <w:r w:rsidR="000C3386" w:rsidRPr="00FF2251">
        <w:rPr>
          <w:rFonts w:ascii="Times New Roman" w:hAnsi="Times New Roman"/>
          <w:sz w:val="24"/>
          <w:szCs w:val="24"/>
        </w:rPr>
        <w:t xml:space="preserve">y Asante et al. </w:t>
      </w:r>
      <w:r w:rsidR="00CE2395">
        <w:rPr>
          <w:rFonts w:ascii="Times New Roman" w:hAnsi="Times New Roman"/>
          <w:sz w:val="24"/>
          <w:szCs w:val="24"/>
        </w:rPr>
        <w:t>(2012)</w:t>
      </w:r>
      <w:r w:rsidR="000C3386" w:rsidRPr="00FF2251">
        <w:rPr>
          <w:rFonts w:ascii="Times New Roman" w:hAnsi="Times New Roman"/>
          <w:sz w:val="24"/>
          <w:szCs w:val="24"/>
        </w:rPr>
        <w:t xml:space="preserve">. Notably, </w:t>
      </w:r>
      <w:r w:rsidR="00085E9C" w:rsidRPr="00FF2251">
        <w:rPr>
          <w:rFonts w:ascii="Times New Roman" w:hAnsi="Times New Roman"/>
          <w:sz w:val="24"/>
          <w:szCs w:val="24"/>
        </w:rPr>
        <w:t xml:space="preserve">for urinary </w:t>
      </w:r>
      <w:r w:rsidR="00BE5FFB">
        <w:rPr>
          <w:rFonts w:ascii="Times New Roman" w:hAnsi="Times New Roman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 xml:space="preserve"> and Cu</w:t>
      </w:r>
      <w:r w:rsidR="00085E9C" w:rsidRPr="00FF2251">
        <w:rPr>
          <w:rFonts w:ascii="Times New Roman" w:hAnsi="Times New Roman"/>
          <w:sz w:val="24"/>
          <w:szCs w:val="24"/>
        </w:rPr>
        <w:t>, the mean</w:t>
      </w:r>
      <w:r w:rsidR="00ED4372" w:rsidRPr="00FF2251">
        <w:rPr>
          <w:rFonts w:ascii="Times New Roman" w:hAnsi="Times New Roman"/>
          <w:sz w:val="24"/>
          <w:szCs w:val="24"/>
        </w:rPr>
        <w:t xml:space="preserve"> level </w:t>
      </w:r>
      <w:r w:rsidR="00085E9C" w:rsidRPr="00FF2251">
        <w:rPr>
          <w:rFonts w:ascii="Times New Roman" w:hAnsi="Times New Roman"/>
          <w:sz w:val="24"/>
          <w:szCs w:val="24"/>
        </w:rPr>
        <w:t xml:space="preserve">reported by Asante </w:t>
      </w:r>
      <w:r w:rsidR="000C3386" w:rsidRPr="00FF2251">
        <w:rPr>
          <w:rFonts w:ascii="Times New Roman" w:hAnsi="Times New Roman"/>
          <w:sz w:val="24"/>
          <w:szCs w:val="24"/>
        </w:rPr>
        <w:t>et al.</w:t>
      </w:r>
      <w:r w:rsidR="00ED4372" w:rsidRPr="00FF2251">
        <w:rPr>
          <w:rFonts w:ascii="Times New Roman" w:hAnsi="Times New Roman"/>
          <w:sz w:val="24"/>
          <w:szCs w:val="24"/>
        </w:rPr>
        <w:t xml:space="preserve"> </w:t>
      </w:r>
      <w:r w:rsidR="00085E9C" w:rsidRPr="00FF2251">
        <w:rPr>
          <w:rFonts w:ascii="Times New Roman" w:hAnsi="Times New Roman"/>
          <w:sz w:val="24"/>
          <w:szCs w:val="24"/>
        </w:rPr>
        <w:t>is</w:t>
      </w:r>
      <w:r w:rsidR="00ED4372" w:rsidRPr="00FF2251">
        <w:rPr>
          <w:rFonts w:ascii="Times New Roman" w:hAnsi="Times New Roman"/>
          <w:sz w:val="24"/>
          <w:szCs w:val="24"/>
        </w:rPr>
        <w:t xml:space="preserve"> </w:t>
      </w:r>
      <w:r w:rsidR="009C4C61">
        <w:rPr>
          <w:rFonts w:ascii="Times New Roman" w:hAnsi="Times New Roman"/>
          <w:sz w:val="24"/>
          <w:szCs w:val="24"/>
        </w:rPr>
        <w:t>10</w:t>
      </w:r>
      <w:r w:rsidR="00ED4372" w:rsidRPr="00FF2251">
        <w:rPr>
          <w:rFonts w:ascii="Times New Roman" w:hAnsi="Times New Roman"/>
          <w:sz w:val="24"/>
          <w:szCs w:val="24"/>
        </w:rPr>
        <w:t>.5</w:t>
      </w:r>
      <w:r w:rsidR="009C4C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and 7-</w:t>
      </w:r>
      <w:r w:rsidR="00386703">
        <w:rPr>
          <w:rFonts w:ascii="Times New Roman" w:hAnsi="Times New Roman"/>
          <w:sz w:val="24"/>
          <w:szCs w:val="24"/>
        </w:rPr>
        <w:t>times</w:t>
      </w:r>
      <w:r w:rsidR="00ED4372" w:rsidRPr="00FF2251">
        <w:rPr>
          <w:rFonts w:ascii="Times New Roman" w:hAnsi="Times New Roman"/>
          <w:sz w:val="24"/>
          <w:szCs w:val="24"/>
        </w:rPr>
        <w:t xml:space="preserve"> higher</w:t>
      </w:r>
      <w:r>
        <w:rPr>
          <w:rFonts w:ascii="Times New Roman" w:hAnsi="Times New Roman"/>
          <w:sz w:val="24"/>
          <w:szCs w:val="24"/>
        </w:rPr>
        <w:t>, respectively,</w:t>
      </w:r>
      <w:r w:rsidR="00ED4372" w:rsidRPr="00FF2251">
        <w:rPr>
          <w:rFonts w:ascii="Times New Roman" w:hAnsi="Times New Roman"/>
          <w:sz w:val="24"/>
          <w:szCs w:val="24"/>
        </w:rPr>
        <w:t xml:space="preserve"> </w:t>
      </w:r>
      <w:r w:rsidR="00085E9C" w:rsidRPr="00FF2251">
        <w:rPr>
          <w:rFonts w:ascii="Times New Roman" w:hAnsi="Times New Roman"/>
          <w:sz w:val="24"/>
          <w:szCs w:val="24"/>
        </w:rPr>
        <w:t xml:space="preserve">than what we report here.  </w:t>
      </w:r>
      <w:r w:rsidR="000C3386" w:rsidRPr="00FF2251">
        <w:rPr>
          <w:rFonts w:ascii="Times New Roman" w:hAnsi="Times New Roman"/>
          <w:sz w:val="24"/>
          <w:szCs w:val="24"/>
        </w:rPr>
        <w:t>To be consistent with our approach for the blood data, we also compare</w:t>
      </w:r>
      <w:r w:rsidR="007D47C3">
        <w:rPr>
          <w:rFonts w:ascii="Times New Roman" w:hAnsi="Times New Roman"/>
          <w:sz w:val="24"/>
          <w:szCs w:val="24"/>
        </w:rPr>
        <w:t>d</w:t>
      </w:r>
      <w:r w:rsidR="000C3386" w:rsidRPr="00FF2251">
        <w:rPr>
          <w:rFonts w:ascii="Times New Roman" w:hAnsi="Times New Roman"/>
          <w:sz w:val="24"/>
          <w:szCs w:val="24"/>
        </w:rPr>
        <w:t xml:space="preserve"> the urinary </w:t>
      </w:r>
      <w:r w:rsidR="00CE2395">
        <w:rPr>
          <w:rFonts w:ascii="Times New Roman" w:hAnsi="Times New Roman"/>
          <w:sz w:val="24"/>
          <w:szCs w:val="24"/>
        </w:rPr>
        <w:t>elements</w:t>
      </w:r>
      <w:r w:rsidR="000C3386" w:rsidRPr="00FF2251">
        <w:rPr>
          <w:rFonts w:ascii="Times New Roman" w:hAnsi="Times New Roman"/>
          <w:sz w:val="24"/>
          <w:szCs w:val="24"/>
        </w:rPr>
        <w:t xml:space="preserve"> with the reference ranges provided by Iyegar et al. (1988).  In doing so, the median </w:t>
      </w:r>
      <w:r>
        <w:rPr>
          <w:rFonts w:ascii="Times New Roman" w:hAnsi="Times New Roman"/>
          <w:sz w:val="24"/>
          <w:szCs w:val="24"/>
        </w:rPr>
        <w:t xml:space="preserve">urinary element values from </w:t>
      </w:r>
      <w:r w:rsidR="000C3386" w:rsidRPr="00FF2251">
        <w:rPr>
          <w:rFonts w:ascii="Times New Roman" w:hAnsi="Times New Roman"/>
          <w:sz w:val="24"/>
          <w:szCs w:val="24"/>
        </w:rPr>
        <w:t xml:space="preserve">our study are approximately </w:t>
      </w:r>
      <w:r w:rsidR="000C3386" w:rsidRPr="00353FA5">
        <w:rPr>
          <w:rFonts w:ascii="Times New Roman" w:hAnsi="Times New Roman"/>
          <w:sz w:val="24"/>
          <w:szCs w:val="24"/>
        </w:rPr>
        <w:t xml:space="preserve">two-fold (or greater) higher than the median reported by </w:t>
      </w:r>
      <w:r w:rsidR="007B0FC8" w:rsidRPr="00353FA5">
        <w:rPr>
          <w:rFonts w:ascii="Times New Roman" w:hAnsi="Times New Roman"/>
          <w:sz w:val="24"/>
          <w:szCs w:val="24"/>
        </w:rPr>
        <w:t xml:space="preserve">Iyengar </w:t>
      </w:r>
      <w:r w:rsidR="007B0FC8">
        <w:rPr>
          <w:rFonts w:ascii="Times New Roman" w:hAnsi="Times New Roman"/>
          <w:sz w:val="24"/>
          <w:szCs w:val="24"/>
        </w:rPr>
        <w:t xml:space="preserve">and Woittiez </w:t>
      </w:r>
      <w:r w:rsidR="007B0FC8" w:rsidRPr="00353FA5">
        <w:rPr>
          <w:rFonts w:ascii="Times New Roman" w:hAnsi="Times New Roman"/>
          <w:sz w:val="24"/>
          <w:szCs w:val="24"/>
        </w:rPr>
        <w:t xml:space="preserve">(1988) </w:t>
      </w:r>
      <w:r w:rsidR="000C3386" w:rsidRPr="00353FA5">
        <w:rPr>
          <w:rFonts w:ascii="Times New Roman" w:hAnsi="Times New Roman"/>
          <w:sz w:val="24"/>
          <w:szCs w:val="24"/>
        </w:rPr>
        <w:t xml:space="preserve">for urinary </w:t>
      </w:r>
      <w:r w:rsidR="00B9088E" w:rsidRPr="00353FA5">
        <w:rPr>
          <w:rFonts w:ascii="Times New Roman" w:hAnsi="Times New Roman"/>
          <w:sz w:val="24"/>
          <w:szCs w:val="24"/>
        </w:rPr>
        <w:t>As, Cr, Ni</w:t>
      </w:r>
      <w:r w:rsidR="009C4C61" w:rsidRPr="00353FA5">
        <w:rPr>
          <w:rFonts w:ascii="Times New Roman" w:hAnsi="Times New Roman"/>
          <w:sz w:val="24"/>
          <w:szCs w:val="24"/>
        </w:rPr>
        <w:t xml:space="preserve"> and Zn</w:t>
      </w:r>
      <w:r w:rsidR="000C3386" w:rsidRPr="00353FA5">
        <w:rPr>
          <w:rFonts w:ascii="Times New Roman" w:hAnsi="Times New Roman"/>
          <w:sz w:val="24"/>
          <w:szCs w:val="24"/>
        </w:rPr>
        <w:t xml:space="preserve">.  </w:t>
      </w:r>
    </w:p>
    <w:p w14:paraId="2AD2F01D" w14:textId="77777777" w:rsidR="00563A5E" w:rsidRPr="00353FA5" w:rsidRDefault="00563A5E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5AC1E4C" w14:textId="78F212D4" w:rsidR="00563A5E" w:rsidRPr="00353FA5" w:rsidRDefault="00C02FB6" w:rsidP="00FF22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353FA5">
        <w:rPr>
          <w:rFonts w:ascii="Times New Roman" w:hAnsi="Times New Roman"/>
          <w:i/>
          <w:sz w:val="24"/>
          <w:szCs w:val="24"/>
        </w:rPr>
        <w:t xml:space="preserve">3.4 </w:t>
      </w:r>
      <w:r w:rsidR="00CE2395" w:rsidRPr="00353FA5">
        <w:rPr>
          <w:rFonts w:ascii="Times New Roman" w:hAnsi="Times New Roman"/>
          <w:i/>
          <w:sz w:val="24"/>
          <w:szCs w:val="24"/>
        </w:rPr>
        <w:t xml:space="preserve">Elemental Biomarkers  </w:t>
      </w:r>
      <w:r w:rsidR="00563A5E" w:rsidRPr="00353FA5">
        <w:rPr>
          <w:rFonts w:ascii="Times New Roman" w:hAnsi="Times New Roman"/>
          <w:i/>
          <w:sz w:val="24"/>
          <w:szCs w:val="24"/>
        </w:rPr>
        <w:t>- Correlations</w:t>
      </w:r>
    </w:p>
    <w:p w14:paraId="2F861607" w14:textId="5DF3C6C7" w:rsidR="004A0753" w:rsidRDefault="00563A5E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353FA5">
        <w:rPr>
          <w:rFonts w:ascii="Times New Roman" w:hAnsi="Times New Roman"/>
          <w:sz w:val="24"/>
          <w:szCs w:val="24"/>
        </w:rPr>
        <w:t xml:space="preserve">To explore associations among the urinary and blood elements, </w:t>
      </w:r>
      <w:r w:rsidR="006E5FDE" w:rsidRPr="00353FA5">
        <w:rPr>
          <w:rFonts w:ascii="Times New Roman" w:hAnsi="Times New Roman"/>
          <w:sz w:val="24"/>
          <w:szCs w:val="24"/>
        </w:rPr>
        <w:t>Spearman correlations</w:t>
      </w:r>
      <w:r w:rsidRPr="00353FA5">
        <w:rPr>
          <w:rFonts w:ascii="Times New Roman" w:hAnsi="Times New Roman"/>
          <w:sz w:val="24"/>
          <w:szCs w:val="24"/>
        </w:rPr>
        <w:t xml:space="preserve"> were calculated (</w:t>
      </w:r>
      <w:r w:rsidR="009C4C61" w:rsidRPr="00353FA5">
        <w:rPr>
          <w:rFonts w:ascii="Times New Roman" w:hAnsi="Times New Roman"/>
          <w:sz w:val="24"/>
          <w:szCs w:val="24"/>
        </w:rPr>
        <w:t xml:space="preserve">Supplemental </w:t>
      </w:r>
      <w:r w:rsidRPr="00353FA5">
        <w:rPr>
          <w:rFonts w:ascii="Times New Roman" w:hAnsi="Times New Roman"/>
          <w:sz w:val="24"/>
          <w:szCs w:val="24"/>
        </w:rPr>
        <w:t xml:space="preserve">Table </w:t>
      </w:r>
      <w:r w:rsidR="009C4C61" w:rsidRPr="00353FA5">
        <w:rPr>
          <w:rFonts w:ascii="Times New Roman" w:hAnsi="Times New Roman"/>
          <w:sz w:val="24"/>
          <w:szCs w:val="24"/>
        </w:rPr>
        <w:t>3</w:t>
      </w:r>
      <w:r w:rsidR="00BA1B07" w:rsidRPr="00353FA5">
        <w:rPr>
          <w:rFonts w:ascii="Times New Roman" w:hAnsi="Times New Roman"/>
          <w:sz w:val="24"/>
          <w:szCs w:val="24"/>
        </w:rPr>
        <w:t>)</w:t>
      </w:r>
      <w:r w:rsidRPr="00353FA5">
        <w:rPr>
          <w:rFonts w:ascii="Times New Roman" w:hAnsi="Times New Roman"/>
          <w:sz w:val="24"/>
          <w:szCs w:val="24"/>
        </w:rPr>
        <w:t>.</w:t>
      </w:r>
      <w:r w:rsidR="008C4065" w:rsidRPr="00353FA5">
        <w:rPr>
          <w:rFonts w:ascii="Times New Roman" w:hAnsi="Times New Roman"/>
          <w:sz w:val="24"/>
          <w:szCs w:val="24"/>
        </w:rPr>
        <w:t xml:space="preserve">  Owing to multiple comparisons, a more restrictive p-value (&lt;0.01) was applied.</w:t>
      </w:r>
      <w:r w:rsidRPr="00353FA5">
        <w:rPr>
          <w:rFonts w:ascii="Times New Roman" w:hAnsi="Times New Roman"/>
          <w:sz w:val="24"/>
          <w:szCs w:val="24"/>
        </w:rPr>
        <w:t xml:space="preserve">  </w:t>
      </w:r>
      <w:r w:rsidR="00B9088E" w:rsidRPr="00353FA5">
        <w:rPr>
          <w:rFonts w:ascii="Times New Roman" w:hAnsi="Times New Roman"/>
          <w:sz w:val="24"/>
          <w:szCs w:val="24"/>
        </w:rPr>
        <w:t xml:space="preserve">There were more </w:t>
      </w:r>
      <w:r w:rsidR="00535F2E" w:rsidRPr="00353FA5">
        <w:rPr>
          <w:rFonts w:ascii="Times New Roman" w:hAnsi="Times New Roman"/>
          <w:sz w:val="24"/>
          <w:szCs w:val="24"/>
        </w:rPr>
        <w:t xml:space="preserve">statistically significant </w:t>
      </w:r>
      <w:r w:rsidR="00B9088E" w:rsidRPr="00353FA5">
        <w:rPr>
          <w:rFonts w:ascii="Times New Roman" w:hAnsi="Times New Roman"/>
          <w:sz w:val="24"/>
          <w:szCs w:val="24"/>
        </w:rPr>
        <w:t xml:space="preserve">correlations </w:t>
      </w:r>
      <w:r w:rsidR="00386703" w:rsidRPr="00353FA5">
        <w:rPr>
          <w:rFonts w:ascii="Times New Roman" w:hAnsi="Times New Roman"/>
          <w:sz w:val="24"/>
          <w:szCs w:val="24"/>
        </w:rPr>
        <w:t xml:space="preserve">found </w:t>
      </w:r>
      <w:r w:rsidR="00B9088E" w:rsidRPr="00353FA5">
        <w:rPr>
          <w:rFonts w:ascii="Times New Roman" w:hAnsi="Times New Roman"/>
          <w:sz w:val="24"/>
          <w:szCs w:val="24"/>
        </w:rPr>
        <w:t xml:space="preserve">between urinary elements </w:t>
      </w:r>
      <w:r w:rsidR="004A0753" w:rsidRPr="00353FA5">
        <w:rPr>
          <w:rFonts w:ascii="Times New Roman" w:hAnsi="Times New Roman"/>
          <w:sz w:val="24"/>
          <w:szCs w:val="24"/>
        </w:rPr>
        <w:t>(</w:t>
      </w:r>
      <w:r w:rsidR="008C4065" w:rsidRPr="00353FA5">
        <w:rPr>
          <w:rFonts w:ascii="Times New Roman" w:hAnsi="Times New Roman"/>
          <w:sz w:val="24"/>
          <w:szCs w:val="24"/>
        </w:rPr>
        <w:t>18</w:t>
      </w:r>
      <w:r w:rsidR="004A0753" w:rsidRPr="00353FA5">
        <w:rPr>
          <w:rFonts w:ascii="Times New Roman" w:hAnsi="Times New Roman"/>
          <w:sz w:val="24"/>
          <w:szCs w:val="24"/>
        </w:rPr>
        <w:t>/</w:t>
      </w:r>
      <w:r w:rsidR="008C4065" w:rsidRPr="00353FA5">
        <w:rPr>
          <w:rFonts w:ascii="Times New Roman" w:hAnsi="Times New Roman"/>
          <w:sz w:val="24"/>
          <w:szCs w:val="24"/>
        </w:rPr>
        <w:t>28</w:t>
      </w:r>
      <w:r w:rsidR="004A0753" w:rsidRPr="00353FA5">
        <w:rPr>
          <w:rFonts w:ascii="Times New Roman" w:hAnsi="Times New Roman"/>
          <w:sz w:val="24"/>
          <w:szCs w:val="24"/>
        </w:rPr>
        <w:t xml:space="preserve"> possible binary combinations</w:t>
      </w:r>
      <w:r w:rsidR="004A0753" w:rsidRPr="00FF2251">
        <w:rPr>
          <w:rFonts w:ascii="Times New Roman" w:hAnsi="Times New Roman"/>
          <w:sz w:val="24"/>
          <w:szCs w:val="24"/>
        </w:rPr>
        <w:t xml:space="preserve"> were significant) </w:t>
      </w:r>
      <w:r w:rsidR="005C7BF9" w:rsidRPr="00FF2251">
        <w:rPr>
          <w:rFonts w:ascii="Times New Roman" w:hAnsi="Times New Roman"/>
          <w:sz w:val="24"/>
          <w:szCs w:val="24"/>
        </w:rPr>
        <w:t xml:space="preserve">versus </w:t>
      </w:r>
      <w:r w:rsidR="001853C9">
        <w:rPr>
          <w:rFonts w:ascii="Times New Roman" w:hAnsi="Times New Roman"/>
          <w:sz w:val="24"/>
          <w:szCs w:val="24"/>
        </w:rPr>
        <w:t>those</w:t>
      </w:r>
      <w:r w:rsidR="005C7BF9" w:rsidRPr="00FF2251">
        <w:rPr>
          <w:rFonts w:ascii="Times New Roman" w:hAnsi="Times New Roman"/>
          <w:sz w:val="24"/>
          <w:szCs w:val="24"/>
        </w:rPr>
        <w:t xml:space="preserve"> measured in </w:t>
      </w:r>
      <w:r w:rsidR="004A0753" w:rsidRPr="00FF2251">
        <w:rPr>
          <w:rFonts w:ascii="Times New Roman" w:hAnsi="Times New Roman"/>
          <w:sz w:val="24"/>
          <w:szCs w:val="24"/>
        </w:rPr>
        <w:t>blood (</w:t>
      </w:r>
      <w:r w:rsidR="008C4065">
        <w:rPr>
          <w:rFonts w:ascii="Times New Roman" w:hAnsi="Times New Roman"/>
          <w:sz w:val="24"/>
          <w:szCs w:val="24"/>
        </w:rPr>
        <w:t>5</w:t>
      </w:r>
      <w:r w:rsidR="004A0753" w:rsidRPr="00FF2251">
        <w:rPr>
          <w:rFonts w:ascii="Times New Roman" w:hAnsi="Times New Roman"/>
          <w:sz w:val="24"/>
          <w:szCs w:val="24"/>
        </w:rPr>
        <w:t xml:space="preserve">/28 </w:t>
      </w:r>
      <w:r w:rsidR="00B9088E" w:rsidRPr="00FF2251">
        <w:rPr>
          <w:rFonts w:ascii="Times New Roman" w:hAnsi="Times New Roman"/>
          <w:sz w:val="24"/>
          <w:szCs w:val="24"/>
        </w:rPr>
        <w:t>possible binary combinations</w:t>
      </w:r>
      <w:r w:rsidR="00CE2395">
        <w:rPr>
          <w:rFonts w:ascii="Times New Roman" w:hAnsi="Times New Roman"/>
          <w:sz w:val="24"/>
          <w:szCs w:val="24"/>
        </w:rPr>
        <w:t xml:space="preserve"> </w:t>
      </w:r>
      <w:r w:rsidR="00CE2395" w:rsidRPr="00FF2251">
        <w:rPr>
          <w:rFonts w:ascii="Times New Roman" w:hAnsi="Times New Roman"/>
          <w:sz w:val="24"/>
          <w:szCs w:val="24"/>
        </w:rPr>
        <w:t>were significant</w:t>
      </w:r>
      <w:r w:rsidR="008C4065">
        <w:rPr>
          <w:rFonts w:ascii="Times New Roman" w:hAnsi="Times New Roman"/>
          <w:sz w:val="24"/>
          <w:szCs w:val="24"/>
        </w:rPr>
        <w:t>).</w:t>
      </w:r>
    </w:p>
    <w:p w14:paraId="00A5DC8C" w14:textId="77777777" w:rsidR="009C4C61" w:rsidRPr="00FF2251" w:rsidRDefault="009C4C61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19138AD2" w14:textId="328DD9F4" w:rsidR="0005754A" w:rsidRPr="00FF2251" w:rsidRDefault="005C4A41" w:rsidP="0005754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 xml:space="preserve">The blood and urine </w:t>
      </w:r>
      <w:r w:rsidR="00B9088E" w:rsidRPr="00CE2395">
        <w:rPr>
          <w:rFonts w:ascii="Times New Roman" w:hAnsi="Times New Roman"/>
          <w:sz w:val="24"/>
          <w:szCs w:val="24"/>
        </w:rPr>
        <w:t>elemental data</w:t>
      </w:r>
      <w:r w:rsidRPr="00CE2395">
        <w:rPr>
          <w:rFonts w:ascii="Times New Roman" w:hAnsi="Times New Roman"/>
          <w:sz w:val="24"/>
          <w:szCs w:val="24"/>
        </w:rPr>
        <w:t xml:space="preserve"> </w:t>
      </w:r>
      <w:r w:rsidR="00563A5E" w:rsidRPr="00CE2395">
        <w:rPr>
          <w:rFonts w:ascii="Times New Roman" w:hAnsi="Times New Roman"/>
          <w:sz w:val="24"/>
          <w:szCs w:val="24"/>
        </w:rPr>
        <w:t xml:space="preserve">were next subjected to </w:t>
      </w:r>
      <w:r w:rsidR="004A0753" w:rsidRPr="00CE2395">
        <w:rPr>
          <w:rFonts w:ascii="Times New Roman" w:hAnsi="Times New Roman"/>
          <w:sz w:val="24"/>
          <w:szCs w:val="24"/>
        </w:rPr>
        <w:t>a factor analysis</w:t>
      </w:r>
      <w:r w:rsidR="00563A5E" w:rsidRPr="00CE2395">
        <w:rPr>
          <w:rFonts w:ascii="Times New Roman" w:hAnsi="Times New Roman"/>
          <w:sz w:val="24"/>
          <w:szCs w:val="24"/>
        </w:rPr>
        <w:t xml:space="preserve"> to determine </w:t>
      </w:r>
      <w:r w:rsidR="008C4065">
        <w:rPr>
          <w:rFonts w:ascii="Times New Roman" w:hAnsi="Times New Roman"/>
          <w:sz w:val="24"/>
          <w:szCs w:val="24"/>
        </w:rPr>
        <w:t>whether the measured</w:t>
      </w:r>
      <w:r w:rsidR="00B9088E" w:rsidRPr="00CE2395">
        <w:rPr>
          <w:rFonts w:ascii="Times New Roman" w:hAnsi="Times New Roman"/>
          <w:sz w:val="24"/>
          <w:szCs w:val="24"/>
        </w:rPr>
        <w:t xml:space="preserve"> </w:t>
      </w:r>
      <w:r w:rsidR="00563A5E" w:rsidRPr="00CE2395">
        <w:rPr>
          <w:rFonts w:ascii="Times New Roman" w:hAnsi="Times New Roman"/>
          <w:sz w:val="24"/>
          <w:szCs w:val="24"/>
        </w:rPr>
        <w:t>elements clustered in</w:t>
      </w:r>
      <w:r w:rsidR="00CE2395" w:rsidRPr="00CE2395">
        <w:rPr>
          <w:rFonts w:ascii="Times New Roman" w:hAnsi="Times New Roman"/>
          <w:sz w:val="24"/>
          <w:szCs w:val="24"/>
        </w:rPr>
        <w:t>to particular</w:t>
      </w:r>
      <w:r w:rsidR="00F04CC8">
        <w:rPr>
          <w:rFonts w:ascii="Times New Roman" w:hAnsi="Times New Roman"/>
          <w:sz w:val="24"/>
          <w:szCs w:val="24"/>
        </w:rPr>
        <w:t xml:space="preserve"> groups</w:t>
      </w:r>
      <w:r w:rsidR="00563A5E" w:rsidRPr="00CE2395">
        <w:rPr>
          <w:rFonts w:ascii="Times New Roman" w:hAnsi="Times New Roman"/>
          <w:sz w:val="24"/>
          <w:szCs w:val="24"/>
        </w:rPr>
        <w:t>.</w:t>
      </w:r>
      <w:r w:rsidR="004A0753" w:rsidRPr="00CE2395">
        <w:rPr>
          <w:rFonts w:ascii="Times New Roman" w:hAnsi="Times New Roman"/>
          <w:sz w:val="24"/>
          <w:szCs w:val="24"/>
        </w:rPr>
        <w:t xml:space="preserve"> </w:t>
      </w:r>
      <w:r w:rsidRPr="00CE2395">
        <w:rPr>
          <w:rFonts w:ascii="Times New Roman" w:hAnsi="Times New Roman"/>
          <w:sz w:val="24"/>
          <w:szCs w:val="24"/>
        </w:rPr>
        <w:t xml:space="preserve"> </w:t>
      </w:r>
      <w:r w:rsidR="00F04CC8">
        <w:rPr>
          <w:rFonts w:ascii="Times New Roman" w:hAnsi="Times New Roman"/>
          <w:sz w:val="24"/>
          <w:szCs w:val="24"/>
        </w:rPr>
        <w:t>For blood elements the</w:t>
      </w:r>
      <w:r w:rsidR="001B3ECA" w:rsidRPr="00CE2395">
        <w:rPr>
          <w:rFonts w:ascii="Times New Roman" w:hAnsi="Times New Roman"/>
          <w:sz w:val="24"/>
          <w:szCs w:val="24"/>
        </w:rPr>
        <w:t xml:space="preserve"> KMO was borderline (0.4</w:t>
      </w:r>
      <w:r w:rsidR="00F04CC8">
        <w:rPr>
          <w:rFonts w:ascii="Times New Roman" w:hAnsi="Times New Roman"/>
          <w:sz w:val="24"/>
          <w:szCs w:val="24"/>
        </w:rPr>
        <w:t>9</w:t>
      </w:r>
      <w:r w:rsidR="001B3ECA" w:rsidRPr="00CE2395">
        <w:rPr>
          <w:rFonts w:ascii="Times New Roman" w:hAnsi="Times New Roman"/>
          <w:sz w:val="24"/>
          <w:szCs w:val="24"/>
        </w:rPr>
        <w:t xml:space="preserve"> vs. </w:t>
      </w:r>
      <w:r w:rsidR="00B9088E" w:rsidRPr="00CE2395">
        <w:rPr>
          <w:rFonts w:ascii="Times New Roman" w:hAnsi="Times New Roman"/>
          <w:sz w:val="24"/>
          <w:szCs w:val="24"/>
        </w:rPr>
        <w:t xml:space="preserve">the </w:t>
      </w:r>
      <w:r w:rsidR="001B3ECA" w:rsidRPr="00CE2395">
        <w:rPr>
          <w:rFonts w:ascii="Times New Roman" w:hAnsi="Times New Roman"/>
          <w:sz w:val="24"/>
          <w:szCs w:val="24"/>
        </w:rPr>
        <w:t xml:space="preserve">0.50 rule of thumb) but </w:t>
      </w:r>
      <w:r w:rsidR="005C7BF9" w:rsidRPr="00CE2395">
        <w:rPr>
          <w:rFonts w:ascii="Times New Roman" w:hAnsi="Times New Roman"/>
          <w:sz w:val="24"/>
          <w:szCs w:val="24"/>
        </w:rPr>
        <w:t>deemed acceptable</w:t>
      </w:r>
      <w:r w:rsidR="005C7BF9" w:rsidRPr="00FF2251">
        <w:rPr>
          <w:rFonts w:ascii="Times New Roman" w:hAnsi="Times New Roman"/>
          <w:sz w:val="24"/>
          <w:szCs w:val="24"/>
        </w:rPr>
        <w:t xml:space="preserve"> </w:t>
      </w:r>
      <w:r w:rsidR="00B9088E" w:rsidRPr="00FF2251">
        <w:rPr>
          <w:rFonts w:ascii="Times New Roman" w:hAnsi="Times New Roman"/>
          <w:sz w:val="24"/>
          <w:szCs w:val="24"/>
        </w:rPr>
        <w:t>as we viewed this analys</w:t>
      </w:r>
      <w:r w:rsidR="00535F2E">
        <w:rPr>
          <w:rFonts w:ascii="Times New Roman" w:hAnsi="Times New Roman"/>
          <w:sz w:val="24"/>
          <w:szCs w:val="24"/>
        </w:rPr>
        <w:t>i</w:t>
      </w:r>
      <w:r w:rsidR="00B9088E" w:rsidRPr="00FF2251">
        <w:rPr>
          <w:rFonts w:ascii="Times New Roman" w:hAnsi="Times New Roman"/>
          <w:sz w:val="24"/>
          <w:szCs w:val="24"/>
        </w:rPr>
        <w:t>s to be exploratory and are cognizant of some of the datasets limitations (e.g., sample size)</w:t>
      </w:r>
      <w:r w:rsidR="001B3ECA" w:rsidRPr="00FF2251">
        <w:rPr>
          <w:rFonts w:ascii="Times New Roman" w:hAnsi="Times New Roman"/>
          <w:sz w:val="24"/>
          <w:szCs w:val="24"/>
        </w:rPr>
        <w:t xml:space="preserve">. </w:t>
      </w:r>
      <w:r w:rsidR="00563A5E" w:rsidRPr="00FF2251">
        <w:rPr>
          <w:rFonts w:ascii="Times New Roman" w:hAnsi="Times New Roman"/>
          <w:sz w:val="24"/>
          <w:szCs w:val="24"/>
        </w:rPr>
        <w:t xml:space="preserve">The first eigenvalue estimated from the matrix accounted for </w:t>
      </w:r>
      <w:r w:rsidRPr="00FF2251">
        <w:rPr>
          <w:rFonts w:ascii="Times New Roman" w:hAnsi="Times New Roman"/>
          <w:sz w:val="24"/>
          <w:szCs w:val="24"/>
        </w:rPr>
        <w:t>2</w:t>
      </w:r>
      <w:r w:rsidR="00F04CC8">
        <w:rPr>
          <w:rFonts w:ascii="Times New Roman" w:hAnsi="Times New Roman"/>
          <w:sz w:val="24"/>
          <w:szCs w:val="24"/>
        </w:rPr>
        <w:t>4</w:t>
      </w:r>
      <w:r w:rsidRPr="00FF2251">
        <w:rPr>
          <w:rFonts w:ascii="Times New Roman" w:hAnsi="Times New Roman"/>
          <w:sz w:val="24"/>
          <w:szCs w:val="24"/>
        </w:rPr>
        <w:t>.5%</w:t>
      </w:r>
      <w:r w:rsidR="00563A5E" w:rsidRPr="00FF2251">
        <w:rPr>
          <w:rFonts w:ascii="Times New Roman" w:hAnsi="Times New Roman"/>
          <w:sz w:val="24"/>
          <w:szCs w:val="24"/>
        </w:rPr>
        <w:t xml:space="preserve"> of the total variance and </w:t>
      </w:r>
      <w:r w:rsidR="00F04CC8">
        <w:rPr>
          <w:rFonts w:ascii="Times New Roman" w:hAnsi="Times New Roman"/>
          <w:sz w:val="24"/>
          <w:szCs w:val="24"/>
        </w:rPr>
        <w:t>three</w:t>
      </w:r>
      <w:r w:rsidR="00563A5E" w:rsidRPr="00FF2251">
        <w:rPr>
          <w:rFonts w:ascii="Times New Roman" w:hAnsi="Times New Roman"/>
          <w:sz w:val="24"/>
          <w:szCs w:val="24"/>
        </w:rPr>
        <w:t xml:space="preserve"> eigenvalues explained </w:t>
      </w:r>
      <w:r w:rsidR="00F04CC8">
        <w:rPr>
          <w:rFonts w:ascii="Times New Roman" w:hAnsi="Times New Roman"/>
          <w:sz w:val="24"/>
          <w:szCs w:val="24"/>
        </w:rPr>
        <w:t>60.0</w:t>
      </w:r>
      <w:r w:rsidR="00563A5E" w:rsidRPr="00FF2251">
        <w:rPr>
          <w:rFonts w:ascii="Times New Roman" w:hAnsi="Times New Roman"/>
          <w:sz w:val="24"/>
          <w:szCs w:val="24"/>
        </w:rPr>
        <w:t>% of the total variance.  A diagnostic assessment of the scatterplots indicated three groupings</w:t>
      </w:r>
      <w:r w:rsidR="00F04CC8">
        <w:rPr>
          <w:rFonts w:ascii="Times New Roman" w:hAnsi="Times New Roman"/>
          <w:sz w:val="24"/>
          <w:szCs w:val="24"/>
        </w:rPr>
        <w:t xml:space="preserve"> of blood elements</w:t>
      </w:r>
      <w:r w:rsidR="00563A5E" w:rsidRPr="00FF2251">
        <w:rPr>
          <w:rFonts w:ascii="Times New Roman" w:hAnsi="Times New Roman"/>
          <w:sz w:val="24"/>
          <w:szCs w:val="24"/>
        </w:rPr>
        <w:t xml:space="preserve">: a) </w:t>
      </w:r>
      <w:r w:rsidR="00F04CC8">
        <w:rPr>
          <w:rFonts w:ascii="Times New Roman" w:hAnsi="Times New Roman"/>
          <w:sz w:val="24"/>
          <w:szCs w:val="24"/>
        </w:rPr>
        <w:t>Cu and Pb</w:t>
      </w:r>
      <w:r w:rsidR="00563A5E" w:rsidRPr="00FF2251">
        <w:rPr>
          <w:rFonts w:ascii="Times New Roman" w:hAnsi="Times New Roman"/>
          <w:sz w:val="24"/>
          <w:szCs w:val="24"/>
        </w:rPr>
        <w:t xml:space="preserve">; b) </w:t>
      </w:r>
      <w:r w:rsidR="00F04CC8">
        <w:rPr>
          <w:rFonts w:ascii="Times New Roman" w:hAnsi="Times New Roman"/>
          <w:sz w:val="24"/>
          <w:szCs w:val="24"/>
        </w:rPr>
        <w:t>Se, Hg, and Fe</w:t>
      </w:r>
      <w:r w:rsidR="00563A5E" w:rsidRPr="00FF2251">
        <w:rPr>
          <w:rFonts w:ascii="Times New Roman" w:hAnsi="Times New Roman"/>
          <w:sz w:val="24"/>
          <w:szCs w:val="24"/>
        </w:rPr>
        <w:t>; and c) all other elements.</w:t>
      </w:r>
      <w:r w:rsidR="00F04CC8">
        <w:rPr>
          <w:rFonts w:ascii="Times New Roman" w:hAnsi="Times New Roman"/>
          <w:sz w:val="24"/>
          <w:szCs w:val="24"/>
        </w:rPr>
        <w:t xml:space="preserve">  </w:t>
      </w:r>
      <w:r w:rsidR="0005754A">
        <w:rPr>
          <w:rFonts w:ascii="Times New Roman" w:hAnsi="Times New Roman"/>
          <w:sz w:val="24"/>
          <w:szCs w:val="24"/>
        </w:rPr>
        <w:t xml:space="preserve">For urinary elements, the </w:t>
      </w:r>
      <w:r w:rsidR="0005754A" w:rsidRPr="00CE2395">
        <w:rPr>
          <w:rFonts w:ascii="Times New Roman" w:hAnsi="Times New Roman"/>
          <w:sz w:val="24"/>
          <w:szCs w:val="24"/>
        </w:rPr>
        <w:t xml:space="preserve">KMO was </w:t>
      </w:r>
      <w:r w:rsidR="009C4C61">
        <w:rPr>
          <w:rFonts w:ascii="Times New Roman" w:hAnsi="Times New Roman"/>
          <w:sz w:val="24"/>
          <w:szCs w:val="24"/>
        </w:rPr>
        <w:t>0.74</w:t>
      </w:r>
      <w:r w:rsidR="0005754A">
        <w:rPr>
          <w:rFonts w:ascii="Times New Roman" w:hAnsi="Times New Roman"/>
          <w:sz w:val="24"/>
          <w:szCs w:val="24"/>
        </w:rPr>
        <w:t xml:space="preserve">. </w:t>
      </w:r>
      <w:r w:rsidR="0005754A" w:rsidRPr="00FF2251">
        <w:rPr>
          <w:rFonts w:ascii="Times New Roman" w:hAnsi="Times New Roman"/>
          <w:sz w:val="24"/>
          <w:szCs w:val="24"/>
        </w:rPr>
        <w:t xml:space="preserve">The first eigenvalue estimated from the matrix accounted for </w:t>
      </w:r>
      <w:r w:rsidR="0005754A">
        <w:rPr>
          <w:rFonts w:ascii="Times New Roman" w:hAnsi="Times New Roman"/>
          <w:sz w:val="24"/>
          <w:szCs w:val="24"/>
        </w:rPr>
        <w:t>40.0</w:t>
      </w:r>
      <w:r w:rsidR="0005754A" w:rsidRPr="00FF2251">
        <w:rPr>
          <w:rFonts w:ascii="Times New Roman" w:hAnsi="Times New Roman"/>
          <w:sz w:val="24"/>
          <w:szCs w:val="24"/>
        </w:rPr>
        <w:t xml:space="preserve">% of the total variance and </w:t>
      </w:r>
      <w:r w:rsidR="0005754A">
        <w:rPr>
          <w:rFonts w:ascii="Times New Roman" w:hAnsi="Times New Roman"/>
          <w:sz w:val="24"/>
          <w:szCs w:val="24"/>
        </w:rPr>
        <w:t>three</w:t>
      </w:r>
      <w:r w:rsidR="0005754A" w:rsidRPr="00FF2251">
        <w:rPr>
          <w:rFonts w:ascii="Times New Roman" w:hAnsi="Times New Roman"/>
          <w:sz w:val="24"/>
          <w:szCs w:val="24"/>
        </w:rPr>
        <w:t xml:space="preserve"> eigenvalues explained </w:t>
      </w:r>
      <w:r w:rsidR="0005754A">
        <w:rPr>
          <w:rFonts w:ascii="Times New Roman" w:hAnsi="Times New Roman"/>
          <w:sz w:val="24"/>
          <w:szCs w:val="24"/>
        </w:rPr>
        <w:t>66.7</w:t>
      </w:r>
      <w:r w:rsidR="0005754A" w:rsidRPr="00FF2251">
        <w:rPr>
          <w:rFonts w:ascii="Times New Roman" w:hAnsi="Times New Roman"/>
          <w:sz w:val="24"/>
          <w:szCs w:val="24"/>
        </w:rPr>
        <w:t>% of the total variance.  A diagnostic assessment of the scatterplot indicated three groupings</w:t>
      </w:r>
      <w:r w:rsidR="0005754A">
        <w:rPr>
          <w:rFonts w:ascii="Times New Roman" w:hAnsi="Times New Roman"/>
          <w:sz w:val="24"/>
          <w:szCs w:val="24"/>
        </w:rPr>
        <w:t xml:space="preserve"> of urinary elements</w:t>
      </w:r>
      <w:r w:rsidR="0005754A" w:rsidRPr="00FF2251">
        <w:rPr>
          <w:rFonts w:ascii="Times New Roman" w:hAnsi="Times New Roman"/>
          <w:sz w:val="24"/>
          <w:szCs w:val="24"/>
        </w:rPr>
        <w:t xml:space="preserve">: a) </w:t>
      </w:r>
      <w:r w:rsidR="0005754A">
        <w:rPr>
          <w:rFonts w:ascii="Times New Roman" w:hAnsi="Times New Roman"/>
          <w:sz w:val="24"/>
          <w:szCs w:val="24"/>
        </w:rPr>
        <w:t>Zn, Cr, Pb, Co, Cu</w:t>
      </w:r>
      <w:r w:rsidR="0005754A" w:rsidRPr="00FF2251">
        <w:rPr>
          <w:rFonts w:ascii="Times New Roman" w:hAnsi="Times New Roman"/>
          <w:sz w:val="24"/>
          <w:szCs w:val="24"/>
        </w:rPr>
        <w:t xml:space="preserve">; b) </w:t>
      </w:r>
      <w:r w:rsidR="0005754A">
        <w:rPr>
          <w:rFonts w:ascii="Times New Roman" w:hAnsi="Times New Roman"/>
          <w:sz w:val="24"/>
          <w:szCs w:val="24"/>
        </w:rPr>
        <w:t>Hg, Ni</w:t>
      </w:r>
      <w:r w:rsidR="0005754A" w:rsidRPr="00FF2251">
        <w:rPr>
          <w:rFonts w:ascii="Times New Roman" w:hAnsi="Times New Roman"/>
          <w:sz w:val="24"/>
          <w:szCs w:val="24"/>
        </w:rPr>
        <w:t xml:space="preserve">; and c) </w:t>
      </w:r>
      <w:r w:rsidR="0005754A">
        <w:rPr>
          <w:rFonts w:ascii="Times New Roman" w:hAnsi="Times New Roman"/>
          <w:sz w:val="24"/>
          <w:szCs w:val="24"/>
        </w:rPr>
        <w:t>As</w:t>
      </w:r>
      <w:r w:rsidR="0005754A" w:rsidRPr="00FF2251">
        <w:rPr>
          <w:rFonts w:ascii="Times New Roman" w:hAnsi="Times New Roman"/>
          <w:sz w:val="24"/>
          <w:szCs w:val="24"/>
        </w:rPr>
        <w:t xml:space="preserve">. </w:t>
      </w:r>
    </w:p>
    <w:p w14:paraId="72F76CBD" w14:textId="77777777" w:rsidR="0005754A" w:rsidRPr="00FF2251" w:rsidRDefault="0005754A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05E53D40" w14:textId="54F3B821" w:rsidR="001A381F" w:rsidRPr="00FF2251" w:rsidRDefault="00C02FB6" w:rsidP="00FF22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FF2251">
        <w:rPr>
          <w:rFonts w:ascii="Times New Roman" w:hAnsi="Times New Roman"/>
          <w:i/>
          <w:sz w:val="24"/>
          <w:szCs w:val="24"/>
        </w:rPr>
        <w:t xml:space="preserve">3.5 </w:t>
      </w:r>
      <w:r w:rsidR="00CE2395">
        <w:rPr>
          <w:rFonts w:ascii="Times New Roman" w:hAnsi="Times New Roman"/>
          <w:i/>
          <w:sz w:val="24"/>
          <w:szCs w:val="24"/>
        </w:rPr>
        <w:t>Elemental</w:t>
      </w:r>
      <w:r w:rsidR="00D621B9" w:rsidRPr="00FF2251">
        <w:rPr>
          <w:rFonts w:ascii="Times New Roman" w:hAnsi="Times New Roman"/>
          <w:i/>
          <w:sz w:val="24"/>
          <w:szCs w:val="24"/>
        </w:rPr>
        <w:t xml:space="preserve"> Biomarkers  - Comparison with </w:t>
      </w:r>
      <w:r w:rsidR="00CE2395">
        <w:rPr>
          <w:rFonts w:ascii="Times New Roman" w:hAnsi="Times New Roman"/>
          <w:i/>
          <w:sz w:val="24"/>
          <w:szCs w:val="24"/>
        </w:rPr>
        <w:t>Demographics and Work Activities</w:t>
      </w:r>
    </w:p>
    <w:p w14:paraId="08D409D5" w14:textId="6552FED7" w:rsidR="00657EBE" w:rsidRPr="00FF2251" w:rsidRDefault="001A381F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8C4065">
        <w:rPr>
          <w:rFonts w:ascii="Times New Roman" w:hAnsi="Times New Roman"/>
          <w:sz w:val="24"/>
          <w:szCs w:val="24"/>
        </w:rPr>
        <w:t xml:space="preserve">When the </w:t>
      </w:r>
      <w:r w:rsidR="00CE2395" w:rsidRPr="008C4065">
        <w:rPr>
          <w:rFonts w:ascii="Times New Roman" w:hAnsi="Times New Roman"/>
          <w:sz w:val="24"/>
          <w:szCs w:val="24"/>
        </w:rPr>
        <w:t xml:space="preserve">elemental </w:t>
      </w:r>
      <w:r w:rsidRPr="008C4065">
        <w:rPr>
          <w:rFonts w:ascii="Times New Roman" w:hAnsi="Times New Roman"/>
          <w:sz w:val="24"/>
          <w:szCs w:val="24"/>
        </w:rPr>
        <w:t xml:space="preserve">biomarker data were correlated </w:t>
      </w:r>
      <w:r w:rsidR="00386703" w:rsidRPr="008C4065">
        <w:rPr>
          <w:rFonts w:ascii="Times New Roman" w:hAnsi="Times New Roman"/>
          <w:sz w:val="24"/>
          <w:szCs w:val="24"/>
        </w:rPr>
        <w:t>with</w:t>
      </w:r>
      <w:r w:rsidRPr="008C4065">
        <w:rPr>
          <w:rFonts w:ascii="Times New Roman" w:hAnsi="Times New Roman"/>
          <w:sz w:val="24"/>
          <w:szCs w:val="24"/>
        </w:rPr>
        <w:t xml:space="preserve"> key demographic variables, some significant </w:t>
      </w:r>
      <w:r w:rsidR="009C4C61" w:rsidRPr="008C4065">
        <w:rPr>
          <w:rFonts w:ascii="Times New Roman" w:hAnsi="Times New Roman"/>
          <w:sz w:val="24"/>
          <w:szCs w:val="24"/>
        </w:rPr>
        <w:t>associations</w:t>
      </w:r>
      <w:r w:rsidRPr="008C4065">
        <w:rPr>
          <w:rFonts w:ascii="Times New Roman" w:hAnsi="Times New Roman"/>
          <w:sz w:val="24"/>
          <w:szCs w:val="24"/>
        </w:rPr>
        <w:t xml:space="preserve"> were </w:t>
      </w:r>
      <w:r w:rsidR="005C7BF9" w:rsidRPr="008C4065">
        <w:rPr>
          <w:rFonts w:ascii="Times New Roman" w:hAnsi="Times New Roman"/>
          <w:sz w:val="24"/>
          <w:szCs w:val="24"/>
        </w:rPr>
        <w:t>found</w:t>
      </w:r>
      <w:r w:rsidRPr="008C4065">
        <w:rPr>
          <w:rFonts w:ascii="Times New Roman" w:hAnsi="Times New Roman"/>
          <w:sz w:val="24"/>
          <w:szCs w:val="24"/>
        </w:rPr>
        <w:t xml:space="preserve">.  Age correlated with blood </w:t>
      </w:r>
      <w:r w:rsidR="00B9088E" w:rsidRPr="008C4065">
        <w:rPr>
          <w:rFonts w:ascii="Times New Roman" w:hAnsi="Times New Roman"/>
          <w:sz w:val="24"/>
          <w:szCs w:val="24"/>
        </w:rPr>
        <w:t>Cd and</w:t>
      </w:r>
      <w:r w:rsidR="003E42B3" w:rsidRPr="008C4065">
        <w:rPr>
          <w:rFonts w:ascii="Times New Roman" w:hAnsi="Times New Roman"/>
          <w:sz w:val="24"/>
          <w:szCs w:val="24"/>
        </w:rPr>
        <w:t xml:space="preserve"> Se, </w:t>
      </w:r>
      <w:r w:rsidR="00B9088E" w:rsidRPr="008C4065">
        <w:rPr>
          <w:rFonts w:ascii="Times New Roman" w:hAnsi="Times New Roman"/>
          <w:sz w:val="24"/>
          <w:szCs w:val="24"/>
        </w:rPr>
        <w:t xml:space="preserve">as well as with </w:t>
      </w:r>
      <w:r w:rsidR="003E42B3" w:rsidRPr="008C4065">
        <w:rPr>
          <w:rFonts w:ascii="Times New Roman" w:hAnsi="Times New Roman"/>
          <w:sz w:val="24"/>
          <w:szCs w:val="24"/>
        </w:rPr>
        <w:t>urinary Ni, Zn</w:t>
      </w:r>
      <w:r w:rsidR="001B3ECA" w:rsidRPr="008C4065">
        <w:rPr>
          <w:rFonts w:ascii="Times New Roman" w:hAnsi="Times New Roman"/>
          <w:sz w:val="24"/>
          <w:szCs w:val="24"/>
        </w:rPr>
        <w:t>, and As.</w:t>
      </w:r>
      <w:r w:rsidRPr="008C4065">
        <w:rPr>
          <w:rFonts w:ascii="Times New Roman" w:hAnsi="Times New Roman"/>
          <w:sz w:val="24"/>
          <w:szCs w:val="24"/>
        </w:rPr>
        <w:t xml:space="preserve"> The number of years working in </w:t>
      </w:r>
      <w:r w:rsidR="00B9088E" w:rsidRPr="008C4065">
        <w:rPr>
          <w:rFonts w:ascii="Times New Roman" w:hAnsi="Times New Roman"/>
          <w:sz w:val="24"/>
          <w:szCs w:val="24"/>
        </w:rPr>
        <w:t>e-</w:t>
      </w:r>
      <w:r w:rsidR="00C02FB6" w:rsidRPr="008C4065">
        <w:rPr>
          <w:rFonts w:ascii="Times New Roman" w:hAnsi="Times New Roman"/>
          <w:sz w:val="24"/>
          <w:szCs w:val="24"/>
        </w:rPr>
        <w:t xml:space="preserve">waste correlated with blood </w:t>
      </w:r>
      <w:r w:rsidR="00535F2E" w:rsidRPr="008C4065">
        <w:rPr>
          <w:rFonts w:ascii="Times New Roman" w:hAnsi="Times New Roman"/>
          <w:sz w:val="24"/>
          <w:szCs w:val="24"/>
        </w:rPr>
        <w:t>Cu, Zn</w:t>
      </w:r>
      <w:r w:rsidRPr="008C4065">
        <w:rPr>
          <w:rFonts w:ascii="Times New Roman" w:hAnsi="Times New Roman"/>
          <w:sz w:val="24"/>
          <w:szCs w:val="24"/>
        </w:rPr>
        <w:t>, Cd, Se,</w:t>
      </w:r>
      <w:r w:rsidR="00C02FB6" w:rsidRPr="008C4065">
        <w:rPr>
          <w:rFonts w:ascii="Times New Roman" w:hAnsi="Times New Roman"/>
          <w:sz w:val="24"/>
          <w:szCs w:val="24"/>
        </w:rPr>
        <w:t xml:space="preserve"> and</w:t>
      </w:r>
      <w:r w:rsidRPr="008C4065">
        <w:rPr>
          <w:rFonts w:ascii="Times New Roman" w:hAnsi="Times New Roman"/>
          <w:sz w:val="24"/>
          <w:szCs w:val="24"/>
        </w:rPr>
        <w:t xml:space="preserve"> Hg, </w:t>
      </w:r>
      <w:r w:rsidR="00535F2E" w:rsidRPr="008C4065">
        <w:rPr>
          <w:rFonts w:ascii="Times New Roman" w:hAnsi="Times New Roman"/>
          <w:sz w:val="24"/>
          <w:szCs w:val="24"/>
        </w:rPr>
        <w:t>as well as with urinary Ni</w:t>
      </w:r>
      <w:r w:rsidRPr="008C4065">
        <w:rPr>
          <w:rFonts w:ascii="Times New Roman" w:hAnsi="Times New Roman"/>
          <w:sz w:val="24"/>
          <w:szCs w:val="24"/>
        </w:rPr>
        <w:t xml:space="preserve"> and Pb.</w:t>
      </w:r>
      <w:r w:rsidR="0028622A" w:rsidRPr="008C4065">
        <w:rPr>
          <w:rFonts w:ascii="Times New Roman" w:hAnsi="Times New Roman"/>
          <w:sz w:val="24"/>
          <w:szCs w:val="24"/>
        </w:rPr>
        <w:t xml:space="preserve">  </w:t>
      </w:r>
      <w:r w:rsidR="00F82AE8" w:rsidRPr="008C4065">
        <w:rPr>
          <w:rFonts w:ascii="Times New Roman" w:hAnsi="Times New Roman"/>
          <w:sz w:val="24"/>
          <w:szCs w:val="24"/>
        </w:rPr>
        <w:t xml:space="preserve">There was no association </w:t>
      </w:r>
      <w:r w:rsidR="000F2BD8" w:rsidRPr="008C4065">
        <w:rPr>
          <w:rFonts w:ascii="Times New Roman" w:hAnsi="Times New Roman"/>
          <w:sz w:val="24"/>
          <w:szCs w:val="24"/>
        </w:rPr>
        <w:t xml:space="preserve">between </w:t>
      </w:r>
      <w:r w:rsidR="00C02FB6" w:rsidRPr="008C4065">
        <w:rPr>
          <w:rFonts w:ascii="Times New Roman" w:hAnsi="Times New Roman"/>
          <w:sz w:val="24"/>
          <w:szCs w:val="24"/>
        </w:rPr>
        <w:t xml:space="preserve">blood or </w:t>
      </w:r>
      <w:r w:rsidR="00E23135" w:rsidRPr="008C4065">
        <w:rPr>
          <w:rFonts w:ascii="Times New Roman" w:hAnsi="Times New Roman"/>
          <w:sz w:val="24"/>
          <w:szCs w:val="24"/>
        </w:rPr>
        <w:t>u</w:t>
      </w:r>
      <w:r w:rsidR="00F36430" w:rsidRPr="008C4065">
        <w:rPr>
          <w:rFonts w:ascii="Times New Roman" w:hAnsi="Times New Roman"/>
          <w:sz w:val="24"/>
          <w:szCs w:val="24"/>
        </w:rPr>
        <w:t>rinary element</w:t>
      </w:r>
      <w:r w:rsidR="007E632C" w:rsidRPr="008C4065">
        <w:rPr>
          <w:rFonts w:ascii="Times New Roman" w:hAnsi="Times New Roman"/>
          <w:sz w:val="24"/>
          <w:szCs w:val="24"/>
        </w:rPr>
        <w:t>s</w:t>
      </w:r>
      <w:r w:rsidR="0095594F" w:rsidRPr="008C4065">
        <w:rPr>
          <w:rFonts w:ascii="Times New Roman" w:hAnsi="Times New Roman"/>
          <w:sz w:val="24"/>
          <w:szCs w:val="24"/>
        </w:rPr>
        <w:t xml:space="preserve"> </w:t>
      </w:r>
      <w:r w:rsidR="00547B8C" w:rsidRPr="008C4065">
        <w:rPr>
          <w:rFonts w:ascii="Times New Roman" w:hAnsi="Times New Roman"/>
          <w:sz w:val="24"/>
          <w:szCs w:val="24"/>
        </w:rPr>
        <w:t xml:space="preserve">and </w:t>
      </w:r>
      <w:r w:rsidR="00F82AE8" w:rsidRPr="008C4065">
        <w:rPr>
          <w:rFonts w:ascii="Times New Roman" w:hAnsi="Times New Roman"/>
          <w:sz w:val="24"/>
          <w:szCs w:val="24"/>
        </w:rPr>
        <w:t xml:space="preserve">participant’s </w:t>
      </w:r>
      <w:r w:rsidR="001853C9">
        <w:rPr>
          <w:rFonts w:ascii="Times New Roman" w:hAnsi="Times New Roman"/>
          <w:sz w:val="24"/>
          <w:szCs w:val="24"/>
        </w:rPr>
        <w:t>income or</w:t>
      </w:r>
      <w:r w:rsidR="00657EBE" w:rsidRPr="008C4065">
        <w:rPr>
          <w:rFonts w:ascii="Times New Roman" w:hAnsi="Times New Roman"/>
          <w:sz w:val="24"/>
          <w:szCs w:val="24"/>
        </w:rPr>
        <w:t xml:space="preserve"> education level (except urinary Ni which was highest amongst those with secondary education).</w:t>
      </w:r>
      <w:r w:rsidR="00B057B3" w:rsidRPr="00FF2251">
        <w:rPr>
          <w:rFonts w:ascii="Times New Roman" w:hAnsi="Times New Roman"/>
          <w:sz w:val="24"/>
          <w:szCs w:val="24"/>
        </w:rPr>
        <w:t xml:space="preserve">  </w:t>
      </w:r>
    </w:p>
    <w:p w14:paraId="7E8E4A69" w14:textId="77777777" w:rsidR="00657EBE" w:rsidRPr="00FF2251" w:rsidRDefault="00657EBE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695D665C" w14:textId="776E0787" w:rsidR="0059697F" w:rsidRPr="00FF2251" w:rsidRDefault="00C63D18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F2251">
        <w:rPr>
          <w:rFonts w:ascii="Times New Roman" w:hAnsi="Times New Roman"/>
          <w:sz w:val="24"/>
          <w:szCs w:val="24"/>
        </w:rPr>
        <w:t>T</w:t>
      </w:r>
      <w:r w:rsidR="0059697F" w:rsidRPr="00FF2251">
        <w:rPr>
          <w:rFonts w:ascii="Times New Roman" w:hAnsi="Times New Roman"/>
          <w:sz w:val="24"/>
          <w:szCs w:val="24"/>
        </w:rPr>
        <w:t xml:space="preserve">he </w:t>
      </w:r>
      <w:r w:rsidR="005E42B5">
        <w:rPr>
          <w:rFonts w:ascii="Times New Roman" w:hAnsi="Times New Roman"/>
          <w:sz w:val="24"/>
          <w:szCs w:val="24"/>
        </w:rPr>
        <w:t>elemental biomarker data</w:t>
      </w:r>
      <w:r w:rsidRPr="00FF2251">
        <w:rPr>
          <w:rFonts w:ascii="Times New Roman" w:hAnsi="Times New Roman"/>
          <w:sz w:val="24"/>
          <w:szCs w:val="24"/>
        </w:rPr>
        <w:t xml:space="preserve"> were </w:t>
      </w:r>
      <w:r w:rsidR="00535F2E">
        <w:rPr>
          <w:rFonts w:ascii="Times New Roman" w:hAnsi="Times New Roman"/>
          <w:sz w:val="24"/>
          <w:szCs w:val="24"/>
        </w:rPr>
        <w:t xml:space="preserve">evaluated by </w:t>
      </w:r>
      <w:r w:rsidRPr="00FF2251">
        <w:rPr>
          <w:rFonts w:ascii="Times New Roman" w:hAnsi="Times New Roman"/>
          <w:sz w:val="24"/>
          <w:szCs w:val="24"/>
        </w:rPr>
        <w:t xml:space="preserve">self-reported job </w:t>
      </w:r>
      <w:r w:rsidR="001853C9">
        <w:rPr>
          <w:rFonts w:ascii="Times New Roman" w:hAnsi="Times New Roman"/>
          <w:sz w:val="24"/>
          <w:szCs w:val="24"/>
        </w:rPr>
        <w:t>categories</w:t>
      </w:r>
      <w:r w:rsidRPr="00FF2251">
        <w:rPr>
          <w:rFonts w:ascii="Times New Roman" w:hAnsi="Times New Roman"/>
          <w:sz w:val="24"/>
          <w:szCs w:val="24"/>
        </w:rPr>
        <w:t>.  In the first analys</w:t>
      </w:r>
      <w:r w:rsidR="00650EFE">
        <w:rPr>
          <w:rFonts w:ascii="Times New Roman" w:hAnsi="Times New Roman"/>
          <w:sz w:val="24"/>
          <w:szCs w:val="24"/>
        </w:rPr>
        <w:t>i</w:t>
      </w:r>
      <w:r w:rsidRPr="00FF2251">
        <w:rPr>
          <w:rFonts w:ascii="Times New Roman" w:hAnsi="Times New Roman"/>
          <w:sz w:val="24"/>
          <w:szCs w:val="24"/>
        </w:rPr>
        <w:t xml:space="preserve">s, </w:t>
      </w:r>
      <w:r w:rsidR="00254D6A" w:rsidRPr="00FF2251">
        <w:rPr>
          <w:rFonts w:ascii="Times New Roman" w:hAnsi="Times New Roman"/>
          <w:sz w:val="24"/>
          <w:szCs w:val="24"/>
        </w:rPr>
        <w:t xml:space="preserve">the number of job </w:t>
      </w:r>
      <w:r w:rsidR="001853C9">
        <w:rPr>
          <w:rFonts w:ascii="Times New Roman" w:hAnsi="Times New Roman"/>
          <w:sz w:val="24"/>
          <w:szCs w:val="24"/>
        </w:rPr>
        <w:t>categories</w:t>
      </w:r>
      <w:r w:rsidR="00254D6A" w:rsidRPr="00FF2251">
        <w:rPr>
          <w:rFonts w:ascii="Times New Roman" w:hAnsi="Times New Roman"/>
          <w:sz w:val="24"/>
          <w:szCs w:val="24"/>
        </w:rPr>
        <w:t xml:space="preserve"> </w:t>
      </w:r>
      <w:r w:rsidR="00C02FB6" w:rsidRPr="00FF2251">
        <w:rPr>
          <w:rFonts w:ascii="Times New Roman" w:hAnsi="Times New Roman"/>
          <w:sz w:val="24"/>
          <w:szCs w:val="24"/>
        </w:rPr>
        <w:t xml:space="preserve">a person reported to be actively involved with </w:t>
      </w:r>
      <w:r w:rsidR="00254D6A" w:rsidRPr="00FF2251">
        <w:rPr>
          <w:rFonts w:ascii="Times New Roman" w:hAnsi="Times New Roman"/>
          <w:sz w:val="24"/>
          <w:szCs w:val="24"/>
        </w:rPr>
        <w:t xml:space="preserve">was related to the </w:t>
      </w:r>
      <w:r w:rsidR="005E42B5">
        <w:rPr>
          <w:rFonts w:ascii="Times New Roman" w:hAnsi="Times New Roman"/>
          <w:sz w:val="24"/>
          <w:szCs w:val="24"/>
        </w:rPr>
        <w:t>elemental biomarker</w:t>
      </w:r>
      <w:r w:rsidR="005E42B5" w:rsidRPr="00FF2251">
        <w:rPr>
          <w:rFonts w:ascii="Times New Roman" w:hAnsi="Times New Roman"/>
          <w:sz w:val="24"/>
          <w:szCs w:val="24"/>
        </w:rPr>
        <w:t xml:space="preserve"> </w:t>
      </w:r>
      <w:r w:rsidR="00254D6A" w:rsidRPr="00FF2251">
        <w:rPr>
          <w:rFonts w:ascii="Times New Roman" w:hAnsi="Times New Roman"/>
          <w:sz w:val="24"/>
          <w:szCs w:val="24"/>
        </w:rPr>
        <w:t xml:space="preserve">values, and no significant correlations were found.  Second, </w:t>
      </w:r>
      <w:r w:rsidR="00254D6A" w:rsidRPr="005E42B5">
        <w:rPr>
          <w:rFonts w:ascii="Times New Roman" w:hAnsi="Times New Roman"/>
          <w:sz w:val="24"/>
          <w:szCs w:val="24"/>
        </w:rPr>
        <w:t xml:space="preserve">the </w:t>
      </w:r>
      <w:r w:rsidR="005E42B5" w:rsidRPr="005E42B5">
        <w:rPr>
          <w:rFonts w:ascii="Times New Roman" w:hAnsi="Times New Roman"/>
          <w:sz w:val="24"/>
          <w:szCs w:val="24"/>
        </w:rPr>
        <w:t xml:space="preserve">elemental biomarker </w:t>
      </w:r>
      <w:r w:rsidRPr="005E42B5">
        <w:rPr>
          <w:rFonts w:ascii="Times New Roman" w:hAnsi="Times New Roman"/>
          <w:sz w:val="24"/>
          <w:szCs w:val="24"/>
        </w:rPr>
        <w:t xml:space="preserve">values were compared between individuals indicating “Yes” to currently performing a task versus those indicating “No” with some significant differences.  Notably, those who sorted e-waste had blood Pb levels that were significantly higher (2.2-fold) than those who did not, and those who performed burning activities had urinary Cu and Zn values that were 1.7-fold </w:t>
      </w:r>
      <w:r w:rsidRPr="00353FA5">
        <w:rPr>
          <w:rFonts w:ascii="Times New Roman" w:hAnsi="Times New Roman"/>
          <w:sz w:val="24"/>
          <w:szCs w:val="24"/>
        </w:rPr>
        <w:t>higher than those who did not.</w:t>
      </w:r>
      <w:r w:rsidR="00F357ED" w:rsidRPr="00353FA5">
        <w:rPr>
          <w:rFonts w:ascii="Times New Roman" w:hAnsi="Times New Roman"/>
          <w:sz w:val="24"/>
          <w:szCs w:val="24"/>
        </w:rPr>
        <w:t xml:space="preserve">  Third, </w:t>
      </w:r>
      <w:r w:rsidR="005E42B5" w:rsidRPr="00353FA5">
        <w:rPr>
          <w:rFonts w:ascii="Times New Roman" w:hAnsi="Times New Roman"/>
          <w:sz w:val="24"/>
          <w:szCs w:val="24"/>
        </w:rPr>
        <w:t xml:space="preserve">elemental biomarker </w:t>
      </w:r>
      <w:r w:rsidR="00F357ED" w:rsidRPr="00353FA5">
        <w:rPr>
          <w:rFonts w:ascii="Times New Roman" w:hAnsi="Times New Roman"/>
          <w:sz w:val="24"/>
          <w:szCs w:val="24"/>
        </w:rPr>
        <w:t xml:space="preserve">values were compared against </w:t>
      </w:r>
      <w:r w:rsidR="00C02FB6" w:rsidRPr="00353FA5">
        <w:rPr>
          <w:rFonts w:ascii="Times New Roman" w:hAnsi="Times New Roman"/>
          <w:sz w:val="24"/>
          <w:szCs w:val="24"/>
        </w:rPr>
        <w:t xml:space="preserve">the main job activity participants reported being involved with over the </w:t>
      </w:r>
      <w:r w:rsidR="00254D6A" w:rsidRPr="00353FA5">
        <w:rPr>
          <w:rFonts w:ascii="Times New Roman" w:hAnsi="Times New Roman"/>
          <w:sz w:val="24"/>
          <w:szCs w:val="24"/>
        </w:rPr>
        <w:t xml:space="preserve">preceding </w:t>
      </w:r>
      <w:r w:rsidR="00C55BC7">
        <w:rPr>
          <w:rFonts w:ascii="Times New Roman" w:hAnsi="Times New Roman"/>
          <w:sz w:val="24"/>
          <w:szCs w:val="24"/>
        </w:rPr>
        <w:t>six</w:t>
      </w:r>
      <w:r w:rsidR="00254D6A" w:rsidRPr="00353FA5">
        <w:rPr>
          <w:rFonts w:ascii="Times New Roman" w:hAnsi="Times New Roman"/>
          <w:sz w:val="24"/>
          <w:szCs w:val="24"/>
        </w:rPr>
        <w:t xml:space="preserve"> months</w:t>
      </w:r>
      <w:r w:rsidR="00F357ED" w:rsidRPr="00353FA5">
        <w:rPr>
          <w:rFonts w:ascii="Times New Roman" w:hAnsi="Times New Roman"/>
          <w:sz w:val="24"/>
          <w:szCs w:val="24"/>
        </w:rPr>
        <w:t xml:space="preserve"> (</w:t>
      </w:r>
      <w:r w:rsidR="009C4C61" w:rsidRPr="00353FA5">
        <w:rPr>
          <w:rFonts w:ascii="Times New Roman" w:hAnsi="Times New Roman"/>
          <w:sz w:val="24"/>
          <w:szCs w:val="24"/>
        </w:rPr>
        <w:t>Figure 1</w:t>
      </w:r>
      <w:r w:rsidR="00F357ED" w:rsidRPr="00353FA5">
        <w:rPr>
          <w:rFonts w:ascii="Times New Roman" w:hAnsi="Times New Roman"/>
          <w:sz w:val="24"/>
          <w:szCs w:val="24"/>
        </w:rPr>
        <w:t xml:space="preserve">).  No significant </w:t>
      </w:r>
      <w:r w:rsidR="00C02FB6" w:rsidRPr="00353FA5">
        <w:rPr>
          <w:rFonts w:ascii="Times New Roman" w:hAnsi="Times New Roman"/>
          <w:sz w:val="24"/>
          <w:szCs w:val="24"/>
        </w:rPr>
        <w:t>differences</w:t>
      </w:r>
      <w:r w:rsidR="00F357ED" w:rsidRPr="00353FA5">
        <w:rPr>
          <w:rFonts w:ascii="Times New Roman" w:hAnsi="Times New Roman"/>
          <w:sz w:val="24"/>
          <w:szCs w:val="24"/>
        </w:rPr>
        <w:t xml:space="preserve"> were found, but the two workers who selected “burning electronic</w:t>
      </w:r>
      <w:r w:rsidR="00F357ED" w:rsidRPr="005E42B5">
        <w:rPr>
          <w:rFonts w:ascii="Times New Roman" w:hAnsi="Times New Roman"/>
          <w:sz w:val="24"/>
          <w:szCs w:val="24"/>
        </w:rPr>
        <w:t xml:space="preserve"> waste” had amongst the highest levels of most </w:t>
      </w:r>
      <w:r w:rsidR="005E42B5" w:rsidRPr="005E42B5">
        <w:rPr>
          <w:rFonts w:ascii="Times New Roman" w:hAnsi="Times New Roman"/>
          <w:sz w:val="24"/>
          <w:szCs w:val="24"/>
        </w:rPr>
        <w:t>elemental biomarkers</w:t>
      </w:r>
      <w:r w:rsidR="00F357ED" w:rsidRPr="005E42B5">
        <w:rPr>
          <w:rFonts w:ascii="Times New Roman" w:hAnsi="Times New Roman"/>
          <w:sz w:val="24"/>
          <w:szCs w:val="24"/>
        </w:rPr>
        <w:t xml:space="preserve">.  Those who indicated to “sorting e-waste” </w:t>
      </w:r>
      <w:r w:rsidR="00386703">
        <w:rPr>
          <w:rFonts w:ascii="Times New Roman" w:hAnsi="Times New Roman"/>
          <w:sz w:val="24"/>
          <w:szCs w:val="24"/>
        </w:rPr>
        <w:t xml:space="preserve">as their </w:t>
      </w:r>
      <w:r w:rsidR="001853C9">
        <w:rPr>
          <w:rFonts w:ascii="Times New Roman" w:hAnsi="Times New Roman"/>
          <w:sz w:val="24"/>
          <w:szCs w:val="24"/>
        </w:rPr>
        <w:t>main</w:t>
      </w:r>
      <w:r w:rsidR="00386703">
        <w:rPr>
          <w:rFonts w:ascii="Times New Roman" w:hAnsi="Times New Roman"/>
          <w:sz w:val="24"/>
          <w:szCs w:val="24"/>
        </w:rPr>
        <w:t xml:space="preserve"> activity </w:t>
      </w:r>
      <w:r w:rsidR="00F357ED" w:rsidRPr="005E42B5">
        <w:rPr>
          <w:rFonts w:ascii="Times New Roman" w:hAnsi="Times New Roman"/>
          <w:sz w:val="24"/>
          <w:szCs w:val="24"/>
        </w:rPr>
        <w:t>had amongst the lowest exposures to</w:t>
      </w:r>
      <w:r w:rsidR="00C02FB6" w:rsidRPr="005E42B5">
        <w:rPr>
          <w:rFonts w:ascii="Times New Roman" w:hAnsi="Times New Roman"/>
          <w:sz w:val="24"/>
          <w:szCs w:val="24"/>
        </w:rPr>
        <w:t xml:space="preserve"> all </w:t>
      </w:r>
      <w:r w:rsidR="005E42B5" w:rsidRPr="005E42B5">
        <w:rPr>
          <w:rFonts w:ascii="Times New Roman" w:hAnsi="Times New Roman"/>
          <w:sz w:val="24"/>
          <w:szCs w:val="24"/>
        </w:rPr>
        <w:t>elements</w:t>
      </w:r>
      <w:r w:rsidR="00C02FB6" w:rsidRPr="005E42B5">
        <w:rPr>
          <w:rFonts w:ascii="Times New Roman" w:hAnsi="Times New Roman"/>
          <w:sz w:val="24"/>
          <w:szCs w:val="24"/>
        </w:rPr>
        <w:t>.</w:t>
      </w:r>
    </w:p>
    <w:p w14:paraId="370FC994" w14:textId="77777777" w:rsidR="00734AE6" w:rsidRPr="00FF2251" w:rsidRDefault="00734AE6" w:rsidP="00FF225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7CCD4D8F" w14:textId="43D027FF" w:rsidR="005C4A41" w:rsidRPr="00FF2251" w:rsidRDefault="00C02FB6" w:rsidP="00FF2251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FF2251">
        <w:rPr>
          <w:rFonts w:ascii="Times New Roman" w:hAnsi="Times New Roman"/>
          <w:i/>
          <w:sz w:val="24"/>
          <w:szCs w:val="24"/>
        </w:rPr>
        <w:t xml:space="preserve">3.6 </w:t>
      </w:r>
      <w:r w:rsidR="00734AE6" w:rsidRPr="00FF2251">
        <w:rPr>
          <w:rFonts w:ascii="Times New Roman" w:hAnsi="Times New Roman"/>
          <w:i/>
          <w:sz w:val="24"/>
          <w:szCs w:val="24"/>
        </w:rPr>
        <w:t>Female Participants</w:t>
      </w:r>
    </w:p>
    <w:p w14:paraId="549D5914" w14:textId="5BBC6691" w:rsidR="006E5FDE" w:rsidRDefault="00581297" w:rsidP="006E5FDE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9C4C61">
        <w:rPr>
          <w:rFonts w:ascii="Times New Roman" w:hAnsi="Times New Roman"/>
          <w:sz w:val="24"/>
          <w:szCs w:val="24"/>
        </w:rPr>
        <w:t xml:space="preserve">There were 11 females recruited into </w:t>
      </w:r>
      <w:r w:rsidR="00E911F9">
        <w:rPr>
          <w:rFonts w:ascii="Times New Roman" w:hAnsi="Times New Roman"/>
          <w:sz w:val="24"/>
          <w:szCs w:val="24"/>
        </w:rPr>
        <w:t>an exploratory</w:t>
      </w:r>
      <w:r w:rsidR="00E911F9" w:rsidRPr="009C4C61">
        <w:rPr>
          <w:rFonts w:ascii="Times New Roman" w:hAnsi="Times New Roman"/>
          <w:sz w:val="24"/>
          <w:szCs w:val="24"/>
        </w:rPr>
        <w:t xml:space="preserve"> </w:t>
      </w:r>
      <w:r w:rsidRPr="009C4C61">
        <w:rPr>
          <w:rFonts w:ascii="Times New Roman" w:hAnsi="Times New Roman"/>
          <w:sz w:val="24"/>
          <w:szCs w:val="24"/>
        </w:rPr>
        <w:t xml:space="preserve">study to increase understanding of their situation </w:t>
      </w:r>
      <w:r w:rsidR="000C6759" w:rsidRPr="009C4C61">
        <w:rPr>
          <w:rFonts w:ascii="Times New Roman" w:hAnsi="Times New Roman"/>
          <w:sz w:val="24"/>
          <w:szCs w:val="24"/>
        </w:rPr>
        <w:t xml:space="preserve">as workers </w:t>
      </w:r>
      <w:r w:rsidR="00C02FB6" w:rsidRPr="009C4C61">
        <w:rPr>
          <w:rFonts w:ascii="Times New Roman" w:hAnsi="Times New Roman"/>
          <w:sz w:val="24"/>
          <w:szCs w:val="24"/>
        </w:rPr>
        <w:t>at Agbogbl</w:t>
      </w:r>
      <w:r w:rsidR="008C4065">
        <w:rPr>
          <w:rFonts w:ascii="Times New Roman" w:hAnsi="Times New Roman"/>
          <w:sz w:val="24"/>
          <w:szCs w:val="24"/>
        </w:rPr>
        <w:t>os</w:t>
      </w:r>
      <w:r w:rsidR="00C02FB6" w:rsidRPr="009C4C61">
        <w:rPr>
          <w:rFonts w:ascii="Times New Roman" w:hAnsi="Times New Roman"/>
          <w:sz w:val="24"/>
          <w:szCs w:val="24"/>
        </w:rPr>
        <w:t>hie</w:t>
      </w:r>
      <w:r w:rsidR="006E5FDE">
        <w:rPr>
          <w:rFonts w:ascii="Times New Roman" w:hAnsi="Times New Roman"/>
          <w:sz w:val="24"/>
          <w:szCs w:val="24"/>
        </w:rPr>
        <w:t xml:space="preserve"> who service the site</w:t>
      </w:r>
      <w:r w:rsidRPr="009C4C61">
        <w:rPr>
          <w:rFonts w:ascii="Times New Roman" w:hAnsi="Times New Roman"/>
          <w:sz w:val="24"/>
          <w:szCs w:val="24"/>
        </w:rPr>
        <w:t>.  None of</w:t>
      </w:r>
      <w:r w:rsidRPr="00FF2251">
        <w:rPr>
          <w:rFonts w:ascii="Times New Roman" w:hAnsi="Times New Roman"/>
          <w:sz w:val="24"/>
          <w:szCs w:val="24"/>
        </w:rPr>
        <w:t xml:space="preserve"> these women performed any tasks directly relate</w:t>
      </w:r>
      <w:r w:rsidR="0064039B" w:rsidRPr="00FF2251">
        <w:rPr>
          <w:rFonts w:ascii="Times New Roman" w:hAnsi="Times New Roman"/>
          <w:sz w:val="24"/>
          <w:szCs w:val="24"/>
        </w:rPr>
        <w:t xml:space="preserve">d to </w:t>
      </w:r>
      <w:r w:rsidR="00C02FB6" w:rsidRPr="00FF2251">
        <w:rPr>
          <w:rFonts w:ascii="Times New Roman" w:hAnsi="Times New Roman"/>
          <w:sz w:val="24"/>
          <w:szCs w:val="24"/>
        </w:rPr>
        <w:t>e-waste</w:t>
      </w:r>
      <w:r w:rsidR="0064039B" w:rsidRPr="00FF2251">
        <w:rPr>
          <w:rFonts w:ascii="Times New Roman" w:hAnsi="Times New Roman"/>
          <w:sz w:val="24"/>
          <w:szCs w:val="24"/>
        </w:rPr>
        <w:t xml:space="preserve"> recycling, rather they were all involved in selling items including food and drinks (n=7) and/or cigarettes (n=3).  </w:t>
      </w:r>
      <w:r w:rsidR="00C02FB6" w:rsidRPr="00FF2251">
        <w:rPr>
          <w:rFonts w:ascii="Times New Roman" w:hAnsi="Times New Roman"/>
          <w:sz w:val="24"/>
          <w:szCs w:val="24"/>
        </w:rPr>
        <w:t>There</w:t>
      </w:r>
      <w:r w:rsidRPr="00FF2251">
        <w:rPr>
          <w:rFonts w:ascii="Times New Roman" w:hAnsi="Times New Roman"/>
          <w:sz w:val="24"/>
          <w:szCs w:val="24"/>
        </w:rPr>
        <w:t xml:space="preserve"> was no </w:t>
      </w:r>
      <w:r w:rsidR="0064039B" w:rsidRPr="00FF2251">
        <w:rPr>
          <w:rFonts w:ascii="Times New Roman" w:hAnsi="Times New Roman"/>
          <w:sz w:val="24"/>
          <w:szCs w:val="24"/>
        </w:rPr>
        <w:t xml:space="preserve">age difference between males and females, with females being </w:t>
      </w:r>
      <w:r w:rsidRPr="00FF2251">
        <w:rPr>
          <w:rFonts w:ascii="Times New Roman" w:hAnsi="Times New Roman"/>
          <w:sz w:val="24"/>
          <w:szCs w:val="24"/>
        </w:rPr>
        <w:t>26.</w:t>
      </w:r>
      <w:r w:rsidRPr="005E42B5">
        <w:rPr>
          <w:rFonts w:ascii="Times New Roman" w:hAnsi="Times New Roman"/>
          <w:sz w:val="24"/>
          <w:szCs w:val="24"/>
        </w:rPr>
        <w:t>0</w:t>
      </w:r>
      <w:r w:rsidR="00C246ED" w:rsidRPr="005E42B5">
        <w:rPr>
          <w:rFonts w:ascii="Times New Roman" w:hAnsi="Times New Roman"/>
          <w:sz w:val="24"/>
          <w:szCs w:val="24"/>
        </w:rPr>
        <w:t xml:space="preserve"> (</w:t>
      </w:r>
      <w:r w:rsidRPr="005E42B5">
        <w:rPr>
          <w:rFonts w:ascii="Times New Roman" w:hAnsi="Times New Roman"/>
          <w:sz w:val="24"/>
          <w:szCs w:val="24"/>
        </w:rPr>
        <w:t>12.8</w:t>
      </w:r>
      <w:r w:rsidR="00C246ED" w:rsidRPr="005E42B5">
        <w:rPr>
          <w:rFonts w:ascii="Times New Roman" w:hAnsi="Times New Roman"/>
          <w:sz w:val="24"/>
          <w:szCs w:val="24"/>
        </w:rPr>
        <w:t>)</w:t>
      </w:r>
      <w:r w:rsidR="0064039B" w:rsidRPr="005E42B5">
        <w:rPr>
          <w:rFonts w:ascii="Times New Roman" w:hAnsi="Times New Roman"/>
          <w:sz w:val="24"/>
          <w:szCs w:val="24"/>
        </w:rPr>
        <w:t xml:space="preserve"> years and ranging in </w:t>
      </w:r>
      <w:r w:rsidR="00C246ED" w:rsidRPr="005E42B5">
        <w:rPr>
          <w:rFonts w:ascii="Times New Roman" w:hAnsi="Times New Roman"/>
          <w:sz w:val="24"/>
          <w:szCs w:val="24"/>
        </w:rPr>
        <w:t xml:space="preserve">age from 18 to </w:t>
      </w:r>
      <w:r w:rsidRPr="005E42B5">
        <w:rPr>
          <w:rFonts w:ascii="Times New Roman" w:hAnsi="Times New Roman"/>
          <w:sz w:val="24"/>
          <w:szCs w:val="24"/>
        </w:rPr>
        <w:t>43</w:t>
      </w:r>
      <w:r w:rsidR="00C246ED" w:rsidRPr="005E42B5">
        <w:rPr>
          <w:rFonts w:ascii="Times New Roman" w:hAnsi="Times New Roman"/>
          <w:sz w:val="24"/>
          <w:szCs w:val="24"/>
        </w:rPr>
        <w:t xml:space="preserve"> (Table 1).  </w:t>
      </w:r>
      <w:r w:rsidR="0064039B" w:rsidRPr="005E42B5">
        <w:rPr>
          <w:rFonts w:ascii="Times New Roman" w:hAnsi="Times New Roman"/>
          <w:sz w:val="24"/>
          <w:szCs w:val="24"/>
        </w:rPr>
        <w:t>The marital status of the women interviewed</w:t>
      </w:r>
      <w:r w:rsidR="0064039B" w:rsidRPr="00FF2251">
        <w:rPr>
          <w:rFonts w:ascii="Times New Roman" w:hAnsi="Times New Roman"/>
          <w:sz w:val="24"/>
          <w:szCs w:val="24"/>
        </w:rPr>
        <w:t xml:space="preserve"> was similar to that of the males with 27.3% being single and 45.5% being married.</w:t>
      </w:r>
      <w:r w:rsidR="00C246ED" w:rsidRPr="00FF2251">
        <w:rPr>
          <w:rFonts w:ascii="Times New Roman" w:hAnsi="Times New Roman"/>
          <w:sz w:val="24"/>
          <w:szCs w:val="24"/>
        </w:rPr>
        <w:t xml:space="preserve">  </w:t>
      </w:r>
      <w:r w:rsidR="0064039B" w:rsidRPr="00FF2251">
        <w:rPr>
          <w:rFonts w:ascii="Times New Roman" w:hAnsi="Times New Roman"/>
          <w:sz w:val="24"/>
          <w:szCs w:val="24"/>
        </w:rPr>
        <w:t xml:space="preserve">The education of the women was similar to that of the men with nearly </w:t>
      </w:r>
      <w:r w:rsidR="00C246ED" w:rsidRPr="00FF2251">
        <w:rPr>
          <w:rFonts w:ascii="Times New Roman" w:hAnsi="Times New Roman"/>
          <w:sz w:val="24"/>
          <w:szCs w:val="24"/>
        </w:rPr>
        <w:t>half</w:t>
      </w:r>
      <w:r w:rsidR="0064039B" w:rsidRPr="00FF2251">
        <w:rPr>
          <w:rFonts w:ascii="Times New Roman" w:hAnsi="Times New Roman"/>
          <w:sz w:val="24"/>
          <w:szCs w:val="24"/>
        </w:rPr>
        <w:t xml:space="preserve"> of the women</w:t>
      </w:r>
      <w:r w:rsidR="00C246ED" w:rsidRPr="00FF2251">
        <w:rPr>
          <w:rFonts w:ascii="Times New Roman" w:hAnsi="Times New Roman"/>
          <w:sz w:val="24"/>
          <w:szCs w:val="24"/>
        </w:rPr>
        <w:t xml:space="preserve"> (</w:t>
      </w:r>
      <w:r w:rsidR="0064039B" w:rsidRPr="00FF2251">
        <w:rPr>
          <w:rFonts w:ascii="Times New Roman" w:hAnsi="Times New Roman"/>
          <w:sz w:val="24"/>
          <w:szCs w:val="24"/>
        </w:rPr>
        <w:t>45.5</w:t>
      </w:r>
      <w:r w:rsidR="00C246ED" w:rsidRPr="00FF2251">
        <w:rPr>
          <w:rFonts w:ascii="Times New Roman" w:hAnsi="Times New Roman"/>
          <w:sz w:val="24"/>
          <w:szCs w:val="24"/>
        </w:rPr>
        <w:t xml:space="preserve">%) </w:t>
      </w:r>
      <w:r w:rsidR="0064039B" w:rsidRPr="00FF2251">
        <w:rPr>
          <w:rFonts w:ascii="Times New Roman" w:hAnsi="Times New Roman"/>
          <w:sz w:val="24"/>
          <w:szCs w:val="24"/>
        </w:rPr>
        <w:t>having no</w:t>
      </w:r>
      <w:r w:rsidR="00C246ED" w:rsidRPr="00FF2251">
        <w:rPr>
          <w:rFonts w:ascii="Times New Roman" w:hAnsi="Times New Roman"/>
          <w:sz w:val="24"/>
          <w:szCs w:val="24"/>
        </w:rPr>
        <w:t xml:space="preserve"> formal education.  </w:t>
      </w:r>
      <w:r w:rsidR="006E5FDE" w:rsidRPr="00FF2251">
        <w:rPr>
          <w:rFonts w:ascii="Times New Roman" w:hAnsi="Times New Roman"/>
          <w:sz w:val="24"/>
          <w:szCs w:val="24"/>
        </w:rPr>
        <w:t xml:space="preserve">Like the males, more than 50% of the female participants had moved from the North of Ghana.  Most (81.8%) of the females participants slept near Agbogbloshie, 45.6% </w:t>
      </w:r>
      <w:r w:rsidR="006E5FDE">
        <w:rPr>
          <w:rFonts w:ascii="Times New Roman" w:hAnsi="Times New Roman"/>
          <w:sz w:val="24"/>
          <w:szCs w:val="24"/>
        </w:rPr>
        <w:t>slept</w:t>
      </w:r>
      <w:r w:rsidR="006E5FDE" w:rsidRPr="00FF2251">
        <w:rPr>
          <w:rFonts w:ascii="Times New Roman" w:hAnsi="Times New Roman"/>
          <w:sz w:val="24"/>
          <w:szCs w:val="24"/>
        </w:rPr>
        <w:t xml:space="preserve"> inside a kiosk shop, and the mean (SD) number of years lived near Agbogbloshie was 1.8 (1.6) and ranged from 1 month to 5 years.</w:t>
      </w:r>
    </w:p>
    <w:p w14:paraId="0B5B6CA4" w14:textId="3F4BA8F3" w:rsidR="00FF2251" w:rsidRPr="00FF2251" w:rsidRDefault="00FF2251" w:rsidP="00FF22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56CE215D" w14:textId="54748A80" w:rsidR="001853C9" w:rsidRDefault="00E911F9" w:rsidP="001853C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Although limited, differences</w:t>
      </w:r>
      <w:r w:rsidRPr="00FF2251">
        <w:rPr>
          <w:rFonts w:ascii="Times New Roman" w:hAnsi="Times New Roman"/>
          <w:sz w:val="24"/>
          <w:szCs w:val="24"/>
        </w:rPr>
        <w:t xml:space="preserve"> </w:t>
      </w:r>
      <w:r w:rsidR="001853C9">
        <w:rPr>
          <w:rFonts w:ascii="Times New Roman" w:hAnsi="Times New Roman"/>
          <w:sz w:val="24"/>
          <w:szCs w:val="24"/>
        </w:rPr>
        <w:t>in</w:t>
      </w:r>
      <w:r w:rsidR="001853C9" w:rsidRPr="00FF2251">
        <w:rPr>
          <w:rFonts w:ascii="Times New Roman" w:hAnsi="Times New Roman"/>
          <w:sz w:val="24"/>
          <w:szCs w:val="24"/>
        </w:rPr>
        <w:t xml:space="preserve"> </w:t>
      </w:r>
      <w:r w:rsidR="001853C9">
        <w:rPr>
          <w:rFonts w:ascii="Times New Roman" w:hAnsi="Times New Roman"/>
          <w:sz w:val="24"/>
          <w:szCs w:val="24"/>
        </w:rPr>
        <w:t>elemental biomarkers</w:t>
      </w:r>
      <w:r w:rsidR="001853C9" w:rsidRPr="00FF2251">
        <w:rPr>
          <w:rFonts w:ascii="Times New Roman" w:hAnsi="Times New Roman"/>
          <w:sz w:val="24"/>
          <w:szCs w:val="24"/>
        </w:rPr>
        <w:t xml:space="preserve"> w</w:t>
      </w:r>
      <w:r w:rsidR="001853C9">
        <w:rPr>
          <w:rFonts w:ascii="Times New Roman" w:hAnsi="Times New Roman"/>
          <w:sz w:val="24"/>
          <w:szCs w:val="24"/>
        </w:rPr>
        <w:t>ere noted between the female service workers</w:t>
      </w:r>
      <w:r w:rsidR="001853C9" w:rsidRPr="00FF2251">
        <w:rPr>
          <w:rFonts w:ascii="Times New Roman" w:hAnsi="Times New Roman"/>
          <w:sz w:val="24"/>
          <w:szCs w:val="24"/>
        </w:rPr>
        <w:t xml:space="preserve"> (</w:t>
      </w:r>
      <w:r w:rsidR="001853C9">
        <w:rPr>
          <w:rFonts w:ascii="Times New Roman" w:hAnsi="Times New Roman"/>
          <w:sz w:val="24"/>
          <w:szCs w:val="24"/>
        </w:rPr>
        <w:t>Supplemental Table 2</w:t>
      </w:r>
      <w:r w:rsidR="001853C9" w:rsidRPr="00FF2251">
        <w:rPr>
          <w:rFonts w:ascii="Times New Roman" w:hAnsi="Times New Roman"/>
          <w:sz w:val="24"/>
          <w:szCs w:val="24"/>
        </w:rPr>
        <w:t>)</w:t>
      </w:r>
      <w:r w:rsidR="001853C9">
        <w:rPr>
          <w:rFonts w:ascii="Times New Roman" w:hAnsi="Times New Roman"/>
          <w:sz w:val="24"/>
          <w:szCs w:val="24"/>
        </w:rPr>
        <w:t xml:space="preserve"> </w:t>
      </w:r>
      <w:r w:rsidR="001853C9" w:rsidRPr="00FF2251">
        <w:rPr>
          <w:rFonts w:ascii="Times New Roman" w:hAnsi="Times New Roman"/>
          <w:sz w:val="24"/>
          <w:szCs w:val="24"/>
        </w:rPr>
        <w:t>and male</w:t>
      </w:r>
      <w:r w:rsidR="001853C9">
        <w:rPr>
          <w:rFonts w:ascii="Times New Roman" w:hAnsi="Times New Roman"/>
          <w:sz w:val="24"/>
          <w:szCs w:val="24"/>
        </w:rPr>
        <w:t xml:space="preserve"> e-waste worker</w:t>
      </w:r>
      <w:r w:rsidR="001853C9" w:rsidRPr="00FF2251">
        <w:rPr>
          <w:rFonts w:ascii="Times New Roman" w:hAnsi="Times New Roman"/>
          <w:sz w:val="24"/>
          <w:szCs w:val="24"/>
        </w:rPr>
        <w:t>s</w:t>
      </w:r>
      <w:r w:rsidR="001853C9">
        <w:rPr>
          <w:rFonts w:ascii="Times New Roman" w:hAnsi="Times New Roman"/>
          <w:sz w:val="24"/>
          <w:szCs w:val="24"/>
        </w:rPr>
        <w:t xml:space="preserve"> (Table 3)</w:t>
      </w:r>
      <w:r w:rsidR="001853C9" w:rsidRPr="008C4065">
        <w:rPr>
          <w:rFonts w:ascii="Times New Roman" w:hAnsi="Times New Roman"/>
          <w:sz w:val="24"/>
          <w:szCs w:val="24"/>
        </w:rPr>
        <w:t xml:space="preserve">.  </w:t>
      </w:r>
      <w:r w:rsidR="00EB19D2">
        <w:rPr>
          <w:rFonts w:ascii="Times New Roman" w:hAnsi="Times New Roman"/>
          <w:sz w:val="24"/>
          <w:szCs w:val="24"/>
        </w:rPr>
        <w:t>Compared to the males, the median</w:t>
      </w:r>
      <w:r w:rsidR="001853C9" w:rsidRPr="008C4065">
        <w:rPr>
          <w:rFonts w:ascii="Times New Roman" w:hAnsi="Times New Roman"/>
          <w:sz w:val="24"/>
          <w:szCs w:val="24"/>
        </w:rPr>
        <w:t xml:space="preserve"> values were higher </w:t>
      </w:r>
      <w:r w:rsidR="00EB19D2">
        <w:rPr>
          <w:rFonts w:ascii="Times New Roman" w:hAnsi="Times New Roman"/>
          <w:sz w:val="24"/>
          <w:szCs w:val="24"/>
        </w:rPr>
        <w:t>in females</w:t>
      </w:r>
      <w:r w:rsidR="001853C9">
        <w:rPr>
          <w:rFonts w:ascii="Times New Roman" w:hAnsi="Times New Roman"/>
          <w:sz w:val="24"/>
          <w:szCs w:val="24"/>
        </w:rPr>
        <w:t xml:space="preserve"> </w:t>
      </w:r>
      <w:r w:rsidR="00EB19D2">
        <w:rPr>
          <w:rFonts w:ascii="Times New Roman" w:hAnsi="Times New Roman"/>
          <w:sz w:val="24"/>
          <w:szCs w:val="24"/>
        </w:rPr>
        <w:t xml:space="preserve">for several </w:t>
      </w:r>
      <w:r w:rsidR="001853C9" w:rsidRPr="008C4065">
        <w:rPr>
          <w:rFonts w:ascii="Times New Roman" w:hAnsi="Times New Roman"/>
          <w:sz w:val="24"/>
          <w:szCs w:val="24"/>
        </w:rPr>
        <w:t xml:space="preserve">of the studied elements (blood </w:t>
      </w:r>
      <w:r w:rsidR="00EB19D2">
        <w:rPr>
          <w:rFonts w:ascii="Times New Roman" w:hAnsi="Times New Roman"/>
          <w:sz w:val="24"/>
          <w:szCs w:val="24"/>
        </w:rPr>
        <w:t>Cd, Hg, Cu, Mn, Se</w:t>
      </w:r>
      <w:r w:rsidR="001853C9" w:rsidRPr="008C4065">
        <w:rPr>
          <w:rFonts w:ascii="Times New Roman" w:hAnsi="Times New Roman"/>
          <w:sz w:val="24"/>
          <w:szCs w:val="24"/>
        </w:rPr>
        <w:t xml:space="preserve">; urinary </w:t>
      </w:r>
      <w:r w:rsidR="00EB19D2">
        <w:rPr>
          <w:rFonts w:ascii="Times New Roman" w:hAnsi="Times New Roman"/>
          <w:sz w:val="24"/>
          <w:szCs w:val="24"/>
        </w:rPr>
        <w:t>As, Co, Cr, Hg, Ni, Pb, Cu, Zn)</w:t>
      </w:r>
      <w:r w:rsidR="001853C9" w:rsidRPr="008C4065">
        <w:rPr>
          <w:rFonts w:ascii="Times New Roman" w:hAnsi="Times New Roman"/>
          <w:sz w:val="24"/>
          <w:szCs w:val="24"/>
        </w:rPr>
        <w:t xml:space="preserve"> with urinary Ni and Zn being significantly higher amongst the females.  The mean blood </w:t>
      </w:r>
      <w:r w:rsidR="001853C9">
        <w:rPr>
          <w:rFonts w:ascii="Times New Roman" w:hAnsi="Times New Roman"/>
          <w:sz w:val="24"/>
          <w:szCs w:val="24"/>
        </w:rPr>
        <w:t>Pb</w:t>
      </w:r>
      <w:r w:rsidR="001853C9" w:rsidRPr="008C4065">
        <w:rPr>
          <w:rFonts w:ascii="Times New Roman" w:hAnsi="Times New Roman"/>
          <w:sz w:val="24"/>
          <w:szCs w:val="24"/>
        </w:rPr>
        <w:t xml:space="preserve"> </w:t>
      </w:r>
      <w:r w:rsidR="001853C9">
        <w:rPr>
          <w:rFonts w:ascii="Times New Roman" w:hAnsi="Times New Roman"/>
          <w:sz w:val="24"/>
          <w:szCs w:val="24"/>
        </w:rPr>
        <w:t>value</w:t>
      </w:r>
      <w:r w:rsidR="001853C9" w:rsidRPr="008C4065">
        <w:rPr>
          <w:rFonts w:ascii="Times New Roman" w:hAnsi="Times New Roman"/>
          <w:sz w:val="24"/>
          <w:szCs w:val="24"/>
        </w:rPr>
        <w:t xml:space="preserve"> in males was more than double that in females.</w:t>
      </w:r>
      <w:r w:rsidR="001853C9" w:rsidRPr="00FF2251">
        <w:rPr>
          <w:rFonts w:ascii="Times New Roman" w:hAnsi="Times New Roman"/>
          <w:sz w:val="24"/>
          <w:szCs w:val="24"/>
        </w:rPr>
        <w:t xml:space="preserve">  </w:t>
      </w:r>
      <w:r w:rsidR="001853C9">
        <w:rPr>
          <w:rFonts w:ascii="Times New Roman" w:hAnsi="Times New Roman"/>
          <w:sz w:val="24"/>
          <w:szCs w:val="24"/>
        </w:rPr>
        <w:t>There was no difference in mean urinary specific gravity between males (1.016) and females (1.018).</w:t>
      </w:r>
    </w:p>
    <w:p w14:paraId="3D192B17" w14:textId="2937A553" w:rsidR="004A67B1" w:rsidRPr="00FF2251" w:rsidRDefault="004A67B1" w:rsidP="00FF2251">
      <w:pPr>
        <w:spacing w:after="0" w:line="48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0996E31B" w14:textId="77777777" w:rsidR="004A67B1" w:rsidRPr="00FF2251" w:rsidRDefault="004A67B1" w:rsidP="00FF2251">
      <w:pPr>
        <w:spacing w:after="0" w:line="48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C933CCD" w14:textId="0D60A175" w:rsidR="00977FD3" w:rsidRPr="00FF2251" w:rsidRDefault="00977FD3" w:rsidP="00FF2251">
      <w:pPr>
        <w:spacing w:after="0" w:line="48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F2251">
        <w:rPr>
          <w:rFonts w:ascii="Times New Roman" w:hAnsi="Times New Roman"/>
          <w:b/>
          <w:sz w:val="24"/>
          <w:szCs w:val="24"/>
        </w:rPr>
        <w:br w:type="page"/>
      </w:r>
    </w:p>
    <w:p w14:paraId="37C3CBF5" w14:textId="1FFD1C1A" w:rsidR="00B057B3" w:rsidRPr="00165CA9" w:rsidRDefault="00B057B3" w:rsidP="00DD08F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65CA9">
        <w:rPr>
          <w:rFonts w:ascii="Times New Roman" w:hAnsi="Times New Roman"/>
          <w:b/>
          <w:sz w:val="24"/>
          <w:szCs w:val="24"/>
        </w:rPr>
        <w:t>DISCUSSION</w:t>
      </w:r>
    </w:p>
    <w:p w14:paraId="6D744161" w14:textId="77777777" w:rsidR="00B057B3" w:rsidRPr="00353FA5" w:rsidRDefault="00B057B3" w:rsidP="00353FA5">
      <w:pPr>
        <w:spacing w:after="0" w:line="48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1FD15F28" w14:textId="22916B81" w:rsidR="000A453C" w:rsidRPr="00353FA5" w:rsidRDefault="00650EFE" w:rsidP="00353FA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353FA5">
        <w:rPr>
          <w:rFonts w:ascii="Times New Roman" w:hAnsi="Times New Roman"/>
          <w:sz w:val="24"/>
          <w:szCs w:val="24"/>
        </w:rPr>
        <w:t xml:space="preserve">There is global interest to develop and deliver interventions intended to prevent harmful exposures at e-waste sites  </w:t>
      </w:r>
      <w:r w:rsidR="00F86FAD" w:rsidRPr="00353FA5">
        <w:rPr>
          <w:rFonts w:ascii="Times New Roman" w:hAnsi="Times New Roman"/>
          <w:sz w:val="24"/>
          <w:szCs w:val="24"/>
        </w:rPr>
        <w:t>(Heacock et al., 2016)</w:t>
      </w:r>
      <w:r w:rsidR="000A453C" w:rsidRPr="00353FA5">
        <w:rPr>
          <w:rFonts w:ascii="Times New Roman" w:hAnsi="Times New Roman"/>
          <w:sz w:val="24"/>
          <w:szCs w:val="24"/>
        </w:rPr>
        <w:t xml:space="preserve">. </w:t>
      </w:r>
      <w:r w:rsidRPr="00353FA5">
        <w:rPr>
          <w:rFonts w:ascii="Times New Roman" w:hAnsi="Times New Roman"/>
          <w:sz w:val="24"/>
          <w:szCs w:val="24"/>
        </w:rPr>
        <w:t xml:space="preserve">While there is a growing body of evidence suggesting environmental and occupational health risks associated with e-waste recycling, </w:t>
      </w:r>
      <w:r w:rsidR="000A453C" w:rsidRPr="00353FA5">
        <w:rPr>
          <w:rFonts w:ascii="Times New Roman" w:hAnsi="Times New Roman"/>
          <w:sz w:val="24"/>
          <w:szCs w:val="24"/>
        </w:rPr>
        <w:t xml:space="preserve">the evidence base is relatively sparse and more studies are needed to establish a robust foundation from which actions can be properly </w:t>
      </w:r>
      <w:r w:rsidR="00C069A5" w:rsidRPr="00353FA5">
        <w:rPr>
          <w:rFonts w:ascii="Times New Roman" w:hAnsi="Times New Roman"/>
          <w:sz w:val="24"/>
          <w:szCs w:val="24"/>
        </w:rPr>
        <w:t>taken</w:t>
      </w:r>
      <w:r w:rsidR="000A453C" w:rsidRPr="00353FA5">
        <w:rPr>
          <w:rFonts w:ascii="Times New Roman" w:hAnsi="Times New Roman"/>
          <w:sz w:val="24"/>
          <w:szCs w:val="24"/>
        </w:rPr>
        <w:t xml:space="preserve">. In addition, it </w:t>
      </w:r>
      <w:r w:rsidR="0041476A" w:rsidRPr="00353FA5">
        <w:rPr>
          <w:rFonts w:ascii="Times New Roman" w:hAnsi="Times New Roman"/>
          <w:sz w:val="24"/>
          <w:szCs w:val="24"/>
        </w:rPr>
        <w:t xml:space="preserve">is important to acknowledge </w:t>
      </w:r>
      <w:r w:rsidR="00C069A5" w:rsidRPr="00353FA5">
        <w:rPr>
          <w:rFonts w:ascii="Times New Roman" w:hAnsi="Times New Roman"/>
          <w:sz w:val="24"/>
          <w:szCs w:val="24"/>
        </w:rPr>
        <w:t>the</w:t>
      </w:r>
      <w:r w:rsidR="0041476A" w:rsidRPr="00353FA5">
        <w:rPr>
          <w:rFonts w:ascii="Times New Roman" w:hAnsi="Times New Roman"/>
          <w:sz w:val="24"/>
          <w:szCs w:val="24"/>
        </w:rPr>
        <w:t xml:space="preserve"> </w:t>
      </w:r>
      <w:r w:rsidRPr="00353FA5">
        <w:rPr>
          <w:rFonts w:ascii="Times New Roman" w:hAnsi="Times New Roman"/>
          <w:sz w:val="24"/>
          <w:szCs w:val="24"/>
        </w:rPr>
        <w:t>large</w:t>
      </w:r>
      <w:r w:rsidR="000A453C" w:rsidRPr="00353FA5">
        <w:rPr>
          <w:rFonts w:ascii="Times New Roman" w:hAnsi="Times New Roman"/>
          <w:sz w:val="24"/>
          <w:szCs w:val="24"/>
        </w:rPr>
        <w:t xml:space="preserve"> variability </w:t>
      </w:r>
      <w:r w:rsidR="00B27F5A" w:rsidRPr="00353FA5">
        <w:rPr>
          <w:rFonts w:ascii="Times New Roman" w:hAnsi="Times New Roman"/>
          <w:sz w:val="24"/>
          <w:szCs w:val="24"/>
        </w:rPr>
        <w:t xml:space="preserve">that </w:t>
      </w:r>
      <w:r w:rsidR="000A453C" w:rsidRPr="00353FA5">
        <w:rPr>
          <w:rFonts w:ascii="Times New Roman" w:hAnsi="Times New Roman"/>
          <w:sz w:val="24"/>
          <w:szCs w:val="24"/>
        </w:rPr>
        <w:t>exists across</w:t>
      </w:r>
      <w:r w:rsidR="0041476A" w:rsidRPr="00353FA5">
        <w:rPr>
          <w:rFonts w:ascii="Times New Roman" w:hAnsi="Times New Roman"/>
          <w:sz w:val="24"/>
          <w:szCs w:val="24"/>
        </w:rPr>
        <w:t xml:space="preserve"> e-waste site</w:t>
      </w:r>
      <w:r w:rsidR="000A453C" w:rsidRPr="00353FA5">
        <w:rPr>
          <w:rFonts w:ascii="Times New Roman" w:hAnsi="Times New Roman"/>
          <w:sz w:val="24"/>
          <w:szCs w:val="24"/>
        </w:rPr>
        <w:t>s.  Each e-waste site</w:t>
      </w:r>
      <w:r w:rsidR="00397BBF" w:rsidRPr="00353FA5">
        <w:rPr>
          <w:rFonts w:ascii="Times New Roman" w:hAnsi="Times New Roman"/>
          <w:sz w:val="24"/>
          <w:szCs w:val="24"/>
        </w:rPr>
        <w:t>,</w:t>
      </w:r>
      <w:r w:rsidR="000A453C" w:rsidRPr="00353FA5">
        <w:rPr>
          <w:rFonts w:ascii="Times New Roman" w:hAnsi="Times New Roman"/>
          <w:sz w:val="24"/>
          <w:szCs w:val="24"/>
        </w:rPr>
        <w:t xml:space="preserve"> and its</w:t>
      </w:r>
      <w:r w:rsidR="0041476A" w:rsidRPr="00353FA5">
        <w:rPr>
          <w:rFonts w:ascii="Times New Roman" w:hAnsi="Times New Roman"/>
          <w:sz w:val="24"/>
          <w:szCs w:val="24"/>
        </w:rPr>
        <w:t xml:space="preserve"> surrounding community</w:t>
      </w:r>
      <w:r w:rsidR="00397BBF" w:rsidRPr="00353FA5">
        <w:rPr>
          <w:rFonts w:ascii="Times New Roman" w:hAnsi="Times New Roman"/>
          <w:sz w:val="24"/>
          <w:szCs w:val="24"/>
        </w:rPr>
        <w:t>,</w:t>
      </w:r>
      <w:r w:rsidR="0041476A" w:rsidRPr="00353FA5">
        <w:rPr>
          <w:rFonts w:ascii="Times New Roman" w:hAnsi="Times New Roman"/>
          <w:sz w:val="24"/>
          <w:szCs w:val="24"/>
        </w:rPr>
        <w:t xml:space="preserve"> </w:t>
      </w:r>
      <w:r w:rsidR="00397BBF" w:rsidRPr="00353FA5">
        <w:rPr>
          <w:rFonts w:ascii="Times New Roman" w:hAnsi="Times New Roman"/>
          <w:sz w:val="24"/>
          <w:szCs w:val="24"/>
        </w:rPr>
        <w:t>has</w:t>
      </w:r>
      <w:r w:rsidR="0041476A" w:rsidRPr="00353FA5">
        <w:rPr>
          <w:rFonts w:ascii="Times New Roman" w:hAnsi="Times New Roman"/>
          <w:sz w:val="24"/>
          <w:szCs w:val="24"/>
        </w:rPr>
        <w:t xml:space="preserve"> unique </w:t>
      </w:r>
      <w:r w:rsidR="00C069A5" w:rsidRPr="00353FA5">
        <w:rPr>
          <w:rFonts w:ascii="Times New Roman" w:hAnsi="Times New Roman"/>
          <w:sz w:val="24"/>
          <w:szCs w:val="24"/>
        </w:rPr>
        <w:t>socioeconomic, occupational,</w:t>
      </w:r>
      <w:r w:rsidR="00C75A44" w:rsidRPr="00353FA5">
        <w:rPr>
          <w:rFonts w:ascii="Times New Roman" w:hAnsi="Times New Roman"/>
          <w:sz w:val="24"/>
          <w:szCs w:val="24"/>
        </w:rPr>
        <w:t xml:space="preserve"> and environmental characteristics</w:t>
      </w:r>
      <w:r w:rsidR="0041476A" w:rsidRPr="00353FA5">
        <w:rPr>
          <w:rFonts w:ascii="Times New Roman" w:hAnsi="Times New Roman"/>
          <w:sz w:val="24"/>
          <w:szCs w:val="24"/>
        </w:rPr>
        <w:t xml:space="preserve">, and as such responses and interventions </w:t>
      </w:r>
      <w:r w:rsidR="000A453C" w:rsidRPr="00353FA5">
        <w:rPr>
          <w:rFonts w:ascii="Times New Roman" w:hAnsi="Times New Roman"/>
          <w:sz w:val="24"/>
          <w:szCs w:val="24"/>
        </w:rPr>
        <w:t>are likely to be site</w:t>
      </w:r>
      <w:r w:rsidR="00386703" w:rsidRPr="00353FA5">
        <w:rPr>
          <w:rFonts w:ascii="Times New Roman" w:hAnsi="Times New Roman"/>
          <w:sz w:val="24"/>
          <w:szCs w:val="24"/>
        </w:rPr>
        <w:t>/context</w:t>
      </w:r>
      <w:r w:rsidR="000A453C" w:rsidRPr="00353FA5">
        <w:rPr>
          <w:rFonts w:ascii="Times New Roman" w:hAnsi="Times New Roman"/>
          <w:sz w:val="24"/>
          <w:szCs w:val="24"/>
        </w:rPr>
        <w:t>-specific</w:t>
      </w:r>
      <w:r w:rsidR="0041476A" w:rsidRPr="00353FA5">
        <w:rPr>
          <w:rFonts w:ascii="Times New Roman" w:hAnsi="Times New Roman"/>
          <w:sz w:val="24"/>
          <w:szCs w:val="24"/>
        </w:rPr>
        <w:t xml:space="preserve">. </w:t>
      </w:r>
      <w:r w:rsidR="000A453C" w:rsidRPr="00353FA5">
        <w:rPr>
          <w:rFonts w:ascii="Times New Roman" w:hAnsi="Times New Roman"/>
          <w:sz w:val="24"/>
          <w:szCs w:val="24"/>
        </w:rPr>
        <w:t xml:space="preserve"> Though Agbogbloshie is one of the </w:t>
      </w:r>
      <w:r w:rsidR="00C069A5" w:rsidRPr="00353FA5">
        <w:rPr>
          <w:rFonts w:ascii="Times New Roman" w:hAnsi="Times New Roman"/>
          <w:sz w:val="24"/>
          <w:szCs w:val="24"/>
        </w:rPr>
        <w:t>best-studied</w:t>
      </w:r>
      <w:r w:rsidR="000A453C" w:rsidRPr="00353FA5">
        <w:rPr>
          <w:rFonts w:ascii="Times New Roman" w:hAnsi="Times New Roman"/>
          <w:sz w:val="24"/>
          <w:szCs w:val="24"/>
        </w:rPr>
        <w:t xml:space="preserve"> e-waste sites worldwide with more than 30 published papers </w:t>
      </w:r>
      <w:r w:rsidRPr="00353FA5">
        <w:rPr>
          <w:rFonts w:ascii="Times New Roman" w:hAnsi="Times New Roman"/>
          <w:sz w:val="24"/>
          <w:szCs w:val="24"/>
        </w:rPr>
        <w:t>(</w:t>
      </w:r>
      <w:r w:rsidR="00353FA5" w:rsidRPr="00353FA5">
        <w:rPr>
          <w:rFonts w:ascii="Times New Roman" w:hAnsi="Times New Roman"/>
          <w:color w:val="1A1A1A"/>
          <w:sz w:val="24"/>
          <w:szCs w:val="24"/>
        </w:rPr>
        <w:t>Amoyaw-Osei</w:t>
      </w:r>
      <w:r w:rsidR="00353FA5" w:rsidRPr="00353FA5">
        <w:rPr>
          <w:rFonts w:ascii="Times New Roman" w:hAnsi="Times New Roman"/>
          <w:sz w:val="24"/>
          <w:szCs w:val="24"/>
        </w:rPr>
        <w:t xml:space="preserve"> et al., 2011</w:t>
      </w:r>
      <w:r w:rsidRPr="00353FA5">
        <w:rPr>
          <w:rFonts w:ascii="Times New Roman" w:hAnsi="Times New Roman"/>
          <w:sz w:val="24"/>
          <w:szCs w:val="24"/>
        </w:rPr>
        <w:t xml:space="preserve">) </w:t>
      </w:r>
      <w:r w:rsidR="000A453C" w:rsidRPr="00353FA5">
        <w:rPr>
          <w:rFonts w:ascii="Times New Roman" w:hAnsi="Times New Roman"/>
          <w:sz w:val="24"/>
          <w:szCs w:val="24"/>
        </w:rPr>
        <w:t>covering a range of disciplines (social, environmental, human health), outstanding data gaps still remain</w:t>
      </w:r>
      <w:r w:rsidR="001853C9">
        <w:rPr>
          <w:rFonts w:ascii="Times New Roman" w:hAnsi="Times New Roman"/>
          <w:sz w:val="24"/>
          <w:szCs w:val="24"/>
        </w:rPr>
        <w:t xml:space="preserve"> including a more detailed study of elemental exposures among area workers and residents</w:t>
      </w:r>
      <w:r w:rsidR="000A453C" w:rsidRPr="00353FA5">
        <w:rPr>
          <w:rFonts w:ascii="Times New Roman" w:hAnsi="Times New Roman"/>
          <w:sz w:val="24"/>
          <w:szCs w:val="24"/>
        </w:rPr>
        <w:t xml:space="preserve">.  Some of these are addressed in the current paper. </w:t>
      </w:r>
    </w:p>
    <w:p w14:paraId="0A15C836" w14:textId="77777777" w:rsidR="005E42B5" w:rsidRPr="00353FA5" w:rsidRDefault="005E42B5" w:rsidP="00353FA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1F212E5D" w14:textId="4F9B49D2" w:rsidR="000A453C" w:rsidRDefault="005E42B5" w:rsidP="00353FA5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353FA5">
        <w:rPr>
          <w:rFonts w:ascii="Times New Roman" w:hAnsi="Times New Roman"/>
          <w:sz w:val="24"/>
          <w:szCs w:val="24"/>
        </w:rPr>
        <w:t xml:space="preserve">Elemental </w:t>
      </w:r>
      <w:r w:rsidR="000A453C" w:rsidRPr="00353FA5">
        <w:rPr>
          <w:rFonts w:ascii="Times New Roman" w:hAnsi="Times New Roman"/>
          <w:sz w:val="24"/>
          <w:szCs w:val="24"/>
        </w:rPr>
        <w:t>exposure</w:t>
      </w:r>
      <w:r w:rsidRPr="00353FA5">
        <w:rPr>
          <w:rFonts w:ascii="Times New Roman" w:hAnsi="Times New Roman"/>
          <w:sz w:val="24"/>
          <w:szCs w:val="24"/>
        </w:rPr>
        <w:t>s</w:t>
      </w:r>
      <w:r w:rsidR="00D606A2" w:rsidRPr="00353FA5">
        <w:rPr>
          <w:rFonts w:ascii="Times New Roman" w:hAnsi="Times New Roman"/>
          <w:sz w:val="24"/>
          <w:szCs w:val="24"/>
        </w:rPr>
        <w:t xml:space="preserve"> by e-waste workers </w:t>
      </w:r>
      <w:r w:rsidR="001853C9">
        <w:rPr>
          <w:rFonts w:ascii="Times New Roman" w:hAnsi="Times New Roman"/>
          <w:sz w:val="24"/>
          <w:szCs w:val="24"/>
        </w:rPr>
        <w:t>have</w:t>
      </w:r>
      <w:r w:rsidR="00D606A2" w:rsidRPr="00353FA5">
        <w:rPr>
          <w:rFonts w:ascii="Times New Roman" w:hAnsi="Times New Roman"/>
          <w:sz w:val="24"/>
          <w:szCs w:val="24"/>
        </w:rPr>
        <w:t xml:space="preserve"> been reported in studies </w:t>
      </w:r>
      <w:r w:rsidR="000A453C" w:rsidRPr="00353FA5">
        <w:rPr>
          <w:rFonts w:ascii="Times New Roman" w:hAnsi="Times New Roman"/>
          <w:sz w:val="24"/>
          <w:szCs w:val="24"/>
        </w:rPr>
        <w:t>from</w:t>
      </w:r>
      <w:r w:rsidR="00D606A2" w:rsidRPr="00353FA5">
        <w:rPr>
          <w:rFonts w:ascii="Times New Roman" w:hAnsi="Times New Roman"/>
          <w:sz w:val="24"/>
          <w:szCs w:val="24"/>
        </w:rPr>
        <w:t xml:space="preserve"> China </w:t>
      </w:r>
      <w:r w:rsidR="000A453C" w:rsidRPr="00353FA5">
        <w:rPr>
          <w:rFonts w:ascii="Times New Roman" w:hAnsi="Times New Roman"/>
          <w:sz w:val="24"/>
          <w:szCs w:val="24"/>
        </w:rPr>
        <w:t xml:space="preserve">(Song and Li, 2014), but to our knowledge </w:t>
      </w:r>
      <w:r w:rsidR="00C069A5" w:rsidRPr="00353FA5">
        <w:rPr>
          <w:rFonts w:ascii="Times New Roman" w:hAnsi="Times New Roman"/>
          <w:sz w:val="24"/>
          <w:szCs w:val="24"/>
        </w:rPr>
        <w:t xml:space="preserve">little is known about such exposures </w:t>
      </w:r>
      <w:r w:rsidR="001853C9">
        <w:rPr>
          <w:rFonts w:ascii="Times New Roman" w:hAnsi="Times New Roman"/>
          <w:sz w:val="24"/>
          <w:szCs w:val="24"/>
        </w:rPr>
        <w:t>at</w:t>
      </w:r>
      <w:r w:rsidR="00397BBF" w:rsidRPr="00353FA5">
        <w:rPr>
          <w:rFonts w:ascii="Times New Roman" w:hAnsi="Times New Roman"/>
          <w:sz w:val="24"/>
          <w:szCs w:val="24"/>
        </w:rPr>
        <w:t xml:space="preserve"> sites located in</w:t>
      </w:r>
      <w:r w:rsidR="00C069A5" w:rsidRPr="00353FA5">
        <w:rPr>
          <w:rFonts w:ascii="Times New Roman" w:hAnsi="Times New Roman"/>
          <w:sz w:val="24"/>
          <w:szCs w:val="24"/>
        </w:rPr>
        <w:t xml:space="preserve"> </w:t>
      </w:r>
      <w:r w:rsidR="000A453C" w:rsidRPr="00353FA5">
        <w:rPr>
          <w:rFonts w:ascii="Times New Roman" w:hAnsi="Times New Roman"/>
          <w:sz w:val="24"/>
          <w:szCs w:val="24"/>
        </w:rPr>
        <w:t>other low- and middle-income countries</w:t>
      </w:r>
      <w:r w:rsidR="00650EFE" w:rsidRPr="00353FA5">
        <w:rPr>
          <w:rFonts w:ascii="Times New Roman" w:hAnsi="Times New Roman"/>
          <w:sz w:val="24"/>
          <w:szCs w:val="24"/>
        </w:rPr>
        <w:t xml:space="preserve"> including the</w:t>
      </w:r>
      <w:r w:rsidR="00650EFE">
        <w:rPr>
          <w:rFonts w:ascii="Times New Roman" w:hAnsi="Times New Roman"/>
          <w:sz w:val="24"/>
          <w:szCs w:val="24"/>
        </w:rPr>
        <w:t xml:space="preserve"> Agbogbloshie site</w:t>
      </w:r>
      <w:r w:rsidR="000A453C" w:rsidRPr="00165CA9">
        <w:rPr>
          <w:rFonts w:ascii="Times New Roman" w:hAnsi="Times New Roman"/>
          <w:sz w:val="24"/>
          <w:szCs w:val="24"/>
        </w:rPr>
        <w:t>. W</w:t>
      </w:r>
      <w:r w:rsidR="00D606A2" w:rsidRPr="00165CA9">
        <w:rPr>
          <w:rFonts w:ascii="Times New Roman" w:hAnsi="Times New Roman"/>
          <w:sz w:val="24"/>
          <w:szCs w:val="24"/>
        </w:rPr>
        <w:t xml:space="preserve">hile </w:t>
      </w:r>
      <w:r w:rsidR="0041476A" w:rsidRPr="00165CA9">
        <w:rPr>
          <w:rFonts w:ascii="Times New Roman" w:hAnsi="Times New Roman"/>
          <w:sz w:val="24"/>
          <w:szCs w:val="24"/>
        </w:rPr>
        <w:t xml:space="preserve">there are reasons to believe that workers at Agbogbloshie are being </w:t>
      </w:r>
      <w:r w:rsidR="0041476A" w:rsidRPr="00353FA5">
        <w:rPr>
          <w:rFonts w:ascii="Times New Roman" w:hAnsi="Times New Roman"/>
          <w:sz w:val="24"/>
          <w:szCs w:val="24"/>
        </w:rPr>
        <w:t>exposed to elevated l</w:t>
      </w:r>
      <w:r w:rsidR="00C75A44" w:rsidRPr="00353FA5">
        <w:rPr>
          <w:rFonts w:ascii="Times New Roman" w:hAnsi="Times New Roman"/>
          <w:sz w:val="24"/>
          <w:szCs w:val="24"/>
        </w:rPr>
        <w:t>evels of several toxic elements</w:t>
      </w:r>
      <w:r w:rsidR="0041476A" w:rsidRPr="00353FA5">
        <w:rPr>
          <w:rFonts w:ascii="Times New Roman" w:hAnsi="Times New Roman"/>
          <w:sz w:val="24"/>
          <w:szCs w:val="24"/>
        </w:rPr>
        <w:t xml:space="preserve"> </w:t>
      </w:r>
      <w:r w:rsidR="00397BBF" w:rsidRPr="00353FA5">
        <w:rPr>
          <w:rFonts w:ascii="Times New Roman" w:hAnsi="Times New Roman"/>
          <w:sz w:val="24"/>
          <w:szCs w:val="24"/>
        </w:rPr>
        <w:t xml:space="preserve">(i.e., studies documenting high levels in the water, soil, and sediment; </w:t>
      </w:r>
      <w:r w:rsidRPr="00353FA5">
        <w:rPr>
          <w:rFonts w:ascii="Times New Roman" w:hAnsi="Times New Roman"/>
          <w:sz w:val="24"/>
          <w:szCs w:val="24"/>
        </w:rPr>
        <w:t>Otsuka et al., 2012; Atiemo et al., 2012; Brigden et al., 2008; Chama et al., 2014; Asante, 2012; Itai et al., 2014</w:t>
      </w:r>
      <w:r w:rsidR="00397BBF" w:rsidRPr="00353FA5">
        <w:rPr>
          <w:rFonts w:ascii="Times New Roman" w:hAnsi="Times New Roman"/>
          <w:sz w:val="24"/>
          <w:szCs w:val="24"/>
        </w:rPr>
        <w:t xml:space="preserve">) </w:t>
      </w:r>
      <w:r w:rsidR="0041476A" w:rsidRPr="00353FA5">
        <w:rPr>
          <w:rFonts w:ascii="Times New Roman" w:hAnsi="Times New Roman"/>
          <w:sz w:val="24"/>
          <w:szCs w:val="24"/>
        </w:rPr>
        <w:t xml:space="preserve">there is little empirical evidence of this.  </w:t>
      </w:r>
      <w:r w:rsidR="001853C9" w:rsidRPr="00353FA5">
        <w:rPr>
          <w:rFonts w:ascii="Times New Roman" w:hAnsi="Times New Roman"/>
          <w:sz w:val="24"/>
          <w:szCs w:val="24"/>
        </w:rPr>
        <w:t xml:space="preserve">The study by Asante et al. (2012) on 20 male workers at Agbogbloshie established that toxic metal exposures occur, </w:t>
      </w:r>
      <w:r w:rsidR="001853C9">
        <w:rPr>
          <w:rFonts w:ascii="Times New Roman" w:hAnsi="Times New Roman"/>
          <w:sz w:val="24"/>
          <w:szCs w:val="24"/>
        </w:rPr>
        <w:t xml:space="preserve">though this work was limited by a relatively low </w:t>
      </w:r>
      <w:r w:rsidR="001853C9" w:rsidRPr="00165CA9">
        <w:rPr>
          <w:rFonts w:ascii="Times New Roman" w:hAnsi="Times New Roman"/>
          <w:sz w:val="24"/>
          <w:szCs w:val="24"/>
        </w:rPr>
        <w:t>sample size, a single biomarker studied, and lack of key socio</w:t>
      </w:r>
      <w:r w:rsidR="001853C9">
        <w:rPr>
          <w:rFonts w:ascii="Times New Roman" w:hAnsi="Times New Roman"/>
          <w:sz w:val="24"/>
          <w:szCs w:val="24"/>
        </w:rPr>
        <w:t>-</w:t>
      </w:r>
      <w:r w:rsidR="001853C9" w:rsidRPr="00165CA9">
        <w:rPr>
          <w:rFonts w:ascii="Times New Roman" w:hAnsi="Times New Roman"/>
          <w:sz w:val="24"/>
          <w:szCs w:val="24"/>
        </w:rPr>
        <w:t>demographic and occupational characteristics</w:t>
      </w:r>
      <w:r w:rsidR="001853C9">
        <w:rPr>
          <w:rFonts w:ascii="Times New Roman" w:hAnsi="Times New Roman"/>
          <w:sz w:val="24"/>
          <w:szCs w:val="24"/>
        </w:rPr>
        <w:t xml:space="preserve">. </w:t>
      </w:r>
      <w:r w:rsidR="000A453C" w:rsidRPr="00165CA9">
        <w:rPr>
          <w:rFonts w:ascii="Times New Roman" w:hAnsi="Times New Roman"/>
          <w:sz w:val="24"/>
          <w:szCs w:val="24"/>
        </w:rPr>
        <w:t xml:space="preserve">Here we build upon the </w:t>
      </w:r>
      <w:r w:rsidR="000A453C" w:rsidRPr="00353FA5">
        <w:rPr>
          <w:rFonts w:ascii="Times New Roman" w:hAnsi="Times New Roman"/>
          <w:sz w:val="24"/>
          <w:szCs w:val="24"/>
        </w:rPr>
        <w:t>work by Asante et al. (2012) as well as previous studies by our team at Agbogbloshie (</w:t>
      </w:r>
      <w:r w:rsidRPr="00353FA5">
        <w:rPr>
          <w:rFonts w:ascii="Times New Roman" w:hAnsi="Times New Roman"/>
          <w:sz w:val="24"/>
          <w:szCs w:val="24"/>
        </w:rPr>
        <w:t>Wittsiepe et al., 2015; Feldt et al., 2014;  Akormedi et al., 2013; Asampong et al</w:t>
      </w:r>
      <w:r w:rsidR="000C6759" w:rsidRPr="00353FA5">
        <w:rPr>
          <w:rFonts w:ascii="Times New Roman" w:hAnsi="Times New Roman"/>
          <w:sz w:val="24"/>
          <w:szCs w:val="24"/>
        </w:rPr>
        <w:t>.</w:t>
      </w:r>
      <w:r w:rsidRPr="00353FA5">
        <w:rPr>
          <w:rFonts w:ascii="Times New Roman" w:hAnsi="Times New Roman"/>
          <w:sz w:val="24"/>
          <w:szCs w:val="24"/>
        </w:rPr>
        <w:t>, 2015</w:t>
      </w:r>
      <w:r w:rsidR="000C6759" w:rsidRPr="00353FA5">
        <w:rPr>
          <w:rFonts w:ascii="Times New Roman" w:hAnsi="Times New Roman"/>
          <w:sz w:val="24"/>
          <w:szCs w:val="24"/>
        </w:rPr>
        <w:t>; Burns et al., 2016</w:t>
      </w:r>
      <w:r w:rsidR="000A453C" w:rsidRPr="00353FA5">
        <w:rPr>
          <w:rFonts w:ascii="Times New Roman" w:hAnsi="Times New Roman"/>
          <w:sz w:val="24"/>
          <w:szCs w:val="24"/>
        </w:rPr>
        <w:t>), and capitalize</w:t>
      </w:r>
      <w:r w:rsidR="000A453C" w:rsidRPr="00165CA9">
        <w:rPr>
          <w:rFonts w:ascii="Times New Roman" w:hAnsi="Times New Roman"/>
          <w:sz w:val="24"/>
          <w:szCs w:val="24"/>
        </w:rPr>
        <w:t xml:space="preserve"> upon our growing collaborative relationship with the Greater</w:t>
      </w:r>
      <w:r w:rsidR="00397BBF">
        <w:rPr>
          <w:rFonts w:ascii="Times New Roman" w:hAnsi="Times New Roman"/>
          <w:sz w:val="24"/>
          <w:szCs w:val="24"/>
        </w:rPr>
        <w:t xml:space="preserve"> Accra Scrap Dealers Association</w:t>
      </w:r>
      <w:r w:rsidR="000A453C" w:rsidRPr="00165CA9">
        <w:rPr>
          <w:rFonts w:ascii="Times New Roman" w:hAnsi="Times New Roman"/>
          <w:sz w:val="24"/>
          <w:szCs w:val="24"/>
        </w:rPr>
        <w:t xml:space="preserve">. </w:t>
      </w:r>
      <w:r w:rsidR="00397BBF" w:rsidRPr="00165CA9">
        <w:rPr>
          <w:rFonts w:ascii="Times New Roman" w:hAnsi="Times New Roman"/>
          <w:sz w:val="24"/>
          <w:szCs w:val="24"/>
        </w:rPr>
        <w:t>The socio</w:t>
      </w:r>
      <w:r w:rsidR="00BB632D">
        <w:rPr>
          <w:rFonts w:ascii="Times New Roman" w:hAnsi="Times New Roman"/>
          <w:sz w:val="24"/>
          <w:szCs w:val="24"/>
        </w:rPr>
        <w:t>-</w:t>
      </w:r>
      <w:r w:rsidR="00397BBF" w:rsidRPr="00165CA9">
        <w:rPr>
          <w:rFonts w:ascii="Times New Roman" w:hAnsi="Times New Roman"/>
          <w:sz w:val="24"/>
          <w:szCs w:val="24"/>
        </w:rPr>
        <w:t xml:space="preserve">demographic characteristics of the study population here is similar to previous studies at Agbogbloshie by </w:t>
      </w:r>
      <w:r w:rsidR="000C6759">
        <w:rPr>
          <w:rFonts w:ascii="Times New Roman" w:hAnsi="Times New Roman"/>
          <w:sz w:val="24"/>
          <w:szCs w:val="24"/>
        </w:rPr>
        <w:t>our research team</w:t>
      </w:r>
      <w:r w:rsidR="00397BBF" w:rsidRPr="00165CA9">
        <w:rPr>
          <w:rFonts w:ascii="Times New Roman" w:hAnsi="Times New Roman"/>
          <w:sz w:val="24"/>
          <w:szCs w:val="24"/>
        </w:rPr>
        <w:t xml:space="preserve"> and others</w:t>
      </w:r>
      <w:r w:rsidR="001853C9">
        <w:rPr>
          <w:rFonts w:ascii="Times New Roman" w:hAnsi="Times New Roman"/>
          <w:sz w:val="24"/>
          <w:szCs w:val="24"/>
        </w:rPr>
        <w:t xml:space="preserve"> thus enabling comparisons to be made</w:t>
      </w:r>
      <w:r w:rsidR="00397BBF">
        <w:rPr>
          <w:rFonts w:ascii="Times New Roman" w:hAnsi="Times New Roman"/>
          <w:sz w:val="24"/>
          <w:szCs w:val="24"/>
        </w:rPr>
        <w:t>.</w:t>
      </w:r>
    </w:p>
    <w:p w14:paraId="2BF8D1E0" w14:textId="77777777" w:rsidR="005E42B5" w:rsidRPr="00165CA9" w:rsidRDefault="005E42B5" w:rsidP="00DD08F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37C05E31" w14:textId="4173AD8A" w:rsidR="002A6365" w:rsidRPr="007253FF" w:rsidRDefault="001853C9" w:rsidP="00DD08FC">
      <w:pPr>
        <w:pStyle w:val="HTMLPreformatted"/>
        <w:spacing w:line="480" w:lineRule="auto"/>
      </w:pPr>
      <w:r>
        <w:rPr>
          <w:rFonts w:ascii="Times New Roman" w:hAnsi="Times New Roman"/>
          <w:sz w:val="24"/>
          <w:szCs w:val="24"/>
        </w:rPr>
        <w:tab/>
      </w:r>
      <w:r w:rsidR="000C6759">
        <w:rPr>
          <w:rFonts w:ascii="Times New Roman" w:hAnsi="Times New Roman"/>
          <w:sz w:val="24"/>
          <w:szCs w:val="24"/>
        </w:rPr>
        <w:t>As</w:t>
      </w:r>
      <w:r w:rsidR="000A453C" w:rsidRPr="00165CA9">
        <w:rPr>
          <w:rFonts w:ascii="Times New Roman" w:hAnsi="Times New Roman"/>
          <w:sz w:val="24"/>
          <w:szCs w:val="24"/>
        </w:rPr>
        <w:t xml:space="preserve"> with other informal sector activities in West Africa, the conditions surrounding e-waste recycling at Agbogbloshie are characterized as having </w:t>
      </w:r>
      <w:r w:rsidR="000A453C" w:rsidRPr="00353FA5">
        <w:rPr>
          <w:rFonts w:ascii="Times New Roman" w:hAnsi="Times New Roman"/>
          <w:sz w:val="24"/>
          <w:szCs w:val="24"/>
        </w:rPr>
        <w:t>unsafe working conditions, poor health standards, and pervasive environmental and occupational hazards</w:t>
      </w:r>
      <w:r w:rsidR="00397BBF" w:rsidRPr="00353FA5">
        <w:rPr>
          <w:rFonts w:ascii="Times New Roman" w:hAnsi="Times New Roman"/>
          <w:sz w:val="24"/>
          <w:szCs w:val="24"/>
        </w:rPr>
        <w:t xml:space="preserve"> (</w:t>
      </w:r>
      <w:r w:rsidR="00353FA5">
        <w:rPr>
          <w:rFonts w:ascii="Times New Roman" w:hAnsi="Times New Roman"/>
          <w:sz w:val="24"/>
          <w:szCs w:val="24"/>
        </w:rPr>
        <w:t xml:space="preserve">Basu et al., </w:t>
      </w:r>
      <w:r w:rsidR="00353FA5" w:rsidRPr="00353FA5">
        <w:rPr>
          <w:rFonts w:ascii="Times New Roman" w:hAnsi="Times New Roman"/>
          <w:sz w:val="24"/>
          <w:szCs w:val="24"/>
        </w:rPr>
        <w:t>2016</w:t>
      </w:r>
      <w:r w:rsidR="00397BBF" w:rsidRPr="00353FA5">
        <w:rPr>
          <w:rFonts w:ascii="Times New Roman" w:hAnsi="Times New Roman"/>
          <w:sz w:val="24"/>
          <w:szCs w:val="24"/>
        </w:rPr>
        <w:t>)</w:t>
      </w:r>
      <w:r w:rsidR="000A453C" w:rsidRPr="00353FA5">
        <w:rPr>
          <w:rFonts w:ascii="Times New Roman" w:hAnsi="Times New Roman"/>
          <w:sz w:val="24"/>
          <w:szCs w:val="24"/>
        </w:rPr>
        <w:t xml:space="preserve">.  Most workers live at Agbogbloshie resulting in continual </w:t>
      </w:r>
      <w:r w:rsidR="00397BBF" w:rsidRPr="00353FA5">
        <w:rPr>
          <w:rFonts w:ascii="Times New Roman" w:hAnsi="Times New Roman"/>
          <w:sz w:val="24"/>
          <w:szCs w:val="24"/>
        </w:rPr>
        <w:t xml:space="preserve">exposure to </w:t>
      </w:r>
      <w:r w:rsidR="000A453C" w:rsidRPr="00353FA5">
        <w:rPr>
          <w:rFonts w:ascii="Times New Roman" w:hAnsi="Times New Roman"/>
          <w:sz w:val="24"/>
          <w:szCs w:val="24"/>
        </w:rPr>
        <w:t>hazard</w:t>
      </w:r>
      <w:r w:rsidR="00397BBF" w:rsidRPr="00353FA5">
        <w:rPr>
          <w:rFonts w:ascii="Times New Roman" w:hAnsi="Times New Roman"/>
          <w:sz w:val="24"/>
          <w:szCs w:val="24"/>
        </w:rPr>
        <w:t xml:space="preserve">s, and the </w:t>
      </w:r>
      <w:r w:rsidR="000A453C" w:rsidRPr="00353FA5">
        <w:rPr>
          <w:rFonts w:ascii="Times New Roman" w:hAnsi="Times New Roman"/>
          <w:sz w:val="24"/>
          <w:szCs w:val="24"/>
        </w:rPr>
        <w:t>region and its workers lack basic health and welfare services (As</w:t>
      </w:r>
      <w:r w:rsidR="00386703" w:rsidRPr="00353FA5">
        <w:rPr>
          <w:rFonts w:ascii="Times New Roman" w:hAnsi="Times New Roman"/>
          <w:sz w:val="24"/>
          <w:szCs w:val="24"/>
        </w:rPr>
        <w:t>a</w:t>
      </w:r>
      <w:r w:rsidR="000A453C" w:rsidRPr="00353FA5">
        <w:rPr>
          <w:rFonts w:ascii="Times New Roman" w:hAnsi="Times New Roman"/>
          <w:sz w:val="24"/>
          <w:szCs w:val="24"/>
        </w:rPr>
        <w:t xml:space="preserve">mpong et al., 2015). </w:t>
      </w:r>
      <w:r w:rsidR="00156885" w:rsidRPr="00353FA5">
        <w:rPr>
          <w:rFonts w:ascii="Times New Roman" w:hAnsi="Times New Roman" w:cs="Times New Roman"/>
          <w:sz w:val="24"/>
          <w:szCs w:val="24"/>
        </w:rPr>
        <w:t>Despite</w:t>
      </w:r>
      <w:r w:rsidR="00156885" w:rsidRPr="007253FF">
        <w:rPr>
          <w:rFonts w:ascii="Times New Roman" w:hAnsi="Times New Roman" w:cs="Times New Roman"/>
          <w:sz w:val="24"/>
          <w:szCs w:val="24"/>
        </w:rPr>
        <w:t xml:space="preserve"> such</w:t>
      </w:r>
      <w:r w:rsidR="00E65153" w:rsidRPr="007253FF">
        <w:rPr>
          <w:rFonts w:ascii="Times New Roman" w:hAnsi="Times New Roman" w:cs="Times New Roman"/>
          <w:sz w:val="24"/>
          <w:szCs w:val="24"/>
        </w:rPr>
        <w:t xml:space="preserve"> </w:t>
      </w:r>
      <w:r w:rsidR="00397BBF" w:rsidRPr="007253FF">
        <w:rPr>
          <w:rFonts w:ascii="Times New Roman" w:hAnsi="Times New Roman" w:cs="Times New Roman"/>
          <w:sz w:val="24"/>
          <w:szCs w:val="24"/>
        </w:rPr>
        <w:t>concerns, there has been little</w:t>
      </w:r>
      <w:r w:rsidR="00E65153" w:rsidRPr="007253FF">
        <w:rPr>
          <w:rFonts w:ascii="Times New Roman" w:hAnsi="Times New Roman" w:cs="Times New Roman"/>
          <w:sz w:val="24"/>
          <w:szCs w:val="24"/>
        </w:rPr>
        <w:t xml:space="preserve"> investigation of the </w:t>
      </w:r>
      <w:r w:rsidR="00156885" w:rsidRPr="007253FF">
        <w:rPr>
          <w:rFonts w:ascii="Times New Roman" w:hAnsi="Times New Roman" w:cs="Times New Roman"/>
          <w:sz w:val="24"/>
          <w:szCs w:val="24"/>
        </w:rPr>
        <w:t>job activities performed at Agbogbloshie. The semi-structured questionnaire we utilized revealed that e-waste workers are involved in a number of differ</w:t>
      </w:r>
      <w:r w:rsidR="00397BBF" w:rsidRPr="007253FF">
        <w:rPr>
          <w:rFonts w:ascii="Times New Roman" w:hAnsi="Times New Roman" w:cs="Times New Roman"/>
          <w:sz w:val="24"/>
          <w:szCs w:val="24"/>
        </w:rPr>
        <w:t xml:space="preserve">ent tasks at the site, but also </w:t>
      </w:r>
      <w:r w:rsidR="00BB632D">
        <w:rPr>
          <w:rFonts w:ascii="Times New Roman" w:hAnsi="Times New Roman" w:cs="Times New Roman"/>
          <w:sz w:val="24"/>
          <w:szCs w:val="24"/>
        </w:rPr>
        <w:t xml:space="preserve">that </w:t>
      </w:r>
      <w:r w:rsidR="00397BBF" w:rsidRPr="007253FF">
        <w:rPr>
          <w:rFonts w:ascii="Times New Roman" w:hAnsi="Times New Roman" w:cs="Times New Roman"/>
          <w:sz w:val="24"/>
          <w:szCs w:val="24"/>
        </w:rPr>
        <w:t xml:space="preserve">many are involved </w:t>
      </w:r>
      <w:r w:rsidR="00397BBF" w:rsidRPr="00353FA5">
        <w:rPr>
          <w:rFonts w:ascii="Times New Roman" w:hAnsi="Times New Roman" w:cs="Times New Roman"/>
          <w:sz w:val="24"/>
          <w:szCs w:val="24"/>
        </w:rPr>
        <w:t xml:space="preserve">with </w:t>
      </w:r>
      <w:r w:rsidR="00156885" w:rsidRPr="00353FA5">
        <w:rPr>
          <w:rFonts w:ascii="Times New Roman" w:hAnsi="Times New Roman" w:cs="Times New Roman"/>
          <w:sz w:val="24"/>
          <w:szCs w:val="24"/>
        </w:rPr>
        <w:t>off-site</w:t>
      </w:r>
      <w:r w:rsidR="00397BBF" w:rsidRPr="00353FA5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156885" w:rsidRPr="00353FA5">
        <w:rPr>
          <w:rFonts w:ascii="Times New Roman" w:hAnsi="Times New Roman" w:cs="Times New Roman"/>
          <w:sz w:val="24"/>
          <w:szCs w:val="24"/>
        </w:rPr>
        <w:t>.</w:t>
      </w:r>
      <w:r w:rsidR="00397BBF" w:rsidRPr="00353FA5">
        <w:rPr>
          <w:rFonts w:ascii="Times New Roman" w:hAnsi="Times New Roman" w:cs="Times New Roman"/>
          <w:sz w:val="24"/>
          <w:szCs w:val="24"/>
        </w:rPr>
        <w:t xml:space="preserve"> In addition, Agbogblos</w:t>
      </w:r>
      <w:r w:rsidR="000C6759" w:rsidRPr="00353FA5">
        <w:rPr>
          <w:rFonts w:ascii="Times New Roman" w:hAnsi="Times New Roman" w:cs="Times New Roman"/>
          <w:sz w:val="24"/>
          <w:szCs w:val="24"/>
        </w:rPr>
        <w:t>h</w:t>
      </w:r>
      <w:r w:rsidR="00397BBF" w:rsidRPr="00353FA5">
        <w:rPr>
          <w:rFonts w:ascii="Times New Roman" w:hAnsi="Times New Roman" w:cs="Times New Roman"/>
          <w:sz w:val="24"/>
          <w:szCs w:val="24"/>
        </w:rPr>
        <w:t>ie has a long history of being a scrap metal recycling site (</w:t>
      </w:r>
      <w:r w:rsidR="00397BBF" w:rsidRPr="00353FA5">
        <w:rPr>
          <w:rFonts w:ascii="Times New Roman" w:hAnsi="Times New Roman" w:cs="Times New Roman"/>
          <w:color w:val="1A1A1A"/>
          <w:sz w:val="24"/>
          <w:szCs w:val="24"/>
        </w:rPr>
        <w:t>Amoyaw-Osei</w:t>
      </w:r>
      <w:r w:rsidR="00397BBF" w:rsidRPr="00353FA5">
        <w:rPr>
          <w:rFonts w:ascii="Times New Roman" w:hAnsi="Times New Roman" w:cs="Times New Roman"/>
          <w:sz w:val="24"/>
          <w:szCs w:val="24"/>
        </w:rPr>
        <w:t xml:space="preserve"> et al., 2011) and we are not easily able to distinguish between those who recycle</w:t>
      </w:r>
      <w:r w:rsidR="00397BBF" w:rsidRPr="007253FF">
        <w:rPr>
          <w:rFonts w:ascii="Times New Roman" w:hAnsi="Times New Roman" w:cs="Times New Roman"/>
          <w:sz w:val="24"/>
          <w:szCs w:val="24"/>
        </w:rPr>
        <w:t xml:space="preserve"> metals (and other items) versus those </w:t>
      </w:r>
      <w:r w:rsidR="007253FF" w:rsidRPr="007253FF">
        <w:rPr>
          <w:rFonts w:ascii="Times New Roman" w:hAnsi="Times New Roman" w:cs="Times New Roman"/>
          <w:sz w:val="24"/>
          <w:szCs w:val="24"/>
        </w:rPr>
        <w:t>who</w:t>
      </w:r>
      <w:r w:rsidR="00397BBF" w:rsidRPr="007253FF">
        <w:rPr>
          <w:rFonts w:ascii="Times New Roman" w:hAnsi="Times New Roman" w:cs="Times New Roman"/>
          <w:sz w:val="24"/>
          <w:szCs w:val="24"/>
        </w:rPr>
        <w:t xml:space="preserve"> recycle e-waste.</w:t>
      </w:r>
      <w:r w:rsidR="007253FF" w:rsidRPr="007253FF">
        <w:rPr>
          <w:rFonts w:ascii="Times New Roman" w:hAnsi="Times New Roman" w:cs="Times New Roman"/>
          <w:sz w:val="24"/>
          <w:szCs w:val="24"/>
        </w:rPr>
        <w:t xml:space="preserve">  </w:t>
      </w:r>
      <w:r w:rsidR="00156885" w:rsidRPr="007253FF">
        <w:rPr>
          <w:rFonts w:ascii="Times New Roman" w:hAnsi="Times New Roman" w:cs="Times New Roman"/>
          <w:sz w:val="24"/>
          <w:szCs w:val="24"/>
        </w:rPr>
        <w:t xml:space="preserve">Such variation proves challenging when trying to make </w:t>
      </w:r>
      <w:r w:rsidR="00397BBF" w:rsidRPr="007253FF">
        <w:rPr>
          <w:rFonts w:ascii="Times New Roman" w:hAnsi="Times New Roman" w:cs="Times New Roman"/>
          <w:sz w:val="24"/>
          <w:szCs w:val="24"/>
        </w:rPr>
        <w:t xml:space="preserve">workplace </w:t>
      </w:r>
      <w:r w:rsidR="00156885" w:rsidRPr="007253FF">
        <w:rPr>
          <w:rFonts w:ascii="Times New Roman" w:hAnsi="Times New Roman" w:cs="Times New Roman"/>
          <w:sz w:val="24"/>
          <w:szCs w:val="24"/>
        </w:rPr>
        <w:t xml:space="preserve">classifications, and </w:t>
      </w:r>
      <w:r w:rsidR="000C6759">
        <w:rPr>
          <w:rFonts w:ascii="Times New Roman" w:hAnsi="Times New Roman" w:cs="Times New Roman"/>
          <w:sz w:val="24"/>
          <w:szCs w:val="24"/>
        </w:rPr>
        <w:t xml:space="preserve">to </w:t>
      </w:r>
      <w:r w:rsidR="00156885" w:rsidRPr="007253FF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397BBF" w:rsidRPr="007253FF">
        <w:rPr>
          <w:rFonts w:ascii="Times New Roman" w:hAnsi="Times New Roman" w:cs="Times New Roman"/>
          <w:sz w:val="24"/>
          <w:szCs w:val="24"/>
        </w:rPr>
        <w:t>tease apart occupational activities and</w:t>
      </w:r>
      <w:r w:rsidR="00156885" w:rsidRPr="007253FF">
        <w:rPr>
          <w:rFonts w:ascii="Times New Roman" w:hAnsi="Times New Roman" w:cs="Times New Roman"/>
          <w:sz w:val="24"/>
          <w:szCs w:val="24"/>
        </w:rPr>
        <w:t xml:space="preserve"> exposures </w:t>
      </w:r>
      <w:r w:rsidR="00397BBF" w:rsidRPr="007253FF">
        <w:rPr>
          <w:rFonts w:ascii="Times New Roman" w:hAnsi="Times New Roman" w:cs="Times New Roman"/>
          <w:sz w:val="24"/>
          <w:szCs w:val="24"/>
        </w:rPr>
        <w:t>with adverse</w:t>
      </w:r>
      <w:r w:rsidR="00156885" w:rsidRPr="007253FF">
        <w:rPr>
          <w:rFonts w:ascii="Times New Roman" w:hAnsi="Times New Roman" w:cs="Times New Roman"/>
          <w:sz w:val="24"/>
          <w:szCs w:val="24"/>
        </w:rPr>
        <w:t xml:space="preserve"> health outcomes.  In our careful review of the questionnaires, we were able to categorize the wor</w:t>
      </w:r>
      <w:r w:rsidR="00C55BC7">
        <w:rPr>
          <w:rFonts w:ascii="Times New Roman" w:hAnsi="Times New Roman" w:cs="Times New Roman"/>
          <w:sz w:val="24"/>
          <w:szCs w:val="24"/>
        </w:rPr>
        <w:t>kers into 9</w:t>
      </w:r>
      <w:r w:rsidR="00397BBF" w:rsidRPr="007253FF">
        <w:rPr>
          <w:rFonts w:ascii="Times New Roman" w:hAnsi="Times New Roman" w:cs="Times New Roman"/>
          <w:sz w:val="24"/>
          <w:szCs w:val="24"/>
        </w:rPr>
        <w:t xml:space="preserve"> specific </w:t>
      </w:r>
      <w:r>
        <w:rPr>
          <w:rFonts w:ascii="Times New Roman" w:hAnsi="Times New Roman" w:cs="Times New Roman"/>
          <w:sz w:val="24"/>
          <w:szCs w:val="24"/>
        </w:rPr>
        <w:t>job categories</w:t>
      </w:r>
      <w:r w:rsidR="00397BBF" w:rsidRPr="007253FF">
        <w:rPr>
          <w:rFonts w:ascii="Times New Roman" w:hAnsi="Times New Roman" w:cs="Times New Roman"/>
          <w:sz w:val="24"/>
          <w:szCs w:val="24"/>
        </w:rPr>
        <w:t xml:space="preserve"> but drew this from a larger list of approximately 21 self-reported activities.  For data management purposes</w:t>
      </w:r>
      <w:r w:rsidR="00397BBF">
        <w:rPr>
          <w:rFonts w:ascii="Times New Roman" w:hAnsi="Times New Roman"/>
          <w:sz w:val="24"/>
          <w:szCs w:val="24"/>
        </w:rPr>
        <w:t xml:space="preserve"> and based on the results of our factor analyses, we could further separate</w:t>
      </w:r>
      <w:r w:rsidR="00156885" w:rsidRPr="00165CA9">
        <w:rPr>
          <w:rFonts w:ascii="Times New Roman" w:hAnsi="Times New Roman"/>
          <w:sz w:val="24"/>
          <w:szCs w:val="24"/>
        </w:rPr>
        <w:t xml:space="preserve"> </w:t>
      </w:r>
      <w:r w:rsidR="00397BBF">
        <w:rPr>
          <w:rFonts w:ascii="Times New Roman" w:hAnsi="Times New Roman"/>
          <w:sz w:val="24"/>
          <w:szCs w:val="24"/>
        </w:rPr>
        <w:t xml:space="preserve">the group </w:t>
      </w:r>
      <w:r w:rsidR="00156885" w:rsidRPr="00165CA9">
        <w:rPr>
          <w:rFonts w:ascii="Times New Roman" w:hAnsi="Times New Roman"/>
          <w:sz w:val="24"/>
          <w:szCs w:val="24"/>
        </w:rPr>
        <w:t>into those who “handle” e-waste (collect, deal, sort, repair, dismantle e-waste and remove wires), burn e-waste and wires, and smelt lead and recycle batteries.  This type of information can be used in future research activities to design better surveys</w:t>
      </w:r>
      <w:r w:rsidR="007253FF">
        <w:rPr>
          <w:rFonts w:ascii="Times New Roman" w:hAnsi="Times New Roman"/>
          <w:sz w:val="24"/>
          <w:szCs w:val="24"/>
        </w:rPr>
        <w:t xml:space="preserve"> to understand workplace activities and how these relate to issues of concern such as injuries and respiratory symptoms (</w:t>
      </w:r>
      <w:r w:rsidR="007253FF" w:rsidRPr="00353FA5">
        <w:rPr>
          <w:rFonts w:ascii="Times New Roman" w:hAnsi="Times New Roman"/>
          <w:sz w:val="24"/>
          <w:szCs w:val="24"/>
        </w:rPr>
        <w:t>As</w:t>
      </w:r>
      <w:r w:rsidR="00386703" w:rsidRPr="00353FA5">
        <w:rPr>
          <w:rFonts w:ascii="Times New Roman" w:hAnsi="Times New Roman"/>
          <w:sz w:val="24"/>
          <w:szCs w:val="24"/>
        </w:rPr>
        <w:t>a</w:t>
      </w:r>
      <w:r w:rsidR="007253FF" w:rsidRPr="00353FA5">
        <w:rPr>
          <w:rFonts w:ascii="Times New Roman" w:hAnsi="Times New Roman"/>
          <w:sz w:val="24"/>
          <w:szCs w:val="24"/>
        </w:rPr>
        <w:t>mpong et al., 2015).</w:t>
      </w:r>
    </w:p>
    <w:p w14:paraId="16FC8C94" w14:textId="77777777" w:rsidR="002A6365" w:rsidRPr="00165CA9" w:rsidRDefault="002A6365" w:rsidP="00DD08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E83C3F7" w14:textId="15F223C0" w:rsidR="00A26BEB" w:rsidRDefault="00165CA9" w:rsidP="00A26BEB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current study aimed to characterize </w:t>
      </w:r>
      <w:r w:rsidR="005E42B5">
        <w:rPr>
          <w:rFonts w:ascii="Times New Roman" w:hAnsi="Times New Roman"/>
          <w:sz w:val="24"/>
          <w:szCs w:val="24"/>
        </w:rPr>
        <w:t>elemental</w:t>
      </w:r>
      <w:r>
        <w:rPr>
          <w:rFonts w:ascii="Times New Roman" w:hAnsi="Times New Roman"/>
          <w:sz w:val="24"/>
          <w:szCs w:val="24"/>
        </w:rPr>
        <w:t xml:space="preserve"> exposures by focusing on both blood and urine, as well as several essential and toxic elements.</w:t>
      </w:r>
      <w:r w:rsidR="007253FF">
        <w:rPr>
          <w:rFonts w:ascii="Times New Roman" w:hAnsi="Times New Roman"/>
          <w:sz w:val="24"/>
          <w:szCs w:val="24"/>
        </w:rPr>
        <w:t xml:space="preserve">  Many of the elements we studied have been previously measured in the </w:t>
      </w:r>
      <w:r w:rsidR="007253FF" w:rsidRPr="00353FA5">
        <w:rPr>
          <w:rFonts w:ascii="Times New Roman" w:hAnsi="Times New Roman"/>
          <w:sz w:val="24"/>
          <w:szCs w:val="24"/>
        </w:rPr>
        <w:t>Agbogbloshie ecosystem (</w:t>
      </w:r>
      <w:r w:rsidR="005E42B5" w:rsidRPr="00353FA5">
        <w:rPr>
          <w:rFonts w:ascii="Times New Roman" w:hAnsi="Times New Roman"/>
          <w:sz w:val="24"/>
          <w:szCs w:val="24"/>
        </w:rPr>
        <w:t>Otsuka et al., 2012; Atiemo et al., 2012; Brigden et al., 2008; Chama et al., 2014; Asante, 2012; Itai et al., 2014</w:t>
      </w:r>
      <w:r w:rsidR="007253FF" w:rsidRPr="00353FA5">
        <w:rPr>
          <w:rFonts w:ascii="Times New Roman" w:hAnsi="Times New Roman"/>
          <w:sz w:val="24"/>
          <w:szCs w:val="24"/>
        </w:rPr>
        <w:t>).</w:t>
      </w:r>
      <w:r w:rsidRPr="00353FA5">
        <w:rPr>
          <w:rFonts w:ascii="Times New Roman" w:hAnsi="Times New Roman"/>
          <w:sz w:val="24"/>
          <w:szCs w:val="24"/>
        </w:rPr>
        <w:t xml:space="preserve">  </w:t>
      </w:r>
      <w:r w:rsidR="00E30EAC" w:rsidRPr="00353FA5">
        <w:rPr>
          <w:rFonts w:ascii="Times New Roman" w:hAnsi="Times New Roman"/>
          <w:sz w:val="24"/>
          <w:szCs w:val="24"/>
        </w:rPr>
        <w:t>We are not aware of a dataset that provides reference range values of these studied elements from the ‘typical’ Ghanaian (or African) population</w:t>
      </w:r>
      <w:r w:rsidR="0005461C" w:rsidRPr="00353FA5">
        <w:rPr>
          <w:rFonts w:ascii="Times New Roman" w:hAnsi="Times New Roman"/>
          <w:sz w:val="24"/>
          <w:szCs w:val="24"/>
        </w:rPr>
        <w:t xml:space="preserve">.  In the absence of a suitable reference population from Ghana (or Africa), the values were initially compared to numbers proposed by </w:t>
      </w:r>
      <w:r w:rsidR="007B0FC8" w:rsidRPr="00353FA5">
        <w:rPr>
          <w:rFonts w:ascii="Times New Roman" w:hAnsi="Times New Roman"/>
          <w:sz w:val="24"/>
          <w:szCs w:val="24"/>
        </w:rPr>
        <w:t xml:space="preserve">Iyengar </w:t>
      </w:r>
      <w:r w:rsidR="007B0FC8">
        <w:rPr>
          <w:rFonts w:ascii="Times New Roman" w:hAnsi="Times New Roman"/>
          <w:sz w:val="24"/>
          <w:szCs w:val="24"/>
        </w:rPr>
        <w:t xml:space="preserve">and Woittiez </w:t>
      </w:r>
      <w:r w:rsidR="007B0FC8" w:rsidRPr="00353FA5">
        <w:rPr>
          <w:rFonts w:ascii="Times New Roman" w:hAnsi="Times New Roman"/>
          <w:sz w:val="24"/>
          <w:szCs w:val="24"/>
        </w:rPr>
        <w:t xml:space="preserve">(1988) </w:t>
      </w:r>
      <w:r w:rsidR="0005461C" w:rsidRPr="00353FA5">
        <w:rPr>
          <w:rFonts w:ascii="Times New Roman" w:hAnsi="Times New Roman"/>
          <w:sz w:val="24"/>
          <w:szCs w:val="24"/>
        </w:rPr>
        <w:t xml:space="preserve">as part of their effort to establish “normal values” for trace elements in biological specimens. In general, the blood </w:t>
      </w:r>
      <w:r w:rsidR="00EF5B53" w:rsidRPr="00353FA5">
        <w:rPr>
          <w:rFonts w:ascii="Times New Roman" w:hAnsi="Times New Roman"/>
          <w:sz w:val="24"/>
          <w:szCs w:val="24"/>
        </w:rPr>
        <w:t>element</w:t>
      </w:r>
      <w:r w:rsidR="0005461C" w:rsidRPr="00353FA5">
        <w:rPr>
          <w:rFonts w:ascii="Times New Roman" w:hAnsi="Times New Roman"/>
          <w:sz w:val="24"/>
          <w:szCs w:val="24"/>
        </w:rPr>
        <w:t xml:space="preserve"> levels reported here are within the reference range</w:t>
      </w:r>
      <w:r w:rsidR="0005461C" w:rsidRPr="00FF2251">
        <w:rPr>
          <w:rFonts w:ascii="Times New Roman" w:hAnsi="Times New Roman"/>
          <w:sz w:val="24"/>
          <w:szCs w:val="24"/>
        </w:rPr>
        <w:t xml:space="preserve"> propo</w:t>
      </w:r>
      <w:r w:rsidR="0005461C">
        <w:rPr>
          <w:rFonts w:ascii="Times New Roman" w:hAnsi="Times New Roman"/>
          <w:sz w:val="24"/>
          <w:szCs w:val="24"/>
        </w:rPr>
        <w:t xml:space="preserve">sed by </w:t>
      </w:r>
      <w:r w:rsidR="007B0FC8" w:rsidRPr="00353FA5">
        <w:rPr>
          <w:rFonts w:ascii="Times New Roman" w:hAnsi="Times New Roman"/>
          <w:sz w:val="24"/>
          <w:szCs w:val="24"/>
        </w:rPr>
        <w:t xml:space="preserve">Iyengar </w:t>
      </w:r>
      <w:r w:rsidR="007B0FC8">
        <w:rPr>
          <w:rFonts w:ascii="Times New Roman" w:hAnsi="Times New Roman"/>
          <w:sz w:val="24"/>
          <w:szCs w:val="24"/>
        </w:rPr>
        <w:t xml:space="preserve">and Woittiez </w:t>
      </w:r>
      <w:r w:rsidR="007B0FC8" w:rsidRPr="00353FA5">
        <w:rPr>
          <w:rFonts w:ascii="Times New Roman" w:hAnsi="Times New Roman"/>
          <w:sz w:val="24"/>
          <w:szCs w:val="24"/>
        </w:rPr>
        <w:t>(1988)</w:t>
      </w:r>
      <w:r w:rsidR="0005461C">
        <w:rPr>
          <w:rFonts w:ascii="Times New Roman" w:hAnsi="Times New Roman"/>
          <w:sz w:val="24"/>
          <w:szCs w:val="24"/>
        </w:rPr>
        <w:t>.</w:t>
      </w:r>
      <w:r w:rsidR="00EF5B53">
        <w:rPr>
          <w:rFonts w:ascii="Times New Roman" w:hAnsi="Times New Roman"/>
          <w:sz w:val="24"/>
          <w:szCs w:val="24"/>
        </w:rPr>
        <w:t xml:space="preserve">  This includes several essential elements including blood Cu, Fe, Mn, Se, and Zn, thus indicating a relatively healthy population.</w:t>
      </w:r>
      <w:r w:rsidR="0005461C">
        <w:rPr>
          <w:rFonts w:ascii="Times New Roman" w:hAnsi="Times New Roman"/>
          <w:sz w:val="24"/>
          <w:szCs w:val="24"/>
        </w:rPr>
        <w:t xml:space="preserve">  The results can also be compared to levels reported from national biomonitoring </w:t>
      </w:r>
      <w:r w:rsidR="0005461C" w:rsidRPr="00A559D3">
        <w:rPr>
          <w:rFonts w:ascii="Times New Roman" w:hAnsi="Times New Roman"/>
          <w:sz w:val="24"/>
          <w:szCs w:val="24"/>
        </w:rPr>
        <w:t xml:space="preserve">programs elsewhere.   Despite being within a “normal range” according to </w:t>
      </w:r>
      <w:r w:rsidR="007B0FC8" w:rsidRPr="00353FA5">
        <w:rPr>
          <w:rFonts w:ascii="Times New Roman" w:hAnsi="Times New Roman"/>
          <w:sz w:val="24"/>
          <w:szCs w:val="24"/>
        </w:rPr>
        <w:t xml:space="preserve">Iyengar </w:t>
      </w:r>
      <w:r w:rsidR="007B0FC8">
        <w:rPr>
          <w:rFonts w:ascii="Times New Roman" w:hAnsi="Times New Roman"/>
          <w:sz w:val="24"/>
          <w:szCs w:val="24"/>
        </w:rPr>
        <w:t xml:space="preserve">and Woittiez </w:t>
      </w:r>
      <w:r w:rsidR="007B0FC8" w:rsidRPr="00353FA5">
        <w:rPr>
          <w:rFonts w:ascii="Times New Roman" w:hAnsi="Times New Roman"/>
          <w:sz w:val="24"/>
          <w:szCs w:val="24"/>
        </w:rPr>
        <w:t>(1988)</w:t>
      </w:r>
      <w:r w:rsidR="0005461C" w:rsidRPr="00A559D3">
        <w:rPr>
          <w:rFonts w:ascii="Times New Roman" w:hAnsi="Times New Roman"/>
          <w:sz w:val="24"/>
          <w:szCs w:val="24"/>
        </w:rPr>
        <w:t xml:space="preserve">, the blood </w:t>
      </w:r>
      <w:r w:rsidR="001853C9">
        <w:rPr>
          <w:rFonts w:ascii="Times New Roman" w:hAnsi="Times New Roman"/>
          <w:sz w:val="24"/>
          <w:szCs w:val="24"/>
        </w:rPr>
        <w:t>Cd</w:t>
      </w:r>
      <w:r w:rsidR="0005461C" w:rsidRPr="00A559D3">
        <w:rPr>
          <w:rFonts w:ascii="Times New Roman" w:hAnsi="Times New Roman"/>
          <w:sz w:val="24"/>
          <w:szCs w:val="24"/>
        </w:rPr>
        <w:t xml:space="preserve"> and </w:t>
      </w:r>
      <w:r w:rsidR="001853C9">
        <w:rPr>
          <w:rFonts w:ascii="Times New Roman" w:hAnsi="Times New Roman"/>
          <w:sz w:val="24"/>
          <w:szCs w:val="24"/>
        </w:rPr>
        <w:t>Pb</w:t>
      </w:r>
      <w:r w:rsidR="0005461C" w:rsidRPr="00A559D3">
        <w:rPr>
          <w:rFonts w:ascii="Times New Roman" w:hAnsi="Times New Roman"/>
          <w:sz w:val="24"/>
          <w:szCs w:val="24"/>
        </w:rPr>
        <w:t xml:space="preserve"> levels were elevated compared to ba</w:t>
      </w:r>
      <w:r w:rsidR="001853C9">
        <w:rPr>
          <w:rFonts w:ascii="Times New Roman" w:hAnsi="Times New Roman"/>
          <w:sz w:val="24"/>
          <w:szCs w:val="24"/>
        </w:rPr>
        <w:t>ckground populations in the U.S.</w:t>
      </w:r>
      <w:r w:rsidR="0005461C" w:rsidRPr="00A559D3">
        <w:rPr>
          <w:rFonts w:ascii="Times New Roman" w:hAnsi="Times New Roman"/>
          <w:sz w:val="24"/>
          <w:szCs w:val="24"/>
        </w:rPr>
        <w:t xml:space="preserve"> and Germany.  For example, the median value reported here for Cd and Pb were 5.1 and 5.0-fold higher</w:t>
      </w:r>
      <w:r w:rsidR="001853C9">
        <w:rPr>
          <w:rFonts w:ascii="Times New Roman" w:hAnsi="Times New Roman"/>
          <w:sz w:val="24"/>
          <w:szCs w:val="24"/>
        </w:rPr>
        <w:t>, respectively,</w:t>
      </w:r>
      <w:r w:rsidR="0005461C" w:rsidRPr="00A559D3">
        <w:rPr>
          <w:rFonts w:ascii="Times New Roman" w:hAnsi="Times New Roman"/>
          <w:sz w:val="24"/>
          <w:szCs w:val="24"/>
        </w:rPr>
        <w:t xml:space="preserve"> than corresponding median values from males sampled during the 2009-2010 cycle of the U.S. </w:t>
      </w:r>
      <w:r w:rsidR="001853C9">
        <w:rPr>
          <w:rFonts w:ascii="Times New Roman" w:hAnsi="Times New Roman"/>
          <w:sz w:val="24"/>
          <w:szCs w:val="24"/>
        </w:rPr>
        <w:t>National Health and Nutrition Examination Survey (NHANES)</w:t>
      </w:r>
      <w:r w:rsidR="0005461C" w:rsidRPr="00A559D3">
        <w:rPr>
          <w:rFonts w:ascii="Times New Roman" w:hAnsi="Times New Roman"/>
          <w:sz w:val="24"/>
          <w:szCs w:val="24"/>
        </w:rPr>
        <w:t xml:space="preserve">.  For blood </w:t>
      </w:r>
      <w:r w:rsidR="001853C9">
        <w:rPr>
          <w:rFonts w:ascii="Times New Roman" w:hAnsi="Times New Roman"/>
          <w:sz w:val="24"/>
          <w:szCs w:val="24"/>
        </w:rPr>
        <w:t>Cd</w:t>
      </w:r>
      <w:r w:rsidR="0005461C" w:rsidRPr="00A559D3">
        <w:rPr>
          <w:rFonts w:ascii="Times New Roman" w:hAnsi="Times New Roman"/>
          <w:sz w:val="24"/>
          <w:szCs w:val="24"/>
        </w:rPr>
        <w:t>, 32.8% and 63.8% of our samples, respectively, exceeded the 95</w:t>
      </w:r>
      <w:r w:rsidR="0005461C" w:rsidRPr="00A559D3">
        <w:rPr>
          <w:rFonts w:ascii="Times New Roman" w:hAnsi="Times New Roman"/>
          <w:sz w:val="24"/>
          <w:szCs w:val="24"/>
          <w:vertAlign w:val="superscript"/>
        </w:rPr>
        <w:t>th</w:t>
      </w:r>
      <w:r w:rsidR="0005461C" w:rsidRPr="00A559D3">
        <w:rPr>
          <w:rFonts w:ascii="Times New Roman" w:hAnsi="Times New Roman"/>
          <w:sz w:val="24"/>
          <w:szCs w:val="24"/>
        </w:rPr>
        <w:t xml:space="preserve"> value of aforementioned U.S. NHANES study (1.45 ug/L) and the German Biomonitoring program’s reference value (1.0 ug/L).  For blood </w:t>
      </w:r>
      <w:r w:rsidR="0084248F">
        <w:rPr>
          <w:rFonts w:ascii="Times New Roman" w:hAnsi="Times New Roman"/>
          <w:sz w:val="24"/>
          <w:szCs w:val="24"/>
        </w:rPr>
        <w:t>Pb</w:t>
      </w:r>
      <w:r w:rsidR="0005461C" w:rsidRPr="00A559D3">
        <w:rPr>
          <w:rFonts w:ascii="Times New Roman" w:hAnsi="Times New Roman"/>
          <w:sz w:val="24"/>
          <w:szCs w:val="24"/>
        </w:rPr>
        <w:t>, 79.3% and 34.5% of our samples, respectively exceeded the 95</w:t>
      </w:r>
      <w:r w:rsidR="0005461C" w:rsidRPr="00A559D3">
        <w:rPr>
          <w:rFonts w:ascii="Times New Roman" w:hAnsi="Times New Roman"/>
          <w:sz w:val="24"/>
          <w:szCs w:val="24"/>
          <w:vertAlign w:val="superscript"/>
        </w:rPr>
        <w:t>th</w:t>
      </w:r>
      <w:r w:rsidR="0005461C" w:rsidRPr="00A559D3">
        <w:rPr>
          <w:rFonts w:ascii="Times New Roman" w:hAnsi="Times New Roman"/>
          <w:sz w:val="24"/>
          <w:szCs w:val="24"/>
        </w:rPr>
        <w:t xml:space="preserve"> </w:t>
      </w:r>
      <w:r w:rsidR="000C6759" w:rsidRPr="00A559D3">
        <w:rPr>
          <w:rFonts w:ascii="Times New Roman" w:hAnsi="Times New Roman"/>
          <w:sz w:val="24"/>
          <w:szCs w:val="24"/>
        </w:rPr>
        <w:t xml:space="preserve">percentile </w:t>
      </w:r>
      <w:r w:rsidR="0005461C" w:rsidRPr="00A559D3">
        <w:rPr>
          <w:rFonts w:ascii="Times New Roman" w:hAnsi="Times New Roman"/>
          <w:sz w:val="24"/>
          <w:szCs w:val="24"/>
        </w:rPr>
        <w:t>value of aforementioned U.S. NHANES study (38.4 ug/L) and the German Biomonitoring program’s reference value (90 ug/L).  Further, 67.2% of those sampled exceeded the recently updated US CDC</w:t>
      </w:r>
      <w:r w:rsidR="00E911F9">
        <w:rPr>
          <w:rFonts w:ascii="Times New Roman" w:hAnsi="Times New Roman"/>
          <w:sz w:val="24"/>
          <w:szCs w:val="24"/>
        </w:rPr>
        <w:t xml:space="preserve">/NIOSH </w:t>
      </w:r>
      <w:r w:rsidR="0005461C" w:rsidRPr="00A559D3">
        <w:rPr>
          <w:rFonts w:ascii="Times New Roman" w:hAnsi="Times New Roman"/>
          <w:sz w:val="24"/>
          <w:szCs w:val="24"/>
        </w:rPr>
        <w:t xml:space="preserve">blood </w:t>
      </w:r>
      <w:r w:rsidR="00AC2996">
        <w:rPr>
          <w:rFonts w:ascii="Times New Roman" w:hAnsi="Times New Roman"/>
          <w:sz w:val="24"/>
          <w:szCs w:val="24"/>
        </w:rPr>
        <w:t>Pb</w:t>
      </w:r>
      <w:r w:rsidR="0005461C" w:rsidRPr="00A559D3">
        <w:rPr>
          <w:rFonts w:ascii="Times New Roman" w:hAnsi="Times New Roman"/>
          <w:sz w:val="24"/>
          <w:szCs w:val="24"/>
        </w:rPr>
        <w:t xml:space="preserve"> guideline of 5 ug/</w:t>
      </w:r>
      <w:r w:rsidR="00A559D3" w:rsidRPr="00A559D3">
        <w:rPr>
          <w:rFonts w:ascii="Times New Roman" w:hAnsi="Times New Roman"/>
          <w:sz w:val="24"/>
          <w:szCs w:val="24"/>
        </w:rPr>
        <w:t>d</w:t>
      </w:r>
      <w:r w:rsidR="0005461C" w:rsidRPr="00A559D3">
        <w:rPr>
          <w:rFonts w:ascii="Times New Roman" w:hAnsi="Times New Roman"/>
          <w:sz w:val="24"/>
          <w:szCs w:val="24"/>
        </w:rPr>
        <w:t xml:space="preserve">L (or 50 ug/L). </w:t>
      </w:r>
      <w:r w:rsidR="007253FF" w:rsidRPr="00A559D3">
        <w:rPr>
          <w:rFonts w:ascii="Times New Roman" w:hAnsi="Times New Roman"/>
          <w:sz w:val="24"/>
          <w:szCs w:val="24"/>
        </w:rPr>
        <w:t xml:space="preserve"> </w:t>
      </w:r>
      <w:r w:rsidR="00AC2996">
        <w:rPr>
          <w:rFonts w:ascii="Times New Roman" w:hAnsi="Times New Roman"/>
          <w:sz w:val="24"/>
          <w:szCs w:val="24"/>
        </w:rPr>
        <w:t>Both Pb</w:t>
      </w:r>
      <w:r w:rsidR="00A26BEB">
        <w:rPr>
          <w:rFonts w:ascii="Times New Roman" w:hAnsi="Times New Roman"/>
          <w:sz w:val="24"/>
          <w:szCs w:val="24"/>
        </w:rPr>
        <w:t xml:space="preserve"> and </w:t>
      </w:r>
      <w:r w:rsidR="00AC2996">
        <w:rPr>
          <w:rFonts w:ascii="Times New Roman" w:hAnsi="Times New Roman"/>
          <w:sz w:val="24"/>
          <w:szCs w:val="24"/>
        </w:rPr>
        <w:t>Cd</w:t>
      </w:r>
      <w:r w:rsidR="00A26BEB">
        <w:rPr>
          <w:rFonts w:ascii="Times New Roman" w:hAnsi="Times New Roman"/>
          <w:sz w:val="24"/>
          <w:szCs w:val="24"/>
        </w:rPr>
        <w:t xml:space="preserve"> </w:t>
      </w:r>
      <w:r w:rsidR="00A26BEB" w:rsidRPr="00353FA5">
        <w:rPr>
          <w:rFonts w:ascii="Times New Roman" w:hAnsi="Times New Roman"/>
          <w:sz w:val="24"/>
          <w:szCs w:val="24"/>
        </w:rPr>
        <w:t>have been detected at elevated levels in</w:t>
      </w:r>
      <w:r w:rsidR="00A26BEB">
        <w:rPr>
          <w:rFonts w:ascii="Times New Roman" w:hAnsi="Times New Roman"/>
          <w:sz w:val="24"/>
          <w:szCs w:val="24"/>
        </w:rPr>
        <w:t xml:space="preserve"> the</w:t>
      </w:r>
      <w:r w:rsidR="00A26BEB" w:rsidRPr="00353FA5">
        <w:rPr>
          <w:rFonts w:ascii="Times New Roman" w:hAnsi="Times New Roman"/>
          <w:sz w:val="24"/>
          <w:szCs w:val="24"/>
        </w:rPr>
        <w:t xml:space="preserve"> region’s dust (Atiemo et al., 2012), sediment (Chama et al., 2014), and soil/ash (Otsuka et al., 2012)</w:t>
      </w:r>
      <w:r w:rsidR="00A26BEB">
        <w:rPr>
          <w:rFonts w:ascii="Times New Roman" w:hAnsi="Times New Roman"/>
          <w:sz w:val="24"/>
          <w:szCs w:val="24"/>
        </w:rPr>
        <w:t>, all of which are</w:t>
      </w:r>
      <w:r w:rsidR="00A26BEB" w:rsidRPr="00353FA5">
        <w:rPr>
          <w:rFonts w:ascii="Times New Roman" w:hAnsi="Times New Roman"/>
          <w:sz w:val="24"/>
          <w:szCs w:val="24"/>
        </w:rPr>
        <w:t xml:space="preserve"> likely exposure sources.</w:t>
      </w:r>
      <w:r w:rsidR="00A26BEB">
        <w:rPr>
          <w:rFonts w:ascii="Times New Roman" w:hAnsi="Times New Roman"/>
          <w:sz w:val="24"/>
          <w:szCs w:val="24"/>
        </w:rPr>
        <w:t xml:space="preserve"> </w:t>
      </w:r>
    </w:p>
    <w:p w14:paraId="4E773430" w14:textId="0889836E" w:rsidR="005E42B5" w:rsidRDefault="005E42B5" w:rsidP="00A26BEB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1F3C0E45" w14:textId="60E2A619" w:rsidR="00946E27" w:rsidRDefault="000C3386" w:rsidP="00DD08F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559D3">
        <w:rPr>
          <w:rFonts w:ascii="Times New Roman" w:hAnsi="Times New Roman"/>
          <w:sz w:val="24"/>
          <w:szCs w:val="24"/>
        </w:rPr>
        <w:t xml:space="preserve">Urinary data </w:t>
      </w:r>
      <w:r w:rsidR="00A26BEB">
        <w:rPr>
          <w:rFonts w:ascii="Times New Roman" w:hAnsi="Times New Roman"/>
          <w:sz w:val="24"/>
          <w:szCs w:val="24"/>
        </w:rPr>
        <w:t>from</w:t>
      </w:r>
      <w:r w:rsidR="007253FF" w:rsidRPr="00A559D3">
        <w:rPr>
          <w:rFonts w:ascii="Times New Roman" w:hAnsi="Times New Roman"/>
          <w:sz w:val="24"/>
          <w:szCs w:val="24"/>
        </w:rPr>
        <w:t xml:space="preserve"> the current work was </w:t>
      </w:r>
      <w:r w:rsidRPr="00A559D3">
        <w:rPr>
          <w:rFonts w:ascii="Times New Roman" w:hAnsi="Times New Roman"/>
          <w:sz w:val="24"/>
          <w:szCs w:val="24"/>
        </w:rPr>
        <w:t xml:space="preserve">compared to the study by Asante et al. (2012) who previously measured several urinary elements in 20 male </w:t>
      </w:r>
      <w:r w:rsidR="007253FF" w:rsidRPr="00A559D3">
        <w:rPr>
          <w:rFonts w:ascii="Times New Roman" w:hAnsi="Times New Roman"/>
          <w:sz w:val="24"/>
          <w:szCs w:val="24"/>
        </w:rPr>
        <w:t xml:space="preserve">Agbogbloshie </w:t>
      </w:r>
      <w:r w:rsidRPr="00A559D3">
        <w:rPr>
          <w:rFonts w:ascii="Times New Roman" w:hAnsi="Times New Roman"/>
          <w:sz w:val="24"/>
          <w:szCs w:val="24"/>
        </w:rPr>
        <w:t xml:space="preserve">e-waste workers sampled in August 2008. </w:t>
      </w:r>
      <w:r w:rsidR="007253FF" w:rsidRPr="00A559D3">
        <w:rPr>
          <w:rFonts w:ascii="Times New Roman" w:hAnsi="Times New Roman"/>
          <w:sz w:val="24"/>
          <w:szCs w:val="24"/>
        </w:rPr>
        <w:t xml:space="preserve">There were 7 urinary elements common between our studies, and of these the mean values reported by Asante et al. (2012) for As, </w:t>
      </w:r>
      <w:r w:rsidR="00A559D3" w:rsidRPr="00A559D3">
        <w:rPr>
          <w:rFonts w:ascii="Times New Roman" w:hAnsi="Times New Roman"/>
          <w:sz w:val="24"/>
          <w:szCs w:val="24"/>
        </w:rPr>
        <w:t xml:space="preserve">Co, and </w:t>
      </w:r>
      <w:r w:rsidR="007253FF" w:rsidRPr="00A559D3">
        <w:rPr>
          <w:rFonts w:ascii="Times New Roman" w:hAnsi="Times New Roman"/>
          <w:sz w:val="24"/>
          <w:szCs w:val="24"/>
        </w:rPr>
        <w:t xml:space="preserve">Hg were within the interquartile range we report here. Notably, for urinary </w:t>
      </w:r>
      <w:r w:rsidR="00A559D3" w:rsidRPr="00A559D3">
        <w:rPr>
          <w:rFonts w:ascii="Times New Roman" w:hAnsi="Times New Roman"/>
          <w:sz w:val="24"/>
          <w:szCs w:val="24"/>
        </w:rPr>
        <w:t>Cr and Cu</w:t>
      </w:r>
      <w:r w:rsidR="007253FF" w:rsidRPr="00A559D3">
        <w:rPr>
          <w:rFonts w:ascii="Times New Roman" w:hAnsi="Times New Roman"/>
          <w:sz w:val="24"/>
          <w:szCs w:val="24"/>
        </w:rPr>
        <w:t xml:space="preserve">, the mean level reported by Asante et al. </w:t>
      </w:r>
      <w:r w:rsidR="00AC2996">
        <w:rPr>
          <w:rFonts w:ascii="Times New Roman" w:hAnsi="Times New Roman"/>
          <w:sz w:val="24"/>
          <w:szCs w:val="24"/>
        </w:rPr>
        <w:t>was</w:t>
      </w:r>
      <w:r w:rsidR="007253FF" w:rsidRPr="00A559D3">
        <w:rPr>
          <w:rFonts w:ascii="Times New Roman" w:hAnsi="Times New Roman"/>
          <w:sz w:val="24"/>
          <w:szCs w:val="24"/>
        </w:rPr>
        <w:t xml:space="preserve"> </w:t>
      </w:r>
      <w:r w:rsidR="00A559D3" w:rsidRPr="00A559D3">
        <w:rPr>
          <w:rFonts w:ascii="Times New Roman" w:hAnsi="Times New Roman"/>
          <w:sz w:val="24"/>
          <w:szCs w:val="24"/>
        </w:rPr>
        <w:t>10.5- and 7</w:t>
      </w:r>
      <w:r w:rsidR="00386703" w:rsidRPr="00A559D3">
        <w:rPr>
          <w:rFonts w:ascii="Times New Roman" w:hAnsi="Times New Roman"/>
          <w:sz w:val="24"/>
          <w:szCs w:val="24"/>
        </w:rPr>
        <w:t>-times</w:t>
      </w:r>
      <w:r w:rsidR="007253FF" w:rsidRPr="00A559D3">
        <w:rPr>
          <w:rFonts w:ascii="Times New Roman" w:hAnsi="Times New Roman"/>
          <w:sz w:val="24"/>
          <w:szCs w:val="24"/>
        </w:rPr>
        <w:t xml:space="preserve"> higher than what we report here with the </w:t>
      </w:r>
      <w:r w:rsidRPr="00A559D3">
        <w:rPr>
          <w:rFonts w:ascii="Times New Roman" w:hAnsi="Times New Roman"/>
          <w:sz w:val="24"/>
          <w:szCs w:val="24"/>
        </w:rPr>
        <w:t xml:space="preserve">maximum reported </w:t>
      </w:r>
      <w:r w:rsidR="007253FF" w:rsidRPr="00A559D3">
        <w:rPr>
          <w:rFonts w:ascii="Times New Roman" w:hAnsi="Times New Roman"/>
          <w:sz w:val="24"/>
          <w:szCs w:val="24"/>
        </w:rPr>
        <w:t>levels of urinary</w:t>
      </w:r>
      <w:r w:rsidRPr="00A559D3">
        <w:rPr>
          <w:rFonts w:ascii="Times New Roman" w:hAnsi="Times New Roman"/>
          <w:sz w:val="24"/>
          <w:szCs w:val="24"/>
        </w:rPr>
        <w:t xml:space="preserve"> </w:t>
      </w:r>
      <w:r w:rsidR="00AC2996">
        <w:rPr>
          <w:rFonts w:ascii="Times New Roman" w:hAnsi="Times New Roman"/>
          <w:sz w:val="24"/>
          <w:szCs w:val="24"/>
        </w:rPr>
        <w:t>Cu</w:t>
      </w:r>
      <w:r w:rsidRPr="00A559D3">
        <w:rPr>
          <w:rFonts w:ascii="Times New Roman" w:hAnsi="Times New Roman"/>
          <w:sz w:val="24"/>
          <w:szCs w:val="24"/>
        </w:rPr>
        <w:t xml:space="preserve"> (490 ug/L) and </w:t>
      </w:r>
      <w:r w:rsidR="00AC2996">
        <w:rPr>
          <w:rFonts w:ascii="Times New Roman" w:hAnsi="Times New Roman"/>
          <w:sz w:val="24"/>
          <w:szCs w:val="24"/>
        </w:rPr>
        <w:t>Cr</w:t>
      </w:r>
      <w:r w:rsidRPr="00A559D3">
        <w:rPr>
          <w:rFonts w:ascii="Times New Roman" w:hAnsi="Times New Roman"/>
          <w:sz w:val="24"/>
          <w:szCs w:val="24"/>
        </w:rPr>
        <w:t xml:space="preserve"> (29 ug/L) </w:t>
      </w:r>
      <w:r w:rsidR="007253FF" w:rsidRPr="00A559D3">
        <w:rPr>
          <w:rFonts w:ascii="Times New Roman" w:hAnsi="Times New Roman"/>
          <w:sz w:val="24"/>
          <w:szCs w:val="24"/>
        </w:rPr>
        <w:t>being</w:t>
      </w:r>
      <w:r w:rsidRPr="00A559D3">
        <w:rPr>
          <w:rFonts w:ascii="Times New Roman" w:hAnsi="Times New Roman"/>
          <w:sz w:val="24"/>
          <w:szCs w:val="24"/>
        </w:rPr>
        <w:t xml:space="preserve"> substantially higher.  The reasons for these higher exposures are not </w:t>
      </w:r>
      <w:r w:rsidR="00AC4691" w:rsidRPr="00A559D3">
        <w:rPr>
          <w:rFonts w:ascii="Times New Roman" w:hAnsi="Times New Roman"/>
          <w:sz w:val="24"/>
          <w:szCs w:val="24"/>
        </w:rPr>
        <w:t>clear</w:t>
      </w:r>
      <w:r w:rsidRPr="00A559D3">
        <w:rPr>
          <w:rFonts w:ascii="Times New Roman" w:hAnsi="Times New Roman"/>
          <w:sz w:val="24"/>
          <w:szCs w:val="24"/>
        </w:rPr>
        <w:t xml:space="preserve">.  Like our study, Asante et al. (2012) </w:t>
      </w:r>
      <w:r w:rsidR="00AC4691" w:rsidRPr="00A559D3">
        <w:rPr>
          <w:rFonts w:ascii="Times New Roman" w:hAnsi="Times New Roman"/>
          <w:sz w:val="24"/>
          <w:szCs w:val="24"/>
        </w:rPr>
        <w:t>included</w:t>
      </w:r>
      <w:r w:rsidR="00AC4691">
        <w:rPr>
          <w:rFonts w:ascii="Times New Roman" w:hAnsi="Times New Roman"/>
          <w:sz w:val="24"/>
          <w:szCs w:val="24"/>
        </w:rPr>
        <w:t xml:space="preserve"> several analytical quality control measures though did not normalize their urinary values with </w:t>
      </w:r>
      <w:r w:rsidR="00AC4691" w:rsidRPr="00EF5B53">
        <w:rPr>
          <w:rFonts w:ascii="Times New Roman" w:hAnsi="Times New Roman"/>
          <w:sz w:val="24"/>
          <w:szCs w:val="24"/>
        </w:rPr>
        <w:t xml:space="preserve">specific </w:t>
      </w:r>
      <w:r w:rsidR="00AC2996" w:rsidRPr="00EF5B53">
        <w:rPr>
          <w:rFonts w:ascii="Times New Roman" w:hAnsi="Times New Roman"/>
          <w:sz w:val="24"/>
          <w:szCs w:val="24"/>
        </w:rPr>
        <w:t>gravity</w:t>
      </w:r>
      <w:r w:rsidR="00AC2996">
        <w:rPr>
          <w:rFonts w:ascii="Times New Roman" w:hAnsi="Times New Roman"/>
          <w:sz w:val="24"/>
          <w:szCs w:val="24"/>
        </w:rPr>
        <w:t xml:space="preserve">, which </w:t>
      </w:r>
      <w:r w:rsidR="00AC4691" w:rsidRPr="00EF5B53">
        <w:rPr>
          <w:rFonts w:ascii="Times New Roman" w:hAnsi="Times New Roman"/>
          <w:sz w:val="24"/>
          <w:szCs w:val="24"/>
        </w:rPr>
        <w:t>could introduce some differences.</w:t>
      </w:r>
      <w:r w:rsidR="0010194C" w:rsidRPr="00EF5B53">
        <w:rPr>
          <w:rFonts w:ascii="Times New Roman" w:hAnsi="Times New Roman"/>
          <w:sz w:val="24"/>
          <w:szCs w:val="24"/>
        </w:rPr>
        <w:t xml:space="preserve"> </w:t>
      </w:r>
      <w:r w:rsidR="00AC4691" w:rsidRPr="00EF5B53">
        <w:rPr>
          <w:rFonts w:ascii="Times New Roman" w:hAnsi="Times New Roman"/>
          <w:sz w:val="24"/>
          <w:szCs w:val="24"/>
        </w:rPr>
        <w:t xml:space="preserve"> </w:t>
      </w:r>
      <w:r w:rsidR="0010194C" w:rsidRPr="00EF5B53">
        <w:rPr>
          <w:rFonts w:ascii="Times New Roman" w:hAnsi="Times New Roman"/>
          <w:sz w:val="24"/>
          <w:szCs w:val="24"/>
        </w:rPr>
        <w:t>To be consistent with our approach for the blood data, we also compare</w:t>
      </w:r>
      <w:r w:rsidR="00A26BEB">
        <w:rPr>
          <w:rFonts w:ascii="Times New Roman" w:hAnsi="Times New Roman"/>
          <w:sz w:val="24"/>
          <w:szCs w:val="24"/>
        </w:rPr>
        <w:t>d</w:t>
      </w:r>
      <w:r w:rsidR="0010194C" w:rsidRPr="00EF5B53">
        <w:rPr>
          <w:rFonts w:ascii="Times New Roman" w:hAnsi="Times New Roman"/>
          <w:sz w:val="24"/>
          <w:szCs w:val="24"/>
        </w:rPr>
        <w:t xml:space="preserve"> the urinary </w:t>
      </w:r>
      <w:r w:rsidR="00AC2996">
        <w:rPr>
          <w:rFonts w:ascii="Times New Roman" w:hAnsi="Times New Roman"/>
          <w:sz w:val="24"/>
          <w:szCs w:val="24"/>
        </w:rPr>
        <w:t>elements</w:t>
      </w:r>
      <w:r w:rsidR="0010194C" w:rsidRPr="00EF5B53">
        <w:rPr>
          <w:rFonts w:ascii="Times New Roman" w:hAnsi="Times New Roman"/>
          <w:sz w:val="24"/>
          <w:szCs w:val="24"/>
        </w:rPr>
        <w:t xml:space="preserve"> with the reference ranges provided by Iyegar et al. (1988) which showed that the median results of our study are approximately two-fold (or greater) higher than </w:t>
      </w:r>
      <w:r w:rsidR="00AC2996">
        <w:rPr>
          <w:rFonts w:ascii="Times New Roman" w:hAnsi="Times New Roman"/>
          <w:sz w:val="24"/>
          <w:szCs w:val="24"/>
        </w:rPr>
        <w:t xml:space="preserve">reference </w:t>
      </w:r>
      <w:r w:rsidR="0010194C" w:rsidRPr="00EF5B53">
        <w:rPr>
          <w:rFonts w:ascii="Times New Roman" w:hAnsi="Times New Roman"/>
          <w:sz w:val="24"/>
          <w:szCs w:val="24"/>
        </w:rPr>
        <w:t xml:space="preserve">values for urinary As, Cr, </w:t>
      </w:r>
      <w:r w:rsidR="00A559D3" w:rsidRPr="00EF5B53">
        <w:rPr>
          <w:rFonts w:ascii="Times New Roman" w:hAnsi="Times New Roman"/>
          <w:sz w:val="24"/>
          <w:szCs w:val="24"/>
        </w:rPr>
        <w:t>Ni, and Zn.</w:t>
      </w:r>
      <w:r w:rsidR="0010194C" w:rsidRPr="00EF5B53">
        <w:rPr>
          <w:rFonts w:ascii="Times New Roman" w:hAnsi="Times New Roman"/>
          <w:sz w:val="24"/>
          <w:szCs w:val="24"/>
        </w:rPr>
        <w:t xml:space="preserve"> For </w:t>
      </w:r>
      <w:r w:rsidR="000C6759" w:rsidRPr="00EF5B53">
        <w:rPr>
          <w:rFonts w:ascii="Times New Roman" w:hAnsi="Times New Roman"/>
          <w:sz w:val="24"/>
          <w:szCs w:val="24"/>
        </w:rPr>
        <w:t xml:space="preserve">urinary </w:t>
      </w:r>
      <w:r w:rsidR="0010194C" w:rsidRPr="00EF5B53">
        <w:rPr>
          <w:rFonts w:ascii="Times New Roman" w:hAnsi="Times New Roman"/>
          <w:sz w:val="24"/>
          <w:szCs w:val="24"/>
        </w:rPr>
        <w:t>As we note that</w:t>
      </w:r>
      <w:r w:rsidR="00EF5B53" w:rsidRPr="00EF5B53">
        <w:rPr>
          <w:rFonts w:ascii="Times New Roman" w:hAnsi="Times New Roman"/>
          <w:sz w:val="24"/>
          <w:szCs w:val="24"/>
        </w:rPr>
        <w:t xml:space="preserve"> 39</w:t>
      </w:r>
      <w:r w:rsidR="00946E27" w:rsidRPr="00EF5B53">
        <w:rPr>
          <w:rFonts w:ascii="Times New Roman" w:hAnsi="Times New Roman"/>
          <w:sz w:val="24"/>
          <w:szCs w:val="24"/>
        </w:rPr>
        <w:t>% of the participants had levels exceeding 100µg/L, a value reported by the U.S. Agency for Toxic Substances and Disease Registry (ATSDR</w:t>
      </w:r>
      <w:r w:rsidR="0045381F">
        <w:rPr>
          <w:rFonts w:ascii="Times New Roman" w:hAnsi="Times New Roman"/>
          <w:sz w:val="24"/>
          <w:szCs w:val="24"/>
        </w:rPr>
        <w:t>,</w:t>
      </w:r>
      <w:r w:rsidR="00946E27" w:rsidRPr="00EF5B53">
        <w:rPr>
          <w:rFonts w:ascii="Times New Roman" w:hAnsi="Times New Roman"/>
          <w:sz w:val="24"/>
          <w:szCs w:val="24"/>
        </w:rPr>
        <w:t xml:space="preserve"> 2007) to be of </w:t>
      </w:r>
      <w:r w:rsidR="00EE7B8E">
        <w:rPr>
          <w:rFonts w:ascii="Times New Roman" w:hAnsi="Times New Roman"/>
          <w:sz w:val="24"/>
          <w:szCs w:val="24"/>
        </w:rPr>
        <w:t xml:space="preserve">possible </w:t>
      </w:r>
      <w:r w:rsidR="00946E27" w:rsidRPr="00EF5B53">
        <w:rPr>
          <w:rFonts w:ascii="Times New Roman" w:hAnsi="Times New Roman"/>
          <w:sz w:val="24"/>
          <w:szCs w:val="24"/>
        </w:rPr>
        <w:t>health concern.</w:t>
      </w:r>
      <w:r w:rsidR="00946E27">
        <w:rPr>
          <w:rFonts w:ascii="Times New Roman" w:hAnsi="Times New Roman"/>
          <w:sz w:val="24"/>
          <w:szCs w:val="24"/>
        </w:rPr>
        <w:t xml:space="preserve"> </w:t>
      </w:r>
    </w:p>
    <w:p w14:paraId="0D5E0785" w14:textId="77777777" w:rsidR="001955CB" w:rsidRDefault="001955CB" w:rsidP="00DD08F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3AA50D1D" w14:textId="4D23A051" w:rsidR="00AC4691" w:rsidRDefault="00AC4691" w:rsidP="00EF5B5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F5B53">
        <w:rPr>
          <w:rFonts w:ascii="Times New Roman" w:hAnsi="Times New Roman"/>
          <w:sz w:val="24"/>
          <w:szCs w:val="24"/>
        </w:rPr>
        <w:t xml:space="preserve">To understand elemental exposures in the context of e-waste activities, we related the self-reported workplace activities with the blood and urine </w:t>
      </w:r>
      <w:r w:rsidR="00AC2996">
        <w:rPr>
          <w:rFonts w:ascii="Times New Roman" w:hAnsi="Times New Roman"/>
          <w:sz w:val="24"/>
          <w:szCs w:val="24"/>
        </w:rPr>
        <w:t xml:space="preserve">elemental </w:t>
      </w:r>
      <w:r w:rsidRPr="00EF5B53">
        <w:rPr>
          <w:rFonts w:ascii="Times New Roman" w:hAnsi="Times New Roman"/>
          <w:sz w:val="24"/>
          <w:szCs w:val="24"/>
        </w:rPr>
        <w:t xml:space="preserve">data.  </w:t>
      </w:r>
      <w:r w:rsidR="004342FC">
        <w:rPr>
          <w:rFonts w:ascii="Times New Roman" w:hAnsi="Times New Roman"/>
          <w:sz w:val="24"/>
          <w:szCs w:val="24"/>
        </w:rPr>
        <w:t>As mentioned earlier there</w:t>
      </w:r>
      <w:r w:rsidR="00EF5B53">
        <w:rPr>
          <w:rFonts w:ascii="Times New Roman" w:hAnsi="Times New Roman"/>
          <w:sz w:val="24"/>
          <w:szCs w:val="24"/>
        </w:rPr>
        <w:t xml:space="preserve"> were</w:t>
      </w:r>
      <w:r w:rsidRPr="00EF5B53">
        <w:rPr>
          <w:rFonts w:ascii="Times New Roman" w:hAnsi="Times New Roman"/>
          <w:sz w:val="24"/>
          <w:szCs w:val="24"/>
        </w:rPr>
        <w:t xml:space="preserve"> </w:t>
      </w:r>
      <w:r w:rsidR="004342FC">
        <w:rPr>
          <w:rFonts w:ascii="Times New Roman" w:hAnsi="Times New Roman"/>
          <w:sz w:val="24"/>
          <w:szCs w:val="24"/>
        </w:rPr>
        <w:t>challenges</w:t>
      </w:r>
      <w:r w:rsidRPr="00EF5B53">
        <w:rPr>
          <w:rFonts w:ascii="Times New Roman" w:hAnsi="Times New Roman"/>
          <w:sz w:val="24"/>
          <w:szCs w:val="24"/>
        </w:rPr>
        <w:t xml:space="preserve"> with the job classifications</w:t>
      </w:r>
      <w:r w:rsidR="004342FC">
        <w:rPr>
          <w:rFonts w:ascii="Times New Roman" w:hAnsi="Times New Roman"/>
          <w:sz w:val="24"/>
          <w:szCs w:val="24"/>
        </w:rPr>
        <w:t xml:space="preserve"> from which we had to work with, and </w:t>
      </w:r>
      <w:r w:rsidR="00EF5B53">
        <w:rPr>
          <w:rFonts w:ascii="Times New Roman" w:hAnsi="Times New Roman"/>
          <w:sz w:val="24"/>
          <w:szCs w:val="24"/>
        </w:rPr>
        <w:t>most</w:t>
      </w:r>
      <w:r w:rsidR="00EF5B53" w:rsidRPr="00087FF3">
        <w:rPr>
          <w:rFonts w:ascii="Times New Roman" w:hAnsi="Times New Roman"/>
          <w:sz w:val="24"/>
          <w:szCs w:val="24"/>
        </w:rPr>
        <w:t xml:space="preserve"> indicated to have performed </w:t>
      </w:r>
      <w:r w:rsidR="00EF5B53" w:rsidRPr="004342FC">
        <w:rPr>
          <w:rFonts w:ascii="Times New Roman" w:hAnsi="Times New Roman"/>
          <w:sz w:val="24"/>
          <w:szCs w:val="24"/>
        </w:rPr>
        <w:t xml:space="preserve">several e-waste related tasks (e.g., 31% of the population self-reported routine involvement in </w:t>
      </w:r>
      <w:r w:rsidR="00A26BEB">
        <w:rPr>
          <w:rFonts w:ascii="Times New Roman" w:hAnsi="Times New Roman"/>
          <w:sz w:val="24"/>
          <w:szCs w:val="24"/>
        </w:rPr>
        <w:t>seven</w:t>
      </w:r>
      <w:r w:rsidR="00EF5B53" w:rsidRPr="004342FC">
        <w:rPr>
          <w:rFonts w:ascii="Times New Roman" w:hAnsi="Times New Roman"/>
          <w:sz w:val="24"/>
          <w:szCs w:val="24"/>
        </w:rPr>
        <w:t xml:space="preserve"> tasks).  Most interesting</w:t>
      </w:r>
      <w:r w:rsidR="00AC2996">
        <w:rPr>
          <w:rFonts w:ascii="Times New Roman" w:hAnsi="Times New Roman"/>
          <w:sz w:val="24"/>
          <w:szCs w:val="24"/>
        </w:rPr>
        <w:t xml:space="preserve">, </w:t>
      </w:r>
      <w:r w:rsidR="00EF5B53" w:rsidRPr="004342FC">
        <w:rPr>
          <w:rFonts w:ascii="Times New Roman" w:hAnsi="Times New Roman"/>
          <w:sz w:val="24"/>
          <w:szCs w:val="24"/>
        </w:rPr>
        <w:t xml:space="preserve">those </w:t>
      </w:r>
      <w:r w:rsidR="000134F9" w:rsidRPr="004342FC">
        <w:rPr>
          <w:rFonts w:ascii="Times New Roman" w:hAnsi="Times New Roman"/>
          <w:sz w:val="24"/>
          <w:szCs w:val="24"/>
        </w:rPr>
        <w:t xml:space="preserve">who </w:t>
      </w:r>
      <w:r w:rsidRPr="004342FC">
        <w:rPr>
          <w:rFonts w:ascii="Times New Roman" w:hAnsi="Times New Roman"/>
          <w:sz w:val="24"/>
          <w:szCs w:val="24"/>
        </w:rPr>
        <w:t xml:space="preserve">performed burning activities had </w:t>
      </w:r>
      <w:r w:rsidR="000134F9" w:rsidRPr="004342FC">
        <w:rPr>
          <w:rFonts w:ascii="Times New Roman" w:hAnsi="Times New Roman"/>
          <w:sz w:val="24"/>
          <w:szCs w:val="24"/>
        </w:rPr>
        <w:t xml:space="preserve">higher </w:t>
      </w:r>
      <w:r w:rsidR="004342FC" w:rsidRPr="004342FC">
        <w:rPr>
          <w:rFonts w:ascii="Times New Roman" w:hAnsi="Times New Roman"/>
          <w:sz w:val="24"/>
          <w:szCs w:val="24"/>
        </w:rPr>
        <w:t xml:space="preserve">levels of most blood and urinary elements than those </w:t>
      </w:r>
      <w:r w:rsidRPr="004342FC">
        <w:rPr>
          <w:rFonts w:ascii="Times New Roman" w:hAnsi="Times New Roman"/>
          <w:sz w:val="24"/>
          <w:szCs w:val="24"/>
        </w:rPr>
        <w:t>who did not.</w:t>
      </w:r>
      <w:r w:rsidR="000134F9" w:rsidRPr="004342FC">
        <w:rPr>
          <w:rFonts w:ascii="Times New Roman" w:hAnsi="Times New Roman"/>
          <w:sz w:val="24"/>
          <w:szCs w:val="24"/>
        </w:rPr>
        <w:t xml:space="preserve">  The main purpose of burning plastic off of wires is to recover copper, and</w:t>
      </w:r>
      <w:r w:rsidR="000134F9">
        <w:rPr>
          <w:rFonts w:ascii="Times New Roman" w:hAnsi="Times New Roman"/>
          <w:sz w:val="24"/>
          <w:szCs w:val="24"/>
        </w:rPr>
        <w:t xml:space="preserve"> </w:t>
      </w:r>
      <w:r w:rsidR="004342FC">
        <w:rPr>
          <w:rFonts w:ascii="Times New Roman" w:hAnsi="Times New Roman"/>
          <w:sz w:val="24"/>
          <w:szCs w:val="24"/>
        </w:rPr>
        <w:t>the process can also liberate a range of other elements and result in direct exposures</w:t>
      </w:r>
      <w:r w:rsidR="000134F9">
        <w:rPr>
          <w:rFonts w:ascii="Times New Roman" w:hAnsi="Times New Roman"/>
          <w:sz w:val="24"/>
          <w:szCs w:val="24"/>
        </w:rPr>
        <w:t xml:space="preserve">.  </w:t>
      </w:r>
    </w:p>
    <w:p w14:paraId="25FA60B1" w14:textId="77777777" w:rsidR="001955CB" w:rsidRDefault="001955CB" w:rsidP="00AC299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E273B51" w14:textId="055228A9" w:rsidR="00AC2996" w:rsidRDefault="00AC2996" w:rsidP="00AC299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Besides e-waste workers (who are largely middle-aged men), the Agbogbloshie region is home to tens of thousands of people including an estimated 4,500-6500 individual who work at the e-waste site (Prakash, 2010).  Some of these workers are females who serve the site by selling water and food.  </w:t>
      </w:r>
      <w:r w:rsidRPr="00FF2251">
        <w:rPr>
          <w:rFonts w:ascii="Times New Roman" w:hAnsi="Times New Roman"/>
          <w:sz w:val="24"/>
          <w:szCs w:val="24"/>
        </w:rPr>
        <w:t xml:space="preserve">The residential community </w:t>
      </w:r>
      <w:r>
        <w:rPr>
          <w:rFonts w:ascii="Times New Roman" w:hAnsi="Times New Roman"/>
          <w:sz w:val="24"/>
          <w:szCs w:val="24"/>
        </w:rPr>
        <w:t>that houses</w:t>
      </w:r>
      <w:r w:rsidRPr="00FF2251">
        <w:rPr>
          <w:rFonts w:ascii="Times New Roman" w:hAnsi="Times New Roman"/>
          <w:sz w:val="24"/>
          <w:szCs w:val="24"/>
        </w:rPr>
        <w:t xml:space="preserve"> Agbogbloshie workers and their families (as well as others from the general population) is located east of the e-waste recycling site, about </w:t>
      </w:r>
      <w:r w:rsidRPr="00EB19D2">
        <w:rPr>
          <w:rFonts w:ascii="Times New Roman" w:hAnsi="Times New Roman"/>
          <w:sz w:val="24"/>
          <w:szCs w:val="24"/>
        </w:rPr>
        <w:t xml:space="preserve">100 meters across the Odaw River.  These populations are continuously exposed to many of the same hazards as the e-waste workers, including exposure to toxic elements.   In our </w:t>
      </w:r>
      <w:r w:rsidR="00E911F9">
        <w:rPr>
          <w:rFonts w:ascii="Times New Roman" w:hAnsi="Times New Roman"/>
          <w:sz w:val="24"/>
          <w:szCs w:val="24"/>
        </w:rPr>
        <w:t>exploratory</w:t>
      </w:r>
      <w:r w:rsidR="00E911F9" w:rsidRPr="00EB19D2">
        <w:rPr>
          <w:rFonts w:ascii="Times New Roman" w:hAnsi="Times New Roman"/>
          <w:sz w:val="24"/>
          <w:szCs w:val="24"/>
        </w:rPr>
        <w:t xml:space="preserve"> </w:t>
      </w:r>
      <w:r w:rsidRPr="00EB19D2">
        <w:rPr>
          <w:rFonts w:ascii="Times New Roman" w:hAnsi="Times New Roman"/>
          <w:sz w:val="24"/>
          <w:szCs w:val="24"/>
        </w:rPr>
        <w:t xml:space="preserve">study of 11 female service workers we note that the </w:t>
      </w:r>
      <w:r w:rsidR="00EB19D2" w:rsidRPr="00EB19D2">
        <w:rPr>
          <w:rFonts w:ascii="Times New Roman" w:hAnsi="Times New Roman"/>
          <w:sz w:val="24"/>
          <w:szCs w:val="24"/>
        </w:rPr>
        <w:t>median</w:t>
      </w:r>
      <w:r w:rsidRPr="00EB19D2">
        <w:rPr>
          <w:rFonts w:ascii="Times New Roman" w:hAnsi="Times New Roman"/>
          <w:sz w:val="24"/>
          <w:szCs w:val="24"/>
        </w:rPr>
        <w:t xml:space="preserve"> values of </w:t>
      </w:r>
      <w:r w:rsidR="00EB19D2" w:rsidRPr="00EB19D2">
        <w:rPr>
          <w:rFonts w:ascii="Times New Roman" w:hAnsi="Times New Roman"/>
          <w:sz w:val="24"/>
          <w:szCs w:val="24"/>
        </w:rPr>
        <w:t>several elements studied here were higher than in the males.  More study is needed of these female workers, as well as members from the at-large community (including children) to characterize their exposures to e-waste hazards.</w:t>
      </w:r>
    </w:p>
    <w:p w14:paraId="45F9D8BE" w14:textId="360DBE1F" w:rsidR="00AC2996" w:rsidRDefault="00AC2996" w:rsidP="00AC299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2FAA008D" w14:textId="77777777" w:rsidR="00AC2996" w:rsidRDefault="00AC2996" w:rsidP="00DD08F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EFA639B" w14:textId="23EE206E" w:rsidR="00DD08FC" w:rsidRPr="00165CA9" w:rsidRDefault="000134F9" w:rsidP="00DD08F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</w:t>
      </w:r>
      <w:r w:rsidR="00DD08FC">
        <w:rPr>
          <w:rFonts w:ascii="Times New Roman" w:hAnsi="Times New Roman"/>
          <w:sz w:val="24"/>
          <w:szCs w:val="24"/>
        </w:rPr>
        <w:t>ent study has several strengths</w:t>
      </w:r>
      <w:r w:rsidR="00A26B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notably the use of two biomarkers of elemental </w:t>
      </w:r>
      <w:r w:rsidR="00DD08FC">
        <w:rPr>
          <w:rFonts w:ascii="Times New Roman" w:hAnsi="Times New Roman"/>
          <w:sz w:val="24"/>
          <w:szCs w:val="24"/>
        </w:rPr>
        <w:t xml:space="preserve">exposures and </w:t>
      </w:r>
      <w:r>
        <w:rPr>
          <w:rFonts w:ascii="Times New Roman" w:hAnsi="Times New Roman"/>
          <w:sz w:val="24"/>
          <w:szCs w:val="24"/>
        </w:rPr>
        <w:t>the use of surveys that capture a range of pertinent socio</w:t>
      </w:r>
      <w:r w:rsidR="00AC29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demographic and occupational </w:t>
      </w:r>
      <w:r w:rsidR="00DD08FC">
        <w:rPr>
          <w:rFonts w:ascii="Times New Roman" w:hAnsi="Times New Roman"/>
          <w:sz w:val="24"/>
          <w:szCs w:val="24"/>
        </w:rPr>
        <w:t xml:space="preserve">variables.  Further, the work is </w:t>
      </w:r>
      <w:r>
        <w:rPr>
          <w:rFonts w:ascii="Times New Roman" w:hAnsi="Times New Roman"/>
          <w:sz w:val="24"/>
          <w:szCs w:val="24"/>
        </w:rPr>
        <w:t xml:space="preserve">situated in a well-studied e-waste site and thus able to contribute to a growing body of work at Agbogbloshie.  Nonetheless there are important limitations of our study that warrant mention.  The </w:t>
      </w:r>
      <w:r w:rsidR="00DD08FC">
        <w:rPr>
          <w:rFonts w:ascii="Times New Roman" w:hAnsi="Times New Roman"/>
          <w:sz w:val="24"/>
          <w:szCs w:val="24"/>
        </w:rPr>
        <w:t>results are subject to selection bias as the subjects</w:t>
      </w:r>
      <w:r>
        <w:rPr>
          <w:rFonts w:ascii="Times New Roman" w:hAnsi="Times New Roman"/>
          <w:sz w:val="24"/>
          <w:szCs w:val="24"/>
        </w:rPr>
        <w:t xml:space="preserve"> self-selected themselves</w:t>
      </w:r>
      <w:r w:rsidR="00DD08FC">
        <w:rPr>
          <w:rFonts w:ascii="Times New Roman" w:hAnsi="Times New Roman"/>
          <w:sz w:val="24"/>
          <w:szCs w:val="24"/>
        </w:rPr>
        <w:t xml:space="preserve"> to participate</w:t>
      </w:r>
      <w:r>
        <w:rPr>
          <w:rFonts w:ascii="Times New Roman" w:hAnsi="Times New Roman"/>
          <w:sz w:val="24"/>
          <w:szCs w:val="24"/>
        </w:rPr>
        <w:t xml:space="preserve">.  The study’s sample size is amongst the largest of its kind but only captures 1-1.5% of the </w:t>
      </w:r>
      <w:r w:rsidR="00DD08FC">
        <w:rPr>
          <w:rFonts w:ascii="Times New Roman" w:hAnsi="Times New Roman"/>
          <w:sz w:val="24"/>
          <w:szCs w:val="24"/>
        </w:rPr>
        <w:t>estimated workforce at the site</w:t>
      </w:r>
      <w:r>
        <w:rPr>
          <w:rFonts w:ascii="Times New Roman" w:hAnsi="Times New Roman"/>
          <w:sz w:val="24"/>
          <w:szCs w:val="24"/>
        </w:rPr>
        <w:t>.</w:t>
      </w:r>
      <w:r w:rsidR="00DD0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study is one of the first to better characterize </w:t>
      </w:r>
      <w:r w:rsidR="00DD08FC">
        <w:rPr>
          <w:rFonts w:ascii="Times New Roman" w:hAnsi="Times New Roman"/>
          <w:sz w:val="24"/>
          <w:szCs w:val="24"/>
        </w:rPr>
        <w:t xml:space="preserve">e-waste </w:t>
      </w:r>
      <w:r>
        <w:rPr>
          <w:rFonts w:ascii="Times New Roman" w:hAnsi="Times New Roman"/>
          <w:sz w:val="24"/>
          <w:szCs w:val="24"/>
        </w:rPr>
        <w:t xml:space="preserve">job categories but is challenged in the tremendous variability of specific activities </w:t>
      </w:r>
      <w:r w:rsidR="00AC2996">
        <w:rPr>
          <w:rFonts w:ascii="Times New Roman" w:hAnsi="Times New Roman"/>
          <w:sz w:val="24"/>
          <w:szCs w:val="24"/>
        </w:rPr>
        <w:t>with which workers are involved</w:t>
      </w:r>
      <w:r>
        <w:rPr>
          <w:rFonts w:ascii="Times New Roman" w:hAnsi="Times New Roman"/>
          <w:sz w:val="24"/>
          <w:szCs w:val="24"/>
        </w:rPr>
        <w:t xml:space="preserve">. </w:t>
      </w:r>
      <w:r w:rsidR="00DD08FC">
        <w:rPr>
          <w:rFonts w:ascii="Times New Roman" w:hAnsi="Times New Roman"/>
          <w:sz w:val="24"/>
          <w:szCs w:val="24"/>
        </w:rPr>
        <w:t xml:space="preserve"> </w:t>
      </w:r>
      <w:r w:rsidR="00AC2996">
        <w:rPr>
          <w:rFonts w:ascii="Times New Roman" w:hAnsi="Times New Roman"/>
          <w:sz w:val="24"/>
          <w:szCs w:val="24"/>
        </w:rPr>
        <w:t>An ultimate goal of this study is to increase understanding of elemental exposures for e-waste workers</w:t>
      </w:r>
      <w:r w:rsidR="00EB19D2">
        <w:rPr>
          <w:rFonts w:ascii="Times New Roman" w:hAnsi="Times New Roman"/>
          <w:sz w:val="24"/>
          <w:szCs w:val="24"/>
        </w:rPr>
        <w:t xml:space="preserve">, and while </w:t>
      </w:r>
      <w:r>
        <w:rPr>
          <w:rFonts w:ascii="Times New Roman" w:hAnsi="Times New Roman"/>
          <w:sz w:val="24"/>
          <w:szCs w:val="24"/>
        </w:rPr>
        <w:t xml:space="preserve">the current study sets a number of foundations more work is needed to couple </w:t>
      </w:r>
      <w:r w:rsidR="00DD08FC">
        <w:rPr>
          <w:rFonts w:ascii="Times New Roman" w:hAnsi="Times New Roman"/>
          <w:sz w:val="24"/>
          <w:szCs w:val="24"/>
        </w:rPr>
        <w:t>such biomarker studies with more detailed investigations of occupational activities as well as with ecological measures to better characterize source-exposure-biomarker relationships</w:t>
      </w:r>
      <w:r w:rsidR="00EB19D2">
        <w:rPr>
          <w:rFonts w:ascii="Times New Roman" w:hAnsi="Times New Roman"/>
          <w:sz w:val="24"/>
          <w:szCs w:val="24"/>
        </w:rPr>
        <w:t>, and to expand focus on the larger Agbogbloshie community that includes women and children</w:t>
      </w:r>
      <w:r w:rsidR="00DD08FC">
        <w:rPr>
          <w:rFonts w:ascii="Times New Roman" w:hAnsi="Times New Roman"/>
          <w:sz w:val="24"/>
          <w:szCs w:val="24"/>
        </w:rPr>
        <w:t xml:space="preserve">. </w:t>
      </w:r>
    </w:p>
    <w:p w14:paraId="1540BB5D" w14:textId="6CBF4697" w:rsidR="001955CB" w:rsidRDefault="001955CB" w:rsidP="0012028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1ECCD716" w14:textId="4E0DA8AB" w:rsidR="00AC2996" w:rsidRDefault="00AC2996" w:rsidP="00DD0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0C85A1" w14:textId="77777777" w:rsidR="00B9088E" w:rsidRDefault="00B9088E" w:rsidP="00DD0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C72256" w14:textId="37B65B79" w:rsidR="00BB49B1" w:rsidRPr="00CB428A" w:rsidRDefault="00353FA5" w:rsidP="00CB428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B428A">
        <w:rPr>
          <w:rFonts w:ascii="Times New Roman" w:hAnsi="Times New Roman"/>
          <w:b/>
          <w:sz w:val="24"/>
          <w:szCs w:val="24"/>
        </w:rPr>
        <w:t>Acknowledgements</w:t>
      </w:r>
    </w:p>
    <w:p w14:paraId="3457103A" w14:textId="7DC35DD2" w:rsidR="00A2756D" w:rsidRPr="00CB428A" w:rsidRDefault="00353FA5" w:rsidP="00CB428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CA"/>
        </w:rPr>
      </w:pPr>
      <w:r w:rsidRPr="00CB428A">
        <w:rPr>
          <w:rFonts w:ascii="Times New Roman" w:hAnsi="Times New Roman"/>
          <w:noProof/>
          <w:sz w:val="24"/>
          <w:szCs w:val="24"/>
        </w:rPr>
        <w:t xml:space="preserve">We thank the continued support of the </w:t>
      </w:r>
      <w:r w:rsidRPr="00CB428A">
        <w:rPr>
          <w:rFonts w:ascii="Times New Roman" w:hAnsi="Times New Roman"/>
          <w:sz w:val="24"/>
          <w:szCs w:val="24"/>
        </w:rPr>
        <w:t>Greater Accra Scrap Dealers Association, as well as the study participants.</w:t>
      </w:r>
      <w:r w:rsidR="00CB428A" w:rsidRPr="00CB428A">
        <w:rPr>
          <w:rFonts w:ascii="Times New Roman" w:hAnsi="Times New Roman"/>
          <w:sz w:val="24"/>
          <w:szCs w:val="24"/>
        </w:rPr>
        <w:t xml:space="preserve">  Data collection was facilitated by Kwaku Dwuma-Badu, Rachel Long, Mozhgon Rajaee, Stephanie Sayler, </w:t>
      </w:r>
      <w:r w:rsidR="00CB428A">
        <w:rPr>
          <w:rFonts w:ascii="Times New Roman" w:hAnsi="Times New Roman"/>
          <w:sz w:val="24"/>
          <w:szCs w:val="24"/>
        </w:rPr>
        <w:t xml:space="preserve">and </w:t>
      </w:r>
      <w:r w:rsidR="00CB428A" w:rsidRPr="00CB428A">
        <w:rPr>
          <w:rFonts w:ascii="Times New Roman" w:hAnsi="Times New Roman"/>
          <w:sz w:val="24"/>
          <w:szCs w:val="24"/>
        </w:rPr>
        <w:t xml:space="preserve">Krystin Carlson, and technical assistance in the lab was provided by Jenny Eng, Andrea Santa-Rios, and </w:t>
      </w:r>
      <w:r w:rsidR="00CB428A" w:rsidRPr="00CB428A">
        <w:rPr>
          <w:rStyle w:val="Emphasis"/>
          <w:rFonts w:ascii="Times New Roman" w:eastAsia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Hélène </w:t>
      </w:r>
      <w:r w:rsidR="00CB428A" w:rsidRPr="00CB428A">
        <w:rPr>
          <w:rFonts w:ascii="Times New Roman" w:hAnsi="Times New Roman"/>
          <w:sz w:val="24"/>
          <w:szCs w:val="24"/>
        </w:rPr>
        <w:t>Lalande.</w:t>
      </w:r>
      <w:r w:rsidR="00CB42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428A">
        <w:rPr>
          <w:rFonts w:ascii="Times New Roman" w:hAnsi="Times New Roman"/>
          <w:sz w:val="24"/>
          <w:szCs w:val="24"/>
        </w:rPr>
        <w:t xml:space="preserve"> </w:t>
      </w:r>
      <w:r w:rsidR="00A2756D" w:rsidRPr="00CB428A">
        <w:rPr>
          <w:rFonts w:ascii="Times New Roman" w:hAnsi="Times New Roman"/>
          <w:noProof/>
          <w:sz w:val="24"/>
          <w:szCs w:val="24"/>
        </w:rPr>
        <w:t xml:space="preserve">This research was supported by a pilot project research training grant from the Center for Occupational Health and Safety Engineering (COHSE) at the University of Michigan, </w:t>
      </w:r>
      <w:r w:rsidR="00A26BEB">
        <w:rPr>
          <w:rFonts w:ascii="Times New Roman" w:hAnsi="Times New Roman"/>
          <w:noProof/>
          <w:sz w:val="24"/>
          <w:szCs w:val="24"/>
        </w:rPr>
        <w:t xml:space="preserve">the University of </w:t>
      </w:r>
      <w:r w:rsidR="00CB428A" w:rsidRPr="00CB428A">
        <w:rPr>
          <w:rFonts w:ascii="Times New Roman" w:hAnsi="Times New Roman"/>
          <w:noProof/>
          <w:sz w:val="24"/>
          <w:szCs w:val="24"/>
        </w:rPr>
        <w:t xml:space="preserve">Michigan </w:t>
      </w:r>
      <w:r w:rsidR="00A2756D" w:rsidRPr="00CB428A">
        <w:rPr>
          <w:rFonts w:ascii="Times New Roman" w:hAnsi="Times New Roman"/>
          <w:noProof/>
          <w:sz w:val="24"/>
          <w:szCs w:val="24"/>
        </w:rPr>
        <w:t xml:space="preserve">Education and Research Center </w:t>
      </w:r>
      <w:r w:rsidR="00CB428A" w:rsidRPr="00CB428A">
        <w:rPr>
          <w:rFonts w:ascii="Times New Roman" w:hAnsi="Times New Roman"/>
          <w:noProof/>
          <w:sz w:val="24"/>
          <w:szCs w:val="24"/>
        </w:rPr>
        <w:t>(</w:t>
      </w:r>
      <w:r w:rsidR="00A2756D" w:rsidRPr="00CB428A">
        <w:rPr>
          <w:rFonts w:ascii="Times New Roman" w:hAnsi="Times New Roman"/>
          <w:noProof/>
          <w:sz w:val="24"/>
          <w:szCs w:val="24"/>
        </w:rPr>
        <w:t>2T42OH008455</w:t>
      </w:r>
      <w:r w:rsidR="00CB428A" w:rsidRPr="00CB428A">
        <w:rPr>
          <w:rFonts w:ascii="Times New Roman" w:hAnsi="Times New Roman"/>
          <w:noProof/>
          <w:sz w:val="24"/>
          <w:szCs w:val="24"/>
        </w:rPr>
        <w:t>)</w:t>
      </w:r>
      <w:r w:rsidR="00A2756D" w:rsidRPr="00CB428A">
        <w:rPr>
          <w:rFonts w:ascii="Times New Roman" w:hAnsi="Times New Roman"/>
          <w:noProof/>
          <w:sz w:val="24"/>
          <w:szCs w:val="24"/>
        </w:rPr>
        <w:t xml:space="preserve"> from the Centers for Disease Control and Prevention/National Institute for O</w:t>
      </w:r>
      <w:r w:rsidR="00CB428A" w:rsidRPr="00CB428A">
        <w:rPr>
          <w:rFonts w:ascii="Times New Roman" w:hAnsi="Times New Roman"/>
          <w:noProof/>
          <w:sz w:val="24"/>
          <w:szCs w:val="24"/>
        </w:rPr>
        <w:t>ccupational Safety and Health, a GEOHealth Planning Grant (</w:t>
      </w:r>
      <w:r w:rsidR="00CB428A" w:rsidRPr="00CB428A">
        <w:rPr>
          <w:rFonts w:ascii="Times New Roman" w:eastAsia="Times New Roman" w:hAnsi="Times New Roman"/>
          <w:color w:val="000000"/>
          <w:sz w:val="24"/>
          <w:szCs w:val="24"/>
          <w:shd w:val="clear" w:color="auto" w:fill="EEEEEE"/>
          <w:lang w:val="en-CA"/>
        </w:rPr>
        <w:t>1R24TW009497</w:t>
      </w:r>
      <w:r w:rsidR="00CB428A" w:rsidRPr="00CB428A">
        <w:rPr>
          <w:rFonts w:ascii="Times New Roman" w:hAnsi="Times New Roman"/>
          <w:noProof/>
          <w:sz w:val="24"/>
          <w:szCs w:val="24"/>
        </w:rPr>
        <w:t xml:space="preserve">) from the Fogarty International Center, the Canada Research Chairs (CRC) program, </w:t>
      </w:r>
      <w:r w:rsidR="00CB428A">
        <w:rPr>
          <w:rFonts w:ascii="Times New Roman" w:hAnsi="Times New Roman"/>
          <w:noProof/>
          <w:sz w:val="24"/>
          <w:szCs w:val="24"/>
        </w:rPr>
        <w:t xml:space="preserve">infrastructure support from </w:t>
      </w:r>
      <w:r w:rsidR="00CB428A" w:rsidRPr="00CB428A">
        <w:rPr>
          <w:rFonts w:ascii="Times New Roman" w:hAnsi="Times New Roman"/>
          <w:noProof/>
          <w:sz w:val="24"/>
          <w:szCs w:val="24"/>
        </w:rPr>
        <w:t xml:space="preserve">Canada Foundation for Innovation, and </w:t>
      </w:r>
      <w:r w:rsidR="00CB428A">
        <w:rPr>
          <w:rFonts w:ascii="Times New Roman" w:hAnsi="Times New Roman"/>
          <w:noProof/>
          <w:sz w:val="24"/>
          <w:szCs w:val="24"/>
        </w:rPr>
        <w:t xml:space="preserve">a </w:t>
      </w:r>
      <w:r w:rsidR="00CB428A" w:rsidRPr="00CB428A">
        <w:rPr>
          <w:rFonts w:ascii="Times New Roman" w:hAnsi="Times New Roman"/>
          <w:noProof/>
          <w:sz w:val="24"/>
          <w:szCs w:val="24"/>
        </w:rPr>
        <w:t>Natural Sciences and Engineering Resaerch Council of Canada (NSERC) Discovery Grant.</w:t>
      </w:r>
    </w:p>
    <w:p w14:paraId="2BE0FA72" w14:textId="77777777" w:rsidR="00DD08FC" w:rsidRPr="00CB428A" w:rsidRDefault="00DD08FC" w:rsidP="00CB428A">
      <w:pPr>
        <w:pStyle w:val="CommentText"/>
        <w:spacing w:line="480" w:lineRule="auto"/>
        <w:rPr>
          <w:sz w:val="24"/>
          <w:szCs w:val="24"/>
        </w:rPr>
      </w:pPr>
    </w:p>
    <w:p w14:paraId="08720C63" w14:textId="77777777" w:rsidR="000C6759" w:rsidRDefault="000C6759" w:rsidP="00517AC8">
      <w:pPr>
        <w:pStyle w:val="CommentText"/>
      </w:pPr>
    </w:p>
    <w:p w14:paraId="2F5CBD9E" w14:textId="7F0126F2" w:rsidR="003A3CBA" w:rsidRDefault="00BB49B1" w:rsidP="00823B1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A3CBA" w:rsidRPr="008066ED">
        <w:rPr>
          <w:rFonts w:ascii="Times New Roman" w:hAnsi="Times New Roman"/>
          <w:b/>
          <w:sz w:val="24"/>
          <w:szCs w:val="24"/>
        </w:rPr>
        <w:t>REFERENCES</w:t>
      </w:r>
    </w:p>
    <w:p w14:paraId="2281236D" w14:textId="77777777" w:rsidR="007163C7" w:rsidRDefault="007163C7" w:rsidP="00823B1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0242DE7C" w14:textId="77777777" w:rsidR="007163C7" w:rsidRPr="008824CB" w:rsidRDefault="007163C7" w:rsidP="007163C7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 xml:space="preserve">Akormedi M, Asampong E, Fobil JN. 2013. Working conditions and environmental exposures among electronic waste workers in Ghana. </w:t>
      </w:r>
      <w:r w:rsidRPr="008824CB">
        <w:rPr>
          <w:rFonts w:ascii="Times New Roman" w:hAnsi="Times New Roman"/>
          <w:iCs/>
          <w:sz w:val="24"/>
          <w:szCs w:val="24"/>
        </w:rPr>
        <w:t>Int. J. Occup. Environ. Health</w:t>
      </w:r>
      <w:r w:rsidRPr="008824CB">
        <w:rPr>
          <w:rFonts w:ascii="Times New Roman" w:hAnsi="Times New Roman"/>
          <w:sz w:val="24"/>
          <w:szCs w:val="24"/>
        </w:rPr>
        <w:t>.19(4):278–286.</w:t>
      </w:r>
    </w:p>
    <w:p w14:paraId="5A5DF0D8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0ED7858" w14:textId="77777777" w:rsidR="007163C7" w:rsidRPr="008824CB" w:rsidRDefault="007163C7" w:rsidP="007163C7">
      <w:pPr>
        <w:pStyle w:val="NormalWeb"/>
        <w:spacing w:before="0" w:beforeAutospacing="0" w:after="0" w:afterAutospacing="0" w:line="480" w:lineRule="auto"/>
        <w:ind w:left="360" w:hanging="360"/>
      </w:pPr>
      <w:r w:rsidRPr="008824CB">
        <w:t xml:space="preserve">Amoyaw-Osei Y, Agyekum OO, Pwamang JA, Mueller E, Fasko R, Schluep M. Ghana e-Waste Country Assessment. 2011. Available at: </w:t>
      </w:r>
      <w:hyperlink r:id="rId9" w:history="1">
        <w:r w:rsidRPr="008824CB">
          <w:rPr>
            <w:rStyle w:val="Hyperlink"/>
            <w:u w:val="none"/>
          </w:rPr>
          <w:t>http://www.basel.int/Portals/4/Basel%20Convention/docs/eWaste/E-wasteAssessmentGhana.pdf</w:t>
        </w:r>
      </w:hyperlink>
      <w:r w:rsidRPr="008824CB">
        <w:t xml:space="preserve"> [last accessed June 9, 2016]</w:t>
      </w:r>
    </w:p>
    <w:p w14:paraId="112EABB4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467DC2CD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>Asampong, E., Dwuma-Badu, K., Stephens, J., Srigboh, R., Neitzel, R., Basu, N., Fobil, J. 2015. Health seeking behaviours among electronic waste workers in Ghana.  BMC Public Health.  15: 1065.</w:t>
      </w:r>
    </w:p>
    <w:p w14:paraId="61A704F8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5F767768" w14:textId="77777777" w:rsidR="007163C7" w:rsidRPr="008824CB" w:rsidRDefault="007163C7" w:rsidP="007163C7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 xml:space="preserve">Asante KA, Agusa T, Biney CA, et al. 2012. Multi-trace element levels and arsenic speciation in urine of e-waste recycling workers from Agbogbloshie, Accra in Ghana. </w:t>
      </w:r>
      <w:r w:rsidRPr="008824CB">
        <w:rPr>
          <w:rFonts w:ascii="Times New Roman" w:hAnsi="Times New Roman"/>
          <w:iCs/>
          <w:sz w:val="24"/>
          <w:szCs w:val="24"/>
        </w:rPr>
        <w:t>Science of the Total Environment.</w:t>
      </w:r>
      <w:r w:rsidRPr="008824CB">
        <w:rPr>
          <w:rFonts w:ascii="Times New Roman" w:hAnsi="Times New Roman"/>
          <w:sz w:val="24"/>
          <w:szCs w:val="24"/>
        </w:rPr>
        <w:t>424:63–73.</w:t>
      </w:r>
    </w:p>
    <w:p w14:paraId="5ECFBE66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2C8454A" w14:textId="77777777" w:rsidR="007163C7" w:rsidRPr="0045381F" w:rsidRDefault="007163C7" w:rsidP="0045381F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 xml:space="preserve">Atiemo SM, Ofosu FG, Aboh IJK. 2012. Assessing the Heavy Metals Contamination of Surface Dust from Waste Electrical and Electronic Equipment (E-waste) Recycling Site in Accra, </w:t>
      </w:r>
      <w:r w:rsidRPr="0045381F">
        <w:rPr>
          <w:rFonts w:ascii="Times New Roman" w:hAnsi="Times New Roman"/>
          <w:sz w:val="24"/>
          <w:szCs w:val="24"/>
        </w:rPr>
        <w:t>Ghana. Research Journal of Environmental and Earth Sciences. 4(5):605–611.</w:t>
      </w:r>
    </w:p>
    <w:p w14:paraId="73C99A95" w14:textId="271FC5ED" w:rsidR="0045381F" w:rsidRPr="0045381F" w:rsidRDefault="0045381F" w:rsidP="0045381F">
      <w:pPr>
        <w:spacing w:after="0" w:line="480" w:lineRule="auto"/>
        <w:ind w:left="426" w:hanging="426"/>
        <w:rPr>
          <w:rFonts w:ascii="Times New Roman" w:eastAsia="Times New Roman" w:hAnsi="Times New Roman"/>
          <w:sz w:val="24"/>
          <w:szCs w:val="24"/>
          <w:lang w:val="en-CA"/>
        </w:rPr>
      </w:pPr>
      <w:r w:rsidRPr="0045381F">
        <w:rPr>
          <w:rFonts w:ascii="Times New Roman" w:hAnsi="Times New Roman"/>
          <w:sz w:val="24"/>
          <w:szCs w:val="24"/>
        </w:rPr>
        <w:t xml:space="preserve">ATSDR 2007. </w:t>
      </w:r>
      <w:r w:rsidRPr="004538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CA"/>
        </w:rPr>
        <w:t>Toxicological profile for arsenic.</w:t>
      </w:r>
      <w:r w:rsidRPr="004538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538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CA"/>
        </w:rPr>
        <w:t>Agency for Toxic Substances and Disease Registry (ATSDR).</w:t>
      </w:r>
      <w:r w:rsidRPr="0045381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5381F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val="en-CA"/>
          </w:rPr>
          <w:t>http://www.atsdr.cdc.gov/toxprofiles/TP.asp?id=22&amp;tid=3</w:t>
        </w:r>
      </w:hyperlink>
      <w:r w:rsidRPr="004538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CA"/>
        </w:rPr>
        <w:t xml:space="preserve"> [last accessed June 9, 2016].</w:t>
      </w:r>
    </w:p>
    <w:p w14:paraId="381719D9" w14:textId="25E04CB9" w:rsidR="007163C7" w:rsidRPr="008824CB" w:rsidRDefault="007163C7" w:rsidP="007163C7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9477E3C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>Baldé, C.P.;Wang, F.; Kuehr, R.; Huisman, J. 2014. The Global E-Waste Monitor; UNU-IAS: Bonn, Germany.</w:t>
      </w:r>
    </w:p>
    <w:p w14:paraId="76C2ACEB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2570AD82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 xml:space="preserve">Basu, N., </w:t>
      </w:r>
      <w:r w:rsidRPr="008824CB">
        <w:rPr>
          <w:rFonts w:ascii="Times New Roman" w:hAnsi="Times New Roman"/>
          <w:sz w:val="24"/>
          <w:szCs w:val="24"/>
          <w:lang w:val="de-DE"/>
        </w:rPr>
        <w:t>Nam, D.-H., Kwansah-Ansah, E., Renne, E., Nriagu, J.   2011. Multiple metals exposures among small-scale artisanal gold miners</w:t>
      </w:r>
      <w:r w:rsidRPr="008824CB">
        <w:rPr>
          <w:rFonts w:ascii="Times New Roman" w:hAnsi="Times New Roman"/>
          <w:sz w:val="24"/>
          <w:szCs w:val="24"/>
        </w:rPr>
        <w:t>.  Environ Res. 111: 463-467</w:t>
      </w:r>
    </w:p>
    <w:p w14:paraId="6EBD0AB2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55050E3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>Basu, N., Tutino, R., Zhang, Z., Cantonwine, D., Goodrich, J., Somers, E., Rodriguez, L., Schnaas, L., Solano, M., Mercado, A., Peterson, K., Sanchez, B., Hernández-Avila, M., Hu, H., Tellez-Rojo, M. 2014. Mercury Levels in Pregnant Women, Children, and Seafood from Mexico City.  Environmental Research. 135: 63-69.</w:t>
      </w:r>
    </w:p>
    <w:p w14:paraId="553C08FA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7B3149F7" w14:textId="77777777" w:rsidR="007163C7" w:rsidRPr="008824CB" w:rsidRDefault="007163C7" w:rsidP="007163C7">
      <w:pPr>
        <w:tabs>
          <w:tab w:val="left" w:pos="-1560"/>
        </w:tabs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 xml:space="preserve">Basu, N., Ayelo, P., </w:t>
      </w:r>
      <w:r w:rsidRPr="008824CB">
        <w:rPr>
          <w:rFonts w:ascii="Times New Roman" w:hAnsi="Times New Roman"/>
          <w:bCs/>
          <w:sz w:val="24"/>
          <w:szCs w:val="24"/>
          <w:lang w:val="en-GB"/>
        </w:rPr>
        <w:t xml:space="preserve">Djogbénou, </w:t>
      </w:r>
      <w:r w:rsidRPr="008824CB">
        <w:rPr>
          <w:rFonts w:ascii="Times New Roman" w:hAnsi="Times New Roman"/>
          <w:sz w:val="24"/>
          <w:szCs w:val="24"/>
        </w:rPr>
        <w:t xml:space="preserve">L.S., </w:t>
      </w:r>
      <w:r w:rsidRPr="008824CB">
        <w:rPr>
          <w:rFonts w:ascii="Times New Roman" w:hAnsi="Times New Roman"/>
          <w:bCs/>
          <w:sz w:val="24"/>
          <w:szCs w:val="24"/>
          <w:lang w:val="en-GB"/>
        </w:rPr>
        <w:t xml:space="preserve">Kedoté, M., </w:t>
      </w:r>
      <w:r w:rsidRPr="008824CB">
        <w:rPr>
          <w:rFonts w:ascii="Times New Roman" w:hAnsi="Times New Roman"/>
          <w:sz w:val="24"/>
          <w:szCs w:val="24"/>
        </w:rPr>
        <w:t>Lawin, H., Oloruntoba, E.O., Cazabon, D., Fobil, J., Robins, T., Fayomi, B. 2016. Occupational and Environmental Health Risks Associated with Informal Sector Activities – Selected Case Studies from West Africa.  New Solutions Journal.  In Press.</w:t>
      </w:r>
    </w:p>
    <w:p w14:paraId="2CEF7F32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AEF5B61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color w:val="1A1A1A"/>
          <w:sz w:val="24"/>
          <w:szCs w:val="24"/>
        </w:rPr>
      </w:pPr>
      <w:r w:rsidRPr="008824CB">
        <w:rPr>
          <w:rFonts w:ascii="Times New Roman" w:hAnsi="Times New Roman"/>
          <w:color w:val="1A1A1A"/>
          <w:sz w:val="24"/>
          <w:szCs w:val="24"/>
        </w:rPr>
        <w:t xml:space="preserve">Bernhardt, A. and Gysi, N. 2013. The world’s worst 2013: The top ten toxic threats. </w:t>
      </w:r>
      <w:r w:rsidRPr="008824CB">
        <w:rPr>
          <w:rFonts w:ascii="Times New Roman" w:hAnsi="Times New Roman"/>
          <w:iCs/>
          <w:color w:val="1A1A1A"/>
          <w:sz w:val="24"/>
          <w:szCs w:val="24"/>
        </w:rPr>
        <w:t>Blacksmith Institute and Green Cross Switzerland</w:t>
      </w:r>
    </w:p>
    <w:p w14:paraId="4B919D9C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3D21BCC" w14:textId="615F6C04" w:rsidR="007163C7" w:rsidRPr="008824CB" w:rsidRDefault="007163C7" w:rsidP="00EE7B8E">
      <w:pPr>
        <w:pStyle w:val="CommentText"/>
        <w:spacing w:line="480" w:lineRule="auto"/>
        <w:ind w:left="360" w:hanging="360"/>
        <w:rPr>
          <w:sz w:val="24"/>
          <w:szCs w:val="24"/>
        </w:rPr>
      </w:pPr>
      <w:r w:rsidRPr="008824CB">
        <w:rPr>
          <w:sz w:val="24"/>
          <w:szCs w:val="24"/>
        </w:rPr>
        <w:t>Burns KN, Sun K, Fobil JN, Neitzel RL. 2016. Heart Rate, Stress, and Occupational Noise Exposure among Electronic Waste Recycling Workers. Int. J. Environ. Res. Public Health 13.</w:t>
      </w:r>
    </w:p>
    <w:p w14:paraId="0E81466A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10771A2A" w14:textId="77777777" w:rsidR="007163C7" w:rsidRPr="008824CB" w:rsidRDefault="007163C7" w:rsidP="007163C7">
      <w:pPr>
        <w:pStyle w:val="EndNoteBibliography"/>
        <w:spacing w:line="480" w:lineRule="auto"/>
        <w:ind w:left="360" w:hanging="360"/>
        <w:jc w:val="left"/>
        <w:rPr>
          <w:rFonts w:ascii="Times New Roman" w:hAnsi="Times New Roman" w:cs="Times New Roman"/>
          <w:noProof/>
        </w:rPr>
      </w:pPr>
      <w:r w:rsidRPr="008824CB">
        <w:rPr>
          <w:rFonts w:ascii="Times New Roman" w:hAnsi="Times New Roman" w:cs="Times New Roman"/>
          <w:noProof/>
        </w:rPr>
        <w:t>Brigden, K., Labunska, I., Santillo, D., &amp; Johnston, P. (2008). Chemical contamination at e-waste recycling and disposal sites in Accra and Korforidua, Ghana: Amsterdam: Greenpeace.</w:t>
      </w:r>
    </w:p>
    <w:p w14:paraId="443385F0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07A62960" w14:textId="77777777" w:rsidR="007163C7" w:rsidRPr="008824CB" w:rsidRDefault="007163C7" w:rsidP="007163C7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 xml:space="preserve">Calys-Tagoe, B., Ovadje, L., Clarke, E., Basu, N., Robins, T. 2015. Injury Profiles Associated with Artisanal and Small-Scale Gold Mining in Tarkwa, Ghana.  International Journal of Environmental Research and Public Health.  12(7): 7922-7937.  </w:t>
      </w:r>
    </w:p>
    <w:p w14:paraId="0C8DEB8B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B91F8A8" w14:textId="77777777" w:rsidR="007163C7" w:rsidRPr="008824CB" w:rsidRDefault="007163C7" w:rsidP="007163C7">
      <w:pPr>
        <w:pStyle w:val="EndNoteBibliography"/>
        <w:spacing w:line="480" w:lineRule="auto"/>
        <w:ind w:left="360" w:hanging="360"/>
        <w:jc w:val="left"/>
        <w:rPr>
          <w:rFonts w:ascii="Times New Roman" w:hAnsi="Times New Roman" w:cs="Times New Roman"/>
          <w:noProof/>
        </w:rPr>
      </w:pPr>
      <w:r w:rsidRPr="008824CB">
        <w:rPr>
          <w:rFonts w:ascii="Times New Roman" w:hAnsi="Times New Roman" w:cs="Times New Roman"/>
          <w:noProof/>
        </w:rPr>
        <w:t xml:space="preserve">Chama, M., Amankwa, E., &amp; Oteng-Ababio, M. (2014). Trace metal levels of the Odaw river sediments at the Agbogbloshie e-waste recycling site. Journal of Science and Technology (Ghana), 34(1), 1-8. </w:t>
      </w:r>
    </w:p>
    <w:p w14:paraId="69FD119B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C995993" w14:textId="77777777" w:rsidR="007163C7" w:rsidRPr="008824CB" w:rsidRDefault="007163C7" w:rsidP="007163C7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 xml:space="preserve">Feldt T, Fobil JN, Wittsiepe J, et al. 2014. High levels of PAH-metabolites in urine of e-waste recycling workers from Agbogbloshie, Ghana. </w:t>
      </w:r>
      <w:r w:rsidRPr="008824CB">
        <w:rPr>
          <w:rFonts w:ascii="Times New Roman" w:hAnsi="Times New Roman"/>
          <w:iCs/>
          <w:sz w:val="24"/>
          <w:szCs w:val="24"/>
        </w:rPr>
        <w:t>Science of the Total Environment.</w:t>
      </w:r>
      <w:r w:rsidRPr="008824CB">
        <w:rPr>
          <w:rFonts w:ascii="Times New Roman" w:hAnsi="Times New Roman"/>
          <w:sz w:val="24"/>
          <w:szCs w:val="24"/>
        </w:rPr>
        <w:t>466-467:369–76.</w:t>
      </w:r>
    </w:p>
    <w:p w14:paraId="120E3652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6469A11" w14:textId="77777777" w:rsidR="007163C7" w:rsidRPr="008824CB" w:rsidRDefault="007163C7" w:rsidP="007163C7">
      <w:pPr>
        <w:pStyle w:val="HTMLPreformatted"/>
        <w:spacing w:line="48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824CB">
        <w:rPr>
          <w:rFonts w:ascii="Times New Roman" w:hAnsi="Times New Roman" w:cs="Times New Roman"/>
          <w:color w:val="000000"/>
          <w:sz w:val="24"/>
          <w:szCs w:val="24"/>
        </w:rPr>
        <w:t>Green A, Jones AD, Sun K, Neitzel RL. 2015. The Association between Noise, Cortisol  and Heart Rate in a Small-Scale Gold Mining Community-A Pilot Study. Int J Environ Res Public Health. 12(8):9952-66.</w:t>
      </w:r>
    </w:p>
    <w:p w14:paraId="1D915372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6B3B0B03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532260AF" w14:textId="77777777" w:rsidR="007163C7" w:rsidRPr="008824CB" w:rsidRDefault="007163C7" w:rsidP="007163C7">
      <w:pPr>
        <w:pStyle w:val="HTMLPreformatted"/>
        <w:spacing w:line="48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824CB">
        <w:rPr>
          <w:rFonts w:ascii="Times New Roman" w:hAnsi="Times New Roman" w:cs="Times New Roman"/>
          <w:color w:val="000000"/>
          <w:sz w:val="24"/>
          <w:szCs w:val="24"/>
        </w:rPr>
        <w:t>Heacock M, Kelly CB, Asante KA, Birnbaum LS, Bergman ÅL, Bruné MN, Buka I, Carpenter DO, Chen A, Huo X, Kamel M, Landrigan PJ, Magalini F, Diaz-Barriga F, Neira M, Omar M, Pascale A, Ruchirawat M, Sly L, Sly PD, Van den Berg M, Suk WA. 2016. E-Waste and Harm to Vulnerable Populations: A Growing Global Problem. Environ Health Perspect. 124(5):550-5.</w:t>
      </w:r>
    </w:p>
    <w:p w14:paraId="68E3F74F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C937475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noProof/>
          <w:sz w:val="24"/>
          <w:szCs w:val="24"/>
        </w:rPr>
      </w:pPr>
      <w:r w:rsidRPr="008824CB">
        <w:rPr>
          <w:rFonts w:ascii="Times New Roman" w:hAnsi="Times New Roman"/>
          <w:noProof/>
          <w:sz w:val="24"/>
          <w:szCs w:val="24"/>
        </w:rPr>
        <w:t>Itai, T., Otsuka, M., Asante, K. A., Muto, M., Opoku-Ankomah, Y., Ansa-Asare, O. D., &amp; Tanabe, S. (2014). Variation and distribution of metals and metalloids in soil/ash mixtures from Agbogbloshie e-waste recycling site in Accra, Ghana. Sci Total Environ, 470-471, 707-716.</w:t>
      </w:r>
    </w:p>
    <w:p w14:paraId="0FE76F6B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3CAA1737" w14:textId="77777777" w:rsidR="007163C7" w:rsidRPr="008824CB" w:rsidRDefault="007163C7" w:rsidP="007163C7">
      <w:pPr>
        <w:pStyle w:val="HTMLPreformatted"/>
        <w:spacing w:line="48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824CB">
        <w:rPr>
          <w:rFonts w:ascii="Times New Roman" w:hAnsi="Times New Roman" w:cs="Times New Roman"/>
          <w:color w:val="000000"/>
          <w:sz w:val="24"/>
          <w:szCs w:val="24"/>
        </w:rPr>
        <w:t>Iyengar V, Woittiez J. 1988. Trace elements in human clinical specimens: evaluation  of literature data to identify reference values. Clin Chem. 34(3):474-81.</w:t>
      </w:r>
    </w:p>
    <w:p w14:paraId="64496D6C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FF7BD45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>Otsuka, M., Itaw, T., Asante, K.A., Muto, M., Tanabe, S. 2012. Trace element concentration around the e-waste recycling site at Agbogbloshie, Accra City, Ghana.  Pp 161-167 in “Interdisciplinary Studies on Environmental Chemistry – Environmental Pollution and Ecotoxicology”.  Edited by Kawaguchi, M., Misaki, K., Sato, H., Yokokawa, T., Itai, T., Nguyen, T.M., Ono, J., and Tanabe, S.</w:t>
      </w:r>
    </w:p>
    <w:p w14:paraId="0E24F5A2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AEFFB2E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>Prakash S., Manhart, A., Amoyaw-Osei, Y., Agyekum, O.( 2010). Socio-economic assessment and feasibility study on sustainable e-waste management in Ghana. Accra.</w:t>
      </w:r>
    </w:p>
    <w:p w14:paraId="2383D773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8824CB">
        <w:rPr>
          <w:rFonts w:ascii="Times New Roman" w:hAnsi="Times New Roman"/>
          <w:sz w:val="24"/>
          <w:szCs w:val="24"/>
        </w:rPr>
        <w:t>Rajaee, M., Sanchez, B., Renne, E., Basu, N. 2015. An investigation of organic and inorganic mercury exposure and blood pressure in a small-scale gold mining community in Ghana.  International Journal of Environmental Research and Public Health.  1</w:t>
      </w:r>
      <w:r w:rsidRPr="008824C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</w:t>
      </w:r>
      <w:r w:rsidRPr="008824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(8), 10020-10038</w:t>
      </w:r>
      <w:r w:rsidRPr="008824CB">
        <w:rPr>
          <w:rFonts w:ascii="Times New Roman" w:hAnsi="Times New Roman"/>
          <w:sz w:val="24"/>
          <w:szCs w:val="24"/>
        </w:rPr>
        <w:t>.</w:t>
      </w:r>
    </w:p>
    <w:p w14:paraId="13ED120C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8DA23D7" w14:textId="77777777" w:rsidR="007163C7" w:rsidRPr="008824CB" w:rsidRDefault="007163C7" w:rsidP="007163C7">
      <w:pPr>
        <w:pStyle w:val="EndNoteBibliography"/>
        <w:spacing w:line="480" w:lineRule="auto"/>
        <w:ind w:left="360" w:hanging="360"/>
        <w:jc w:val="left"/>
        <w:rPr>
          <w:rFonts w:ascii="Times New Roman" w:hAnsi="Times New Roman" w:cs="Times New Roman"/>
          <w:noProof/>
        </w:rPr>
      </w:pPr>
      <w:r w:rsidRPr="008824CB">
        <w:rPr>
          <w:rFonts w:ascii="Times New Roman" w:hAnsi="Times New Roman" w:cs="Times New Roman"/>
        </w:rPr>
        <w:t>Schluep, M. (EMPA), Manhart, A. (the Öko-Institut), Osibanjo, O. (BCCC-Nigeria), Rochat, D. (SOFIES), Isarin, N. (IMPEL), and Mueller, E. (EMPA). (2011). Where are WEee in Africa? Findings from the Basel Convention -Waste Africa Program. Secretariat of the Basel Convention.</w:t>
      </w:r>
    </w:p>
    <w:p w14:paraId="339D9B8A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064CBF5" w14:textId="77777777" w:rsidR="007163C7" w:rsidRPr="008824CB" w:rsidRDefault="007163C7" w:rsidP="007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8824CB">
        <w:rPr>
          <w:rFonts w:ascii="Times New Roman" w:hAnsi="Times New Roman"/>
          <w:color w:val="000000"/>
          <w:sz w:val="24"/>
          <w:szCs w:val="24"/>
        </w:rPr>
        <w:t>Song Q, Li J. 2014. Environmental effects of heavy metals derived from the e-waste recycling activities in China: a systematic review. Waste Manag. 34(12):2587-94.</w:t>
      </w:r>
    </w:p>
    <w:p w14:paraId="75F15323" w14:textId="77777777" w:rsidR="007163C7" w:rsidRPr="008824CB" w:rsidRDefault="007163C7" w:rsidP="007163C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60F5D73" w14:textId="77777777" w:rsidR="007163C7" w:rsidRPr="008824CB" w:rsidRDefault="007163C7" w:rsidP="007163C7">
      <w:pPr>
        <w:pStyle w:val="HTMLPreformatted"/>
        <w:spacing w:line="48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824CB">
        <w:rPr>
          <w:rFonts w:ascii="Times New Roman" w:hAnsi="Times New Roman" w:cs="Times New Roman"/>
          <w:color w:val="000000"/>
          <w:sz w:val="24"/>
          <w:szCs w:val="24"/>
        </w:rPr>
        <w:t xml:space="preserve">Wittsiepe J, Fobil JN, Till H, Burchard GD, Wilhelm M, Feldt T. 2015. Levels of polychlorinated dibenzo-p-dioxins, dibenzofurans (PCDD/Fs) and biphenyls (PCBs) in blood of informal e-waste recycling workers from Agbogbloshie, Ghana, and controls. Environ Int. 79:65-73. </w:t>
      </w:r>
    </w:p>
    <w:p w14:paraId="5680E8CE" w14:textId="77777777" w:rsidR="007163C7" w:rsidRPr="008824CB" w:rsidRDefault="007163C7" w:rsidP="007163C7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13E33436" w14:textId="77777777" w:rsidR="00823B10" w:rsidRPr="008066ED" w:rsidRDefault="00823B10" w:rsidP="00823B1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6CDF1A95" w14:textId="77777777" w:rsidR="003A3CBA" w:rsidRDefault="003A3CBA" w:rsidP="003A3CBA">
      <w:pPr>
        <w:rPr>
          <w:rFonts w:ascii="Times New Roman" w:eastAsia="Times New Roman" w:hAnsi="Times New Roman"/>
          <w:sz w:val="24"/>
          <w:szCs w:val="24"/>
        </w:rPr>
      </w:pPr>
    </w:p>
    <w:p w14:paraId="460BBB04" w14:textId="77777777" w:rsidR="0019548E" w:rsidRDefault="001954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6BA468" w14:textId="77777777" w:rsidR="001668BA" w:rsidRDefault="001668BA" w:rsidP="00EF5813">
      <w:pPr>
        <w:spacing w:line="480" w:lineRule="auto"/>
        <w:rPr>
          <w:rFonts w:ascii="Times New Roman" w:hAnsi="Times New Roman"/>
          <w:b/>
          <w:sz w:val="24"/>
        </w:rPr>
      </w:pPr>
    </w:p>
    <w:p w14:paraId="2C7105C2" w14:textId="79813D9D" w:rsidR="00B057B3" w:rsidRPr="002E2432" w:rsidRDefault="00EF5813" w:rsidP="002E2432">
      <w:pPr>
        <w:spacing w:after="0" w:line="480" w:lineRule="auto"/>
        <w:rPr>
          <w:rFonts w:ascii="Times New Roman" w:hAnsi="Times New Roman"/>
          <w:sz w:val="24"/>
        </w:rPr>
      </w:pPr>
      <w:r w:rsidRPr="002E2432">
        <w:rPr>
          <w:rFonts w:ascii="Times New Roman" w:hAnsi="Times New Roman"/>
          <w:sz w:val="24"/>
        </w:rPr>
        <w:t xml:space="preserve">Table 1.  Overview of </w:t>
      </w:r>
      <w:r w:rsidR="00ED4B82" w:rsidRPr="002E2432">
        <w:rPr>
          <w:rFonts w:ascii="Times New Roman" w:hAnsi="Times New Roman"/>
          <w:sz w:val="24"/>
        </w:rPr>
        <w:t>key sociodemographic measures of participants</w:t>
      </w:r>
      <w:r w:rsidR="001668BA" w:rsidRPr="002E2432">
        <w:rPr>
          <w:rFonts w:ascii="Times New Roman" w:hAnsi="Times New Roman"/>
          <w:sz w:val="24"/>
        </w:rPr>
        <w:t xml:space="preserve"> </w:t>
      </w:r>
      <w:r w:rsidR="001B606E" w:rsidRPr="002E2432">
        <w:rPr>
          <w:rFonts w:ascii="Times New Roman" w:hAnsi="Times New Roman"/>
          <w:sz w:val="24"/>
        </w:rPr>
        <w:t>sampled</w:t>
      </w:r>
      <w:r w:rsidR="001668BA" w:rsidRPr="002E2432">
        <w:rPr>
          <w:rFonts w:ascii="Times New Roman" w:hAnsi="Times New Roman"/>
          <w:sz w:val="24"/>
        </w:rPr>
        <w:t xml:space="preserve"> from the Agbogbloshie e-waste site (Accra, Ghana) in April 2014</w:t>
      </w:r>
      <w:r w:rsidR="00ED4B82" w:rsidRPr="002E2432">
        <w:rPr>
          <w:rFonts w:ascii="Times New Roman" w:hAnsi="Times New Roman"/>
          <w:sz w:val="24"/>
        </w:rPr>
        <w:t>.</w:t>
      </w:r>
      <w:r w:rsidR="00CE6BCF" w:rsidRPr="002E2432">
        <w:rPr>
          <w:rFonts w:ascii="Times New Roman" w:hAnsi="Times New Roman"/>
          <w:sz w:val="24"/>
        </w:rPr>
        <w:t xml:space="preserve">  </w:t>
      </w:r>
    </w:p>
    <w:p w14:paraId="3D1A575C" w14:textId="77777777" w:rsidR="001668BA" w:rsidRDefault="001668BA" w:rsidP="00CE6BC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80"/>
        <w:gridCol w:w="346"/>
        <w:gridCol w:w="1843"/>
        <w:gridCol w:w="2126"/>
      </w:tblGrid>
      <w:tr w:rsidR="001668BA" w:rsidRPr="001668BA" w14:paraId="704AAB81" w14:textId="77777777" w:rsidTr="001668BA">
        <w:trPr>
          <w:trHeight w:val="78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64FE4" w14:textId="77777777" w:rsidR="001668BA" w:rsidRPr="001668BA" w:rsidRDefault="001668BA" w:rsidP="00CE6BCF">
            <w:pPr>
              <w:spacing w:after="0" w:line="240" w:lineRule="auto"/>
            </w:pPr>
            <w:r w:rsidRPr="001668BA"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3A683" w14:textId="77777777" w:rsidR="001668BA" w:rsidRPr="001668BA" w:rsidRDefault="001668BA" w:rsidP="00CE6BCF">
            <w:pPr>
              <w:spacing w:after="0" w:line="240" w:lineRule="auto"/>
            </w:pPr>
            <w:r w:rsidRPr="001668B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7AA68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Male E-Waste Workers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1482C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Female Service Workers</w:t>
            </w:r>
          </w:p>
        </w:tc>
      </w:tr>
      <w:tr w:rsidR="001668BA" w:rsidRPr="001668BA" w14:paraId="6EF2098F" w14:textId="77777777" w:rsidTr="001668BA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66CD" w14:textId="2B703B57" w:rsidR="001668BA" w:rsidRPr="001668BA" w:rsidRDefault="001668BA" w:rsidP="00CE6BCF">
            <w:pPr>
              <w:spacing w:after="0" w:line="240" w:lineRule="auto"/>
            </w:pPr>
            <w:r w:rsidRPr="001668BA">
              <w:t># participants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EB8E4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7C465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07B2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11</w:t>
            </w:r>
          </w:p>
        </w:tc>
      </w:tr>
      <w:tr w:rsidR="001668BA" w:rsidRPr="001668BA" w14:paraId="04A7315A" w14:textId="77777777" w:rsidTr="001668BA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5A13E" w14:textId="6DD8FC4D" w:rsidR="001668BA" w:rsidRPr="001668BA" w:rsidRDefault="00CE6BCF" w:rsidP="00CE6BCF">
            <w:pPr>
              <w:spacing w:after="0" w:line="240" w:lineRule="auto"/>
            </w:pPr>
            <w:r>
              <w:t xml:space="preserve">Age </w:t>
            </w:r>
            <w:r w:rsidR="001668BA" w:rsidRPr="001668BA">
              <w:t>(years</w:t>
            </w:r>
            <w:r>
              <w:t xml:space="preserve"> as mean, SD)</w:t>
            </w:r>
            <w:r w:rsidR="001668BA" w:rsidRPr="001668BA"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7AFC0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E25A1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25.9 (7.9)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652E6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26.0 (12.8)</w:t>
            </w:r>
          </w:p>
        </w:tc>
      </w:tr>
      <w:tr w:rsidR="001668BA" w:rsidRPr="001668BA" w14:paraId="108CD900" w14:textId="77777777" w:rsidTr="001668BA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C41" w14:textId="592BCBC9" w:rsidR="001668BA" w:rsidRPr="001668BA" w:rsidRDefault="001668BA" w:rsidP="00CE6BCF">
            <w:pPr>
              <w:spacing w:after="0" w:line="240" w:lineRule="auto"/>
            </w:pPr>
            <w:r w:rsidRPr="001668BA">
              <w:t>Marital Status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D25E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113B" w14:textId="77777777" w:rsidR="001668BA" w:rsidRPr="001668BA" w:rsidRDefault="001668BA" w:rsidP="00CE6BC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B6F0" w14:textId="77777777" w:rsidR="001668BA" w:rsidRPr="001668BA" w:rsidRDefault="001668BA" w:rsidP="00CE6BCF">
            <w:pPr>
              <w:spacing w:after="0" w:line="240" w:lineRule="auto"/>
              <w:jc w:val="center"/>
            </w:pPr>
          </w:p>
        </w:tc>
      </w:tr>
      <w:tr w:rsidR="001668BA" w:rsidRPr="001668BA" w14:paraId="47AF8BFE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973E" w14:textId="77777777" w:rsidR="001668BA" w:rsidRPr="001668BA" w:rsidRDefault="001668BA" w:rsidP="00CE6BCF">
            <w:pPr>
              <w:spacing w:after="0" w:line="240" w:lineRule="auto"/>
            </w:pPr>
            <w:r w:rsidRPr="001668BA">
              <w:t>Single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C884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431F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22 (37.9%)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EDEE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3 (27.3%)</w:t>
            </w:r>
          </w:p>
        </w:tc>
      </w:tr>
      <w:tr w:rsidR="001668BA" w:rsidRPr="001668BA" w14:paraId="5584C1E7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6285" w14:textId="77777777" w:rsidR="001668BA" w:rsidRPr="001668BA" w:rsidRDefault="001668BA" w:rsidP="00CE6BCF">
            <w:pPr>
              <w:spacing w:after="0" w:line="240" w:lineRule="auto"/>
            </w:pPr>
            <w:r w:rsidRPr="001668BA">
              <w:t>Married (living together)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5A97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1744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22 (37.9%)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5F52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3 (27.3%)</w:t>
            </w:r>
          </w:p>
        </w:tc>
      </w:tr>
      <w:tr w:rsidR="001668BA" w:rsidRPr="001668BA" w14:paraId="075D9601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9115" w14:textId="77777777" w:rsidR="001668BA" w:rsidRPr="001668BA" w:rsidRDefault="001668BA" w:rsidP="00CE6BCF">
            <w:pPr>
              <w:spacing w:after="0" w:line="240" w:lineRule="auto"/>
            </w:pPr>
            <w:r w:rsidRPr="001668BA">
              <w:t>Married (living apart)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CE7D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74E8D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11 (19.0%)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5973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 (18.2%)</w:t>
            </w:r>
          </w:p>
        </w:tc>
      </w:tr>
      <w:tr w:rsidR="001668BA" w:rsidRPr="001668BA" w14:paraId="2B12B2D9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5658" w14:textId="77777777" w:rsidR="001668BA" w:rsidRPr="001668BA" w:rsidRDefault="001668BA" w:rsidP="00CE6BCF">
            <w:pPr>
              <w:spacing w:after="0" w:line="240" w:lineRule="auto"/>
            </w:pPr>
            <w:r w:rsidRPr="001668BA">
              <w:t>Separated or Divorced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275E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F9DF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3 (5.2%)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A6BF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 (9.1%)</w:t>
            </w:r>
          </w:p>
        </w:tc>
      </w:tr>
      <w:tr w:rsidR="001668BA" w:rsidRPr="001668BA" w14:paraId="3ED1E726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3F0EC" w14:textId="77777777" w:rsidR="001668BA" w:rsidRPr="001668BA" w:rsidRDefault="001668BA" w:rsidP="00CE6BCF">
            <w:pPr>
              <w:spacing w:after="0" w:line="240" w:lineRule="auto"/>
            </w:pPr>
            <w:r w:rsidRPr="001668BA">
              <w:t>Widowed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E4928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93895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0 (0%)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C76AF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 (18.2%)</w:t>
            </w:r>
          </w:p>
        </w:tc>
      </w:tr>
      <w:tr w:rsidR="001668BA" w:rsidRPr="001668BA" w14:paraId="0B5C4B7A" w14:textId="77777777" w:rsidTr="001668BA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E66F" w14:textId="77777777" w:rsidR="001668BA" w:rsidRPr="001668BA" w:rsidRDefault="001668BA" w:rsidP="00CE6BCF">
            <w:pPr>
              <w:spacing w:after="0" w:line="240" w:lineRule="auto"/>
            </w:pPr>
            <w:r w:rsidRPr="001668BA">
              <w:t>Daily Income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26A3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0DC9" w14:textId="77777777" w:rsidR="001668BA" w:rsidRPr="001668BA" w:rsidRDefault="001668BA" w:rsidP="00CE6BC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B84D" w14:textId="77777777" w:rsidR="001668BA" w:rsidRPr="001668BA" w:rsidRDefault="001668BA" w:rsidP="00CE6BCF">
            <w:pPr>
              <w:spacing w:after="0" w:line="240" w:lineRule="auto"/>
              <w:jc w:val="center"/>
            </w:pPr>
          </w:p>
        </w:tc>
      </w:tr>
      <w:tr w:rsidR="001668BA" w:rsidRPr="001668BA" w14:paraId="0D1587CC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3134" w14:textId="77777777" w:rsidR="001668BA" w:rsidRPr="001668BA" w:rsidRDefault="001668BA" w:rsidP="00CE6BCF">
            <w:pPr>
              <w:spacing w:after="0" w:line="240" w:lineRule="auto"/>
            </w:pPr>
            <w:r w:rsidRPr="001668BA">
              <w:t>&lt; GHS 10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8657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6130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22 (37.9%)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675F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4 (36.4%)</w:t>
            </w:r>
          </w:p>
        </w:tc>
      </w:tr>
      <w:tr w:rsidR="001668BA" w:rsidRPr="001668BA" w14:paraId="5CC94747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6040" w14:textId="77777777" w:rsidR="001668BA" w:rsidRPr="001668BA" w:rsidRDefault="001668BA" w:rsidP="00CE6BCF">
            <w:pPr>
              <w:spacing w:after="0" w:line="240" w:lineRule="auto"/>
            </w:pPr>
            <w:r w:rsidRPr="001668BA">
              <w:t>GHS 11-20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2122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03CB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18 (31.0%)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78E8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3 (27.3%)</w:t>
            </w:r>
          </w:p>
        </w:tc>
      </w:tr>
      <w:tr w:rsidR="001668BA" w:rsidRPr="001668BA" w14:paraId="72EDAD47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5752" w14:textId="77777777" w:rsidR="001668BA" w:rsidRPr="001668BA" w:rsidRDefault="001668BA" w:rsidP="00CE6BCF">
            <w:pPr>
              <w:spacing w:after="0" w:line="240" w:lineRule="auto"/>
            </w:pPr>
            <w:r w:rsidRPr="001668BA">
              <w:t>GHS 21-30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A72D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40A3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7 (12.1%)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9E81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1 (9.1%)</w:t>
            </w:r>
          </w:p>
        </w:tc>
      </w:tr>
      <w:tr w:rsidR="001668BA" w:rsidRPr="001668BA" w14:paraId="4FCDB087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D64B8" w14:textId="77777777" w:rsidR="001668BA" w:rsidRPr="001668BA" w:rsidRDefault="001668BA" w:rsidP="00CE6BCF">
            <w:pPr>
              <w:spacing w:after="0" w:line="240" w:lineRule="auto"/>
            </w:pPr>
            <w:r w:rsidRPr="001668BA">
              <w:t>GHS 31-40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ADBE49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69CF62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4 (6.9%)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5CCC6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 (18.2%)</w:t>
            </w:r>
          </w:p>
        </w:tc>
      </w:tr>
      <w:tr w:rsidR="001668BA" w:rsidRPr="001668BA" w14:paraId="711EE0F3" w14:textId="77777777" w:rsidTr="001668B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A1AC3" w14:textId="77777777" w:rsidR="001668BA" w:rsidRPr="001668BA" w:rsidRDefault="001668BA" w:rsidP="00CE6BCF">
            <w:pPr>
              <w:spacing w:after="0" w:line="240" w:lineRule="auto"/>
            </w:pPr>
            <w:r w:rsidRPr="001668BA">
              <w:t>&gt; GHS 40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17E03" w14:textId="77777777" w:rsidR="001668BA" w:rsidRPr="001668BA" w:rsidRDefault="001668BA" w:rsidP="00CE6BCF">
            <w:pPr>
              <w:spacing w:after="0" w:line="240" w:lineRule="auto"/>
            </w:pPr>
            <w:r w:rsidRPr="001668B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C0465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7 (12.1%)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15F39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0 (0%)</w:t>
            </w:r>
          </w:p>
        </w:tc>
      </w:tr>
      <w:tr w:rsidR="001668BA" w:rsidRPr="001668BA" w14:paraId="599CC254" w14:textId="77777777" w:rsidTr="001668BA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C2E9" w14:textId="77777777" w:rsidR="001668BA" w:rsidRPr="001668BA" w:rsidRDefault="001668BA" w:rsidP="00CE6BCF">
            <w:pPr>
              <w:spacing w:after="0" w:line="240" w:lineRule="auto"/>
            </w:pPr>
            <w:r w:rsidRPr="001668BA">
              <w:t>Education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4F92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4F3B" w14:textId="77777777" w:rsidR="001668BA" w:rsidRPr="001668BA" w:rsidRDefault="001668BA" w:rsidP="00CE6BCF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774E" w14:textId="77777777" w:rsidR="001668BA" w:rsidRPr="001668BA" w:rsidRDefault="001668BA" w:rsidP="00CE6BCF">
            <w:pPr>
              <w:spacing w:after="0" w:line="240" w:lineRule="auto"/>
              <w:jc w:val="center"/>
            </w:pPr>
          </w:p>
        </w:tc>
      </w:tr>
      <w:tr w:rsidR="001668BA" w:rsidRPr="001668BA" w14:paraId="14FA071D" w14:textId="77777777" w:rsidTr="001668BA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E5EE" w14:textId="77777777" w:rsidR="001668BA" w:rsidRPr="001668BA" w:rsidRDefault="001668BA" w:rsidP="00CE6BCF">
            <w:pPr>
              <w:spacing w:after="0" w:line="240" w:lineRule="auto"/>
            </w:pPr>
            <w:r w:rsidRPr="001668BA">
              <w:t>No school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DE5D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55DA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31 (53.4%)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4B49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5 (45.5%)</w:t>
            </w:r>
          </w:p>
        </w:tc>
      </w:tr>
      <w:tr w:rsidR="001668BA" w:rsidRPr="001668BA" w14:paraId="244257FC" w14:textId="77777777" w:rsidTr="001668BA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A3F9" w14:textId="77777777" w:rsidR="001668BA" w:rsidRPr="001668BA" w:rsidRDefault="001668BA" w:rsidP="00CE6BCF">
            <w:pPr>
              <w:spacing w:after="0" w:line="240" w:lineRule="auto"/>
            </w:pPr>
            <w:r w:rsidRPr="001668BA">
              <w:t>Primary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6963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E451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11 (19.0%)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B9BE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3 (27.3%)</w:t>
            </w:r>
          </w:p>
        </w:tc>
      </w:tr>
      <w:tr w:rsidR="001668BA" w:rsidRPr="001668BA" w14:paraId="08AF0764" w14:textId="77777777" w:rsidTr="001668BA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2D99" w14:textId="77777777" w:rsidR="001668BA" w:rsidRPr="001668BA" w:rsidRDefault="001668BA" w:rsidP="00CE6BCF">
            <w:pPr>
              <w:spacing w:after="0" w:line="240" w:lineRule="auto"/>
            </w:pPr>
            <w:r w:rsidRPr="001668BA">
              <w:t>Middle/JSS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1242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595A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12 (20.7%)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9057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2 (18.2%)</w:t>
            </w:r>
          </w:p>
        </w:tc>
      </w:tr>
      <w:tr w:rsidR="001668BA" w:rsidRPr="001668BA" w14:paraId="2FF0A08F" w14:textId="77777777" w:rsidTr="001668BA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B3A21" w14:textId="41E185D7" w:rsidR="001668BA" w:rsidRPr="001668BA" w:rsidRDefault="001668BA" w:rsidP="00CE6BCF">
            <w:pPr>
              <w:spacing w:after="0" w:line="240" w:lineRule="auto"/>
            </w:pPr>
            <w:r w:rsidRPr="001668BA">
              <w:t>Secondary/SSS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E3AC" w14:textId="77777777" w:rsidR="001668BA" w:rsidRPr="001668BA" w:rsidRDefault="001668BA" w:rsidP="00CE6B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159A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4 (6.9%)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7FCC" w14:textId="77777777" w:rsidR="001668BA" w:rsidRPr="001668BA" w:rsidRDefault="001668BA" w:rsidP="00CE6BCF">
            <w:pPr>
              <w:spacing w:after="0" w:line="240" w:lineRule="auto"/>
              <w:jc w:val="center"/>
            </w:pPr>
            <w:r w:rsidRPr="001668BA">
              <w:t>1 (9.1%)</w:t>
            </w:r>
          </w:p>
        </w:tc>
      </w:tr>
    </w:tbl>
    <w:p w14:paraId="2665B72F" w14:textId="77777777" w:rsidR="00ED4B82" w:rsidRDefault="00ED4B82" w:rsidP="00EF5813">
      <w:pPr>
        <w:spacing w:line="480" w:lineRule="auto"/>
        <w:rPr>
          <w:rFonts w:ascii="Times New Roman" w:hAnsi="Times New Roman"/>
          <w:b/>
          <w:sz w:val="24"/>
        </w:rPr>
      </w:pPr>
    </w:p>
    <w:p w14:paraId="37ABBEF5" w14:textId="6CFE825F" w:rsidR="005369C4" w:rsidRDefault="005369C4" w:rsidP="003A3CBA">
      <w:pPr>
        <w:spacing w:line="480" w:lineRule="auto"/>
        <w:rPr>
          <w:rFonts w:ascii="Times New Roman" w:hAnsi="Times New Roman"/>
          <w:sz w:val="24"/>
        </w:rPr>
      </w:pPr>
    </w:p>
    <w:p w14:paraId="1AB1B8D2" w14:textId="77777777" w:rsidR="00EF5813" w:rsidRDefault="00EF5813" w:rsidP="003A3CBA">
      <w:pPr>
        <w:spacing w:line="480" w:lineRule="auto"/>
        <w:rPr>
          <w:rFonts w:ascii="Times New Roman" w:hAnsi="Times New Roman"/>
          <w:sz w:val="24"/>
        </w:rPr>
      </w:pPr>
    </w:p>
    <w:p w14:paraId="2F0C0A82" w14:textId="77777777" w:rsidR="00EF5813" w:rsidRDefault="00EF5813" w:rsidP="003A3CBA">
      <w:pPr>
        <w:spacing w:line="480" w:lineRule="auto"/>
        <w:rPr>
          <w:rFonts w:ascii="Times New Roman" w:hAnsi="Times New Roman"/>
          <w:sz w:val="24"/>
        </w:rPr>
      </w:pPr>
    </w:p>
    <w:p w14:paraId="14471AE1" w14:textId="1D3F27C6" w:rsidR="001668BA" w:rsidRDefault="001668BA" w:rsidP="003A3CBA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AE58D55" w14:textId="77777777" w:rsidR="00EF5813" w:rsidRDefault="00EF5813" w:rsidP="003A3CBA">
      <w:pPr>
        <w:spacing w:line="480" w:lineRule="auto"/>
        <w:rPr>
          <w:rFonts w:ascii="Times New Roman" w:hAnsi="Times New Roman"/>
          <w:sz w:val="24"/>
        </w:rPr>
      </w:pPr>
    </w:p>
    <w:p w14:paraId="17BAA0C1" w14:textId="7397ABD8" w:rsidR="00EF5813" w:rsidRPr="002E2432" w:rsidRDefault="00EF5813" w:rsidP="002E2432">
      <w:pPr>
        <w:spacing w:after="0" w:line="480" w:lineRule="auto"/>
        <w:rPr>
          <w:rFonts w:ascii="Times New Roman" w:hAnsi="Times New Roman"/>
          <w:sz w:val="24"/>
        </w:rPr>
      </w:pPr>
      <w:r w:rsidRPr="002E2432">
        <w:rPr>
          <w:rFonts w:ascii="Times New Roman" w:hAnsi="Times New Roman"/>
          <w:sz w:val="24"/>
        </w:rPr>
        <w:t xml:space="preserve">Table 2.  </w:t>
      </w:r>
      <w:r w:rsidR="001668BA" w:rsidRPr="002E2432">
        <w:rPr>
          <w:rFonts w:ascii="Times New Roman" w:hAnsi="Times New Roman"/>
          <w:sz w:val="24"/>
        </w:rPr>
        <w:t>Self-reported h</w:t>
      </w:r>
      <w:r w:rsidRPr="002E2432">
        <w:rPr>
          <w:rFonts w:ascii="Times New Roman" w:hAnsi="Times New Roman"/>
          <w:sz w:val="24"/>
        </w:rPr>
        <w:t xml:space="preserve">istory of </w:t>
      </w:r>
      <w:r w:rsidR="00C55BC7">
        <w:rPr>
          <w:rFonts w:ascii="Times New Roman" w:hAnsi="Times New Roman"/>
          <w:sz w:val="24"/>
        </w:rPr>
        <w:t>e</w:t>
      </w:r>
      <w:r w:rsidRPr="002E2432">
        <w:rPr>
          <w:rFonts w:ascii="Times New Roman" w:hAnsi="Times New Roman"/>
          <w:sz w:val="24"/>
        </w:rPr>
        <w:t xml:space="preserve">-waste </w:t>
      </w:r>
      <w:r w:rsidR="00C55BC7">
        <w:rPr>
          <w:rFonts w:ascii="Times New Roman" w:hAnsi="Times New Roman"/>
          <w:sz w:val="24"/>
        </w:rPr>
        <w:t>job categories</w:t>
      </w:r>
      <w:r w:rsidR="001668BA" w:rsidRPr="002E2432">
        <w:rPr>
          <w:rFonts w:ascii="Times New Roman" w:hAnsi="Times New Roman"/>
          <w:sz w:val="24"/>
        </w:rPr>
        <w:t xml:space="preserve"> amongst the</w:t>
      </w:r>
      <w:r w:rsidR="001B606E" w:rsidRPr="002E2432">
        <w:rPr>
          <w:rFonts w:ascii="Times New Roman" w:hAnsi="Times New Roman"/>
          <w:sz w:val="24"/>
        </w:rPr>
        <w:t xml:space="preserve"> 58 </w:t>
      </w:r>
      <w:r w:rsidR="001668BA" w:rsidRPr="002E2432">
        <w:rPr>
          <w:rFonts w:ascii="Times New Roman" w:hAnsi="Times New Roman"/>
          <w:sz w:val="24"/>
        </w:rPr>
        <w:t xml:space="preserve">male workers </w:t>
      </w:r>
      <w:r w:rsidR="001B606E" w:rsidRPr="002E2432">
        <w:rPr>
          <w:rFonts w:ascii="Times New Roman" w:hAnsi="Times New Roman"/>
          <w:sz w:val="24"/>
        </w:rPr>
        <w:t>sampled</w:t>
      </w:r>
      <w:r w:rsidR="001668BA" w:rsidRPr="002E2432">
        <w:rPr>
          <w:rFonts w:ascii="Times New Roman" w:hAnsi="Times New Roman"/>
          <w:sz w:val="24"/>
        </w:rPr>
        <w:t xml:space="preserve"> from the Agbogbloshie e-waste site (Accra, Ghana) in April 2014.</w:t>
      </w:r>
    </w:p>
    <w:p w14:paraId="7BAC5F8E" w14:textId="77777777" w:rsidR="005369C4" w:rsidRDefault="005369C4" w:rsidP="003A3CBA">
      <w:pPr>
        <w:spacing w:line="480" w:lineRule="auto"/>
        <w:rPr>
          <w:rFonts w:ascii="Times New Roman" w:hAnsi="Times New Roman"/>
          <w:sz w:val="24"/>
        </w:rPr>
      </w:pPr>
    </w:p>
    <w:tbl>
      <w:tblPr>
        <w:tblStyle w:val="TableGrid"/>
        <w:tblW w:w="8897" w:type="dxa"/>
        <w:tblBorders>
          <w:top w:val="none" w:sz="0" w:space="0" w:color="auto"/>
          <w:lef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1701"/>
        <w:gridCol w:w="1701"/>
        <w:gridCol w:w="2126"/>
      </w:tblGrid>
      <w:tr w:rsidR="00BC2A11" w:rsidRPr="00BC2A11" w14:paraId="52562799" w14:textId="77777777" w:rsidTr="00BC2A11">
        <w:trPr>
          <w:trHeight w:val="540"/>
        </w:trPr>
        <w:tc>
          <w:tcPr>
            <w:tcW w:w="1951" w:type="dxa"/>
            <w:tcBorders>
              <w:top w:val="nil"/>
              <w:left w:val="nil"/>
            </w:tcBorders>
            <w:hideMark/>
          </w:tcPr>
          <w:p w14:paraId="649F484E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en-CA"/>
              </w:rPr>
              <w:t>Task</w:t>
            </w:r>
          </w:p>
        </w:tc>
        <w:tc>
          <w:tcPr>
            <w:tcW w:w="709" w:type="dxa"/>
            <w:hideMark/>
          </w:tcPr>
          <w:p w14:paraId="4DA5D6F7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709" w:type="dxa"/>
            <w:hideMark/>
          </w:tcPr>
          <w:p w14:paraId="6E349A85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en-CA"/>
              </w:rPr>
              <w:t>%</w:t>
            </w:r>
          </w:p>
        </w:tc>
        <w:tc>
          <w:tcPr>
            <w:tcW w:w="1701" w:type="dxa"/>
            <w:hideMark/>
          </w:tcPr>
          <w:p w14:paraId="7318C385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n-CA"/>
              </w:rPr>
              <w:t>Mean (SD) years performing task</w:t>
            </w:r>
          </w:p>
        </w:tc>
        <w:tc>
          <w:tcPr>
            <w:tcW w:w="1701" w:type="dxa"/>
            <w:hideMark/>
          </w:tcPr>
          <w:p w14:paraId="1811B20A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n-CA"/>
              </w:rPr>
              <w:t>Range of time performing task</w:t>
            </w:r>
          </w:p>
        </w:tc>
        <w:tc>
          <w:tcPr>
            <w:tcW w:w="2126" w:type="dxa"/>
            <w:hideMark/>
          </w:tcPr>
          <w:p w14:paraId="79E7F2AF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n-CA"/>
              </w:rPr>
              <w:t>Performed task during past six months</w:t>
            </w:r>
          </w:p>
        </w:tc>
      </w:tr>
      <w:tr w:rsidR="00BC2A11" w:rsidRPr="00BC2A11" w14:paraId="5CD4791E" w14:textId="77777777" w:rsidTr="00BC2A11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nil"/>
            </w:tcBorders>
            <w:noWrap/>
            <w:hideMark/>
          </w:tcPr>
          <w:p w14:paraId="4E39F485" w14:textId="77777777" w:rsidR="00BC2A11" w:rsidRPr="00BC2A11" w:rsidRDefault="00BC2A11" w:rsidP="00BC2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Collect E-Waste</w:t>
            </w:r>
          </w:p>
        </w:tc>
        <w:tc>
          <w:tcPr>
            <w:tcW w:w="709" w:type="dxa"/>
            <w:hideMark/>
          </w:tcPr>
          <w:p w14:paraId="2066674A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47</w:t>
            </w:r>
          </w:p>
        </w:tc>
        <w:tc>
          <w:tcPr>
            <w:tcW w:w="709" w:type="dxa"/>
            <w:noWrap/>
            <w:hideMark/>
          </w:tcPr>
          <w:p w14:paraId="1395349D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81</w:t>
            </w:r>
          </w:p>
        </w:tc>
        <w:tc>
          <w:tcPr>
            <w:tcW w:w="1701" w:type="dxa"/>
            <w:noWrap/>
            <w:hideMark/>
          </w:tcPr>
          <w:p w14:paraId="5E101D63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5.4 (4.0)</w:t>
            </w:r>
          </w:p>
        </w:tc>
        <w:tc>
          <w:tcPr>
            <w:tcW w:w="1701" w:type="dxa"/>
            <w:noWrap/>
            <w:hideMark/>
          </w:tcPr>
          <w:p w14:paraId="2B443B34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2 mths - 20 yrs</w:t>
            </w:r>
          </w:p>
        </w:tc>
        <w:tc>
          <w:tcPr>
            <w:tcW w:w="2126" w:type="dxa"/>
            <w:noWrap/>
            <w:hideMark/>
          </w:tcPr>
          <w:p w14:paraId="73A0045E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92%</w:t>
            </w:r>
          </w:p>
        </w:tc>
      </w:tr>
      <w:tr w:rsidR="00BC2A11" w:rsidRPr="00BC2A11" w14:paraId="3010B0A1" w14:textId="77777777" w:rsidTr="00BC2A11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nil"/>
            </w:tcBorders>
            <w:noWrap/>
            <w:hideMark/>
          </w:tcPr>
          <w:p w14:paraId="5E374E2F" w14:textId="77777777" w:rsidR="00BC2A11" w:rsidRPr="00BC2A11" w:rsidRDefault="00BC2A11" w:rsidP="00BC2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Deal E-Waste</w:t>
            </w:r>
          </w:p>
        </w:tc>
        <w:tc>
          <w:tcPr>
            <w:tcW w:w="709" w:type="dxa"/>
            <w:hideMark/>
          </w:tcPr>
          <w:p w14:paraId="0ABF5C8F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57</w:t>
            </w:r>
          </w:p>
        </w:tc>
        <w:tc>
          <w:tcPr>
            <w:tcW w:w="709" w:type="dxa"/>
            <w:noWrap/>
            <w:hideMark/>
          </w:tcPr>
          <w:p w14:paraId="6A4E9A9C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98</w:t>
            </w:r>
          </w:p>
        </w:tc>
        <w:tc>
          <w:tcPr>
            <w:tcW w:w="1701" w:type="dxa"/>
            <w:noWrap/>
            <w:hideMark/>
          </w:tcPr>
          <w:p w14:paraId="648E4982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6.0 (4.3)</w:t>
            </w:r>
          </w:p>
        </w:tc>
        <w:tc>
          <w:tcPr>
            <w:tcW w:w="1701" w:type="dxa"/>
            <w:noWrap/>
            <w:hideMark/>
          </w:tcPr>
          <w:p w14:paraId="41A6DD36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1 mth - 2 yrs</w:t>
            </w:r>
          </w:p>
        </w:tc>
        <w:tc>
          <w:tcPr>
            <w:tcW w:w="2126" w:type="dxa"/>
            <w:noWrap/>
            <w:hideMark/>
          </w:tcPr>
          <w:p w14:paraId="39814A6B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100%</w:t>
            </w:r>
          </w:p>
        </w:tc>
      </w:tr>
      <w:tr w:rsidR="00BC2A11" w:rsidRPr="00BC2A11" w14:paraId="649B72F1" w14:textId="77777777" w:rsidTr="00BC2A11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nil"/>
            </w:tcBorders>
            <w:noWrap/>
            <w:hideMark/>
          </w:tcPr>
          <w:p w14:paraId="0B54EE74" w14:textId="77777777" w:rsidR="00BC2A11" w:rsidRPr="00BC2A11" w:rsidRDefault="00BC2A11" w:rsidP="00BC2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Sort E-Waste</w:t>
            </w:r>
          </w:p>
        </w:tc>
        <w:tc>
          <w:tcPr>
            <w:tcW w:w="709" w:type="dxa"/>
            <w:hideMark/>
          </w:tcPr>
          <w:p w14:paraId="544C8313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48</w:t>
            </w:r>
          </w:p>
        </w:tc>
        <w:tc>
          <w:tcPr>
            <w:tcW w:w="709" w:type="dxa"/>
            <w:noWrap/>
            <w:hideMark/>
          </w:tcPr>
          <w:p w14:paraId="164D4CD1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83</w:t>
            </w:r>
          </w:p>
        </w:tc>
        <w:tc>
          <w:tcPr>
            <w:tcW w:w="1701" w:type="dxa"/>
            <w:noWrap/>
            <w:hideMark/>
          </w:tcPr>
          <w:p w14:paraId="2E88AA65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6.5 (7.6)</w:t>
            </w:r>
          </w:p>
        </w:tc>
        <w:tc>
          <w:tcPr>
            <w:tcW w:w="1701" w:type="dxa"/>
            <w:noWrap/>
            <w:hideMark/>
          </w:tcPr>
          <w:p w14:paraId="4BFDAE92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2 mths - 50 yrs</w:t>
            </w:r>
          </w:p>
        </w:tc>
        <w:tc>
          <w:tcPr>
            <w:tcW w:w="2126" w:type="dxa"/>
            <w:noWrap/>
            <w:hideMark/>
          </w:tcPr>
          <w:p w14:paraId="5E1EF49F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100%</w:t>
            </w:r>
          </w:p>
        </w:tc>
      </w:tr>
      <w:tr w:rsidR="00BC2A11" w:rsidRPr="00BC2A11" w14:paraId="7A1BFBF7" w14:textId="77777777" w:rsidTr="00BC2A11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nil"/>
            </w:tcBorders>
            <w:noWrap/>
            <w:hideMark/>
          </w:tcPr>
          <w:p w14:paraId="3A957911" w14:textId="77777777" w:rsidR="00BC2A11" w:rsidRPr="00BC2A11" w:rsidRDefault="00BC2A11" w:rsidP="00BC2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Dismantle E-Waste</w:t>
            </w:r>
          </w:p>
        </w:tc>
        <w:tc>
          <w:tcPr>
            <w:tcW w:w="709" w:type="dxa"/>
            <w:hideMark/>
          </w:tcPr>
          <w:p w14:paraId="13526223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50</w:t>
            </w:r>
          </w:p>
        </w:tc>
        <w:tc>
          <w:tcPr>
            <w:tcW w:w="709" w:type="dxa"/>
            <w:noWrap/>
            <w:hideMark/>
          </w:tcPr>
          <w:p w14:paraId="5A8B8DD6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86</w:t>
            </w:r>
          </w:p>
        </w:tc>
        <w:tc>
          <w:tcPr>
            <w:tcW w:w="1701" w:type="dxa"/>
            <w:noWrap/>
            <w:hideMark/>
          </w:tcPr>
          <w:p w14:paraId="36CD42A1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5.9 (4.5)</w:t>
            </w:r>
          </w:p>
        </w:tc>
        <w:tc>
          <w:tcPr>
            <w:tcW w:w="1701" w:type="dxa"/>
            <w:noWrap/>
            <w:hideMark/>
          </w:tcPr>
          <w:p w14:paraId="7B81E5F0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6 mths - 22 yrs</w:t>
            </w:r>
          </w:p>
        </w:tc>
        <w:tc>
          <w:tcPr>
            <w:tcW w:w="2126" w:type="dxa"/>
            <w:noWrap/>
            <w:hideMark/>
          </w:tcPr>
          <w:p w14:paraId="415F2505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98%</w:t>
            </w:r>
          </w:p>
        </w:tc>
      </w:tr>
      <w:tr w:rsidR="00BC2A11" w:rsidRPr="00BC2A11" w14:paraId="5A530625" w14:textId="77777777" w:rsidTr="00BC2A11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nil"/>
            </w:tcBorders>
            <w:noWrap/>
            <w:hideMark/>
          </w:tcPr>
          <w:p w14:paraId="1E9E3A0E" w14:textId="77777777" w:rsidR="00BC2A11" w:rsidRPr="00BC2A11" w:rsidRDefault="00BC2A11" w:rsidP="00BC2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Repair E-Waste</w:t>
            </w:r>
          </w:p>
        </w:tc>
        <w:tc>
          <w:tcPr>
            <w:tcW w:w="709" w:type="dxa"/>
            <w:noWrap/>
            <w:hideMark/>
          </w:tcPr>
          <w:p w14:paraId="3725E05C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431D08E1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4BEA8950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5.3 (3.1)</w:t>
            </w:r>
          </w:p>
        </w:tc>
        <w:tc>
          <w:tcPr>
            <w:tcW w:w="1701" w:type="dxa"/>
            <w:noWrap/>
            <w:hideMark/>
          </w:tcPr>
          <w:p w14:paraId="7FA29947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1 mth - 12 yrs</w:t>
            </w:r>
          </w:p>
        </w:tc>
        <w:tc>
          <w:tcPr>
            <w:tcW w:w="2126" w:type="dxa"/>
            <w:noWrap/>
            <w:hideMark/>
          </w:tcPr>
          <w:p w14:paraId="1BDF231E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100%</w:t>
            </w:r>
          </w:p>
        </w:tc>
      </w:tr>
      <w:tr w:rsidR="00BC2A11" w:rsidRPr="00BC2A11" w14:paraId="004554D5" w14:textId="77777777" w:rsidTr="00BC2A11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nil"/>
            </w:tcBorders>
            <w:noWrap/>
            <w:hideMark/>
          </w:tcPr>
          <w:p w14:paraId="3E1FA7E3" w14:textId="77777777" w:rsidR="00BC2A11" w:rsidRPr="00BC2A11" w:rsidRDefault="00BC2A11" w:rsidP="00BC2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Remove Wires</w:t>
            </w:r>
          </w:p>
        </w:tc>
        <w:tc>
          <w:tcPr>
            <w:tcW w:w="709" w:type="dxa"/>
            <w:hideMark/>
          </w:tcPr>
          <w:p w14:paraId="5F787F43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44</w:t>
            </w:r>
          </w:p>
        </w:tc>
        <w:tc>
          <w:tcPr>
            <w:tcW w:w="709" w:type="dxa"/>
            <w:noWrap/>
            <w:hideMark/>
          </w:tcPr>
          <w:p w14:paraId="2CB71857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76</w:t>
            </w:r>
          </w:p>
        </w:tc>
        <w:tc>
          <w:tcPr>
            <w:tcW w:w="1701" w:type="dxa"/>
            <w:noWrap/>
            <w:hideMark/>
          </w:tcPr>
          <w:p w14:paraId="072D83C5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5.9 (4.6)</w:t>
            </w:r>
          </w:p>
        </w:tc>
        <w:tc>
          <w:tcPr>
            <w:tcW w:w="1701" w:type="dxa"/>
            <w:noWrap/>
            <w:hideMark/>
          </w:tcPr>
          <w:p w14:paraId="7824DEF3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1 mth - 22 yrs</w:t>
            </w:r>
          </w:p>
        </w:tc>
        <w:tc>
          <w:tcPr>
            <w:tcW w:w="2126" w:type="dxa"/>
            <w:noWrap/>
            <w:hideMark/>
          </w:tcPr>
          <w:p w14:paraId="398A0DEF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98%</w:t>
            </w:r>
          </w:p>
        </w:tc>
      </w:tr>
      <w:tr w:rsidR="00BC2A11" w:rsidRPr="00BC2A11" w14:paraId="49856FCB" w14:textId="77777777" w:rsidTr="00BC2A11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nil"/>
            </w:tcBorders>
            <w:noWrap/>
            <w:hideMark/>
          </w:tcPr>
          <w:p w14:paraId="7ED41C08" w14:textId="4723A7EE" w:rsidR="00BC2A11" w:rsidRPr="00BC2A11" w:rsidRDefault="00C55BC7" w:rsidP="00BC2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CA"/>
              </w:rPr>
              <w:t>Burn</w:t>
            </w:r>
            <w:r w:rsidR="00BC2A11"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 xml:space="preserve"> Wires</w:t>
            </w:r>
          </w:p>
        </w:tc>
        <w:tc>
          <w:tcPr>
            <w:tcW w:w="709" w:type="dxa"/>
            <w:hideMark/>
          </w:tcPr>
          <w:p w14:paraId="2A446901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1D7D043C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60184677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5.8 (3.2)</w:t>
            </w:r>
          </w:p>
        </w:tc>
        <w:tc>
          <w:tcPr>
            <w:tcW w:w="1701" w:type="dxa"/>
            <w:noWrap/>
            <w:hideMark/>
          </w:tcPr>
          <w:p w14:paraId="1E5426D0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2 mths - 14 yrs</w:t>
            </w:r>
          </w:p>
        </w:tc>
        <w:tc>
          <w:tcPr>
            <w:tcW w:w="2126" w:type="dxa"/>
            <w:noWrap/>
            <w:hideMark/>
          </w:tcPr>
          <w:p w14:paraId="1D61BC67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100%</w:t>
            </w:r>
          </w:p>
        </w:tc>
      </w:tr>
      <w:tr w:rsidR="00BC2A11" w:rsidRPr="00BC2A11" w14:paraId="335CCC03" w14:textId="77777777" w:rsidTr="00BC2A11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nil"/>
            </w:tcBorders>
            <w:noWrap/>
            <w:hideMark/>
          </w:tcPr>
          <w:p w14:paraId="1F1E9750" w14:textId="77777777" w:rsidR="00BC2A11" w:rsidRPr="00BC2A11" w:rsidRDefault="00BC2A11" w:rsidP="00BC2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Burn E-Waste</w:t>
            </w:r>
          </w:p>
        </w:tc>
        <w:tc>
          <w:tcPr>
            <w:tcW w:w="709" w:type="dxa"/>
            <w:hideMark/>
          </w:tcPr>
          <w:p w14:paraId="739FA65C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43</w:t>
            </w:r>
          </w:p>
        </w:tc>
        <w:tc>
          <w:tcPr>
            <w:tcW w:w="709" w:type="dxa"/>
            <w:noWrap/>
            <w:hideMark/>
          </w:tcPr>
          <w:p w14:paraId="4EBE1081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74</w:t>
            </w:r>
          </w:p>
        </w:tc>
        <w:tc>
          <w:tcPr>
            <w:tcW w:w="1701" w:type="dxa"/>
            <w:noWrap/>
            <w:hideMark/>
          </w:tcPr>
          <w:p w14:paraId="6C8C1315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5.4 (3.2)</w:t>
            </w:r>
          </w:p>
        </w:tc>
        <w:tc>
          <w:tcPr>
            <w:tcW w:w="1701" w:type="dxa"/>
            <w:noWrap/>
            <w:hideMark/>
          </w:tcPr>
          <w:p w14:paraId="54C4EDE3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2 mths - 14 yrs</w:t>
            </w:r>
          </w:p>
        </w:tc>
        <w:tc>
          <w:tcPr>
            <w:tcW w:w="2126" w:type="dxa"/>
            <w:noWrap/>
            <w:hideMark/>
          </w:tcPr>
          <w:p w14:paraId="21E6EE9D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93%</w:t>
            </w:r>
          </w:p>
        </w:tc>
      </w:tr>
      <w:tr w:rsidR="00BC2A11" w:rsidRPr="00BC2A11" w14:paraId="064E0BE2" w14:textId="77777777" w:rsidTr="00BC2A11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nil"/>
            </w:tcBorders>
            <w:noWrap/>
            <w:hideMark/>
          </w:tcPr>
          <w:p w14:paraId="0A0B53CD" w14:textId="77777777" w:rsidR="00BC2A11" w:rsidRPr="00BC2A11" w:rsidRDefault="00BC2A11" w:rsidP="00BC2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Smelt Lead Batteries</w:t>
            </w:r>
          </w:p>
        </w:tc>
        <w:tc>
          <w:tcPr>
            <w:tcW w:w="709" w:type="dxa"/>
            <w:hideMark/>
          </w:tcPr>
          <w:p w14:paraId="6F9AA89A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25</w:t>
            </w:r>
          </w:p>
        </w:tc>
        <w:tc>
          <w:tcPr>
            <w:tcW w:w="709" w:type="dxa"/>
            <w:noWrap/>
            <w:hideMark/>
          </w:tcPr>
          <w:p w14:paraId="1B430094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43</w:t>
            </w:r>
          </w:p>
        </w:tc>
        <w:tc>
          <w:tcPr>
            <w:tcW w:w="1701" w:type="dxa"/>
            <w:noWrap/>
            <w:hideMark/>
          </w:tcPr>
          <w:p w14:paraId="7479DF24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5.4 (3.4)</w:t>
            </w:r>
          </w:p>
        </w:tc>
        <w:tc>
          <w:tcPr>
            <w:tcW w:w="1701" w:type="dxa"/>
            <w:noWrap/>
            <w:hideMark/>
          </w:tcPr>
          <w:p w14:paraId="02725CD2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1 yr - 12  yrs</w:t>
            </w:r>
          </w:p>
        </w:tc>
        <w:tc>
          <w:tcPr>
            <w:tcW w:w="2126" w:type="dxa"/>
            <w:noWrap/>
            <w:hideMark/>
          </w:tcPr>
          <w:p w14:paraId="785F97C3" w14:textId="77777777" w:rsidR="00BC2A11" w:rsidRPr="00BC2A11" w:rsidRDefault="00BC2A11" w:rsidP="00BC2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CA"/>
              </w:rPr>
            </w:pPr>
            <w:r w:rsidRPr="00BC2A11">
              <w:rPr>
                <w:rFonts w:eastAsia="Times New Roman"/>
                <w:color w:val="000000"/>
                <w:sz w:val="20"/>
                <w:szCs w:val="20"/>
                <w:lang w:val="en-CA"/>
              </w:rPr>
              <w:t>83%</w:t>
            </w:r>
          </w:p>
        </w:tc>
      </w:tr>
    </w:tbl>
    <w:p w14:paraId="06ACC5E5" w14:textId="77777777" w:rsidR="00BC2A11" w:rsidRDefault="00BC2A11" w:rsidP="003A3CBA">
      <w:pPr>
        <w:spacing w:line="480" w:lineRule="auto"/>
        <w:rPr>
          <w:rFonts w:ascii="Times New Roman" w:hAnsi="Times New Roman"/>
          <w:sz w:val="24"/>
        </w:rPr>
      </w:pPr>
    </w:p>
    <w:p w14:paraId="2D30960B" w14:textId="54C9219C" w:rsidR="005F44D0" w:rsidRDefault="005F44D0" w:rsidP="003A3CBA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B1FBBDF" w14:textId="77777777" w:rsidR="005F44D0" w:rsidRDefault="005F44D0" w:rsidP="005F44D0">
      <w:pPr>
        <w:rPr>
          <w:rFonts w:ascii="Times New Roman" w:hAnsi="Times New Roman"/>
          <w:sz w:val="24"/>
          <w:szCs w:val="24"/>
        </w:rPr>
      </w:pPr>
    </w:p>
    <w:p w14:paraId="03C88981" w14:textId="650004A9" w:rsidR="005F44D0" w:rsidRPr="002E2432" w:rsidRDefault="005F44D0" w:rsidP="002E243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2432">
        <w:rPr>
          <w:rFonts w:ascii="Times New Roman" w:hAnsi="Times New Roman"/>
          <w:sz w:val="24"/>
          <w:szCs w:val="24"/>
        </w:rPr>
        <w:t xml:space="preserve">Table 3.  Description of blood and urinary elements (µg/L) for the study population </w:t>
      </w:r>
      <w:r w:rsidRPr="002E2432">
        <w:rPr>
          <w:rFonts w:ascii="Times New Roman" w:hAnsi="Times New Roman"/>
          <w:sz w:val="24"/>
        </w:rPr>
        <w:t>of 58 male</w:t>
      </w:r>
      <w:r w:rsidR="0010593F" w:rsidRPr="002E2432">
        <w:rPr>
          <w:rFonts w:ascii="Times New Roman" w:hAnsi="Times New Roman"/>
          <w:sz w:val="24"/>
        </w:rPr>
        <w:t xml:space="preserve"> e-waste</w:t>
      </w:r>
      <w:r w:rsidRPr="002E2432">
        <w:rPr>
          <w:rFonts w:ascii="Times New Roman" w:hAnsi="Times New Roman"/>
          <w:sz w:val="24"/>
        </w:rPr>
        <w:t xml:space="preserve"> workers sampled from the Agbogbloshie e-waste site (Accra, Ghana) in April 2014</w:t>
      </w:r>
      <w:r w:rsidRPr="002E2432">
        <w:rPr>
          <w:rFonts w:ascii="Times New Roman" w:hAnsi="Times New Roman"/>
          <w:sz w:val="24"/>
          <w:szCs w:val="24"/>
        </w:rPr>
        <w:t xml:space="preserve">.  </w:t>
      </w:r>
      <w:r w:rsidR="00C55BC7">
        <w:rPr>
          <w:rFonts w:ascii="Times New Roman" w:hAnsi="Times New Roman"/>
          <w:sz w:val="24"/>
          <w:szCs w:val="24"/>
        </w:rPr>
        <w:t xml:space="preserve">Shaded cells refer to toxic elements and un-shaded cells refer to essential elements. </w:t>
      </w:r>
    </w:p>
    <w:p w14:paraId="74F263DA" w14:textId="77777777" w:rsidR="005F44D0" w:rsidRPr="001B606E" w:rsidRDefault="005F44D0" w:rsidP="005F44D0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1ED894D" w14:textId="77777777" w:rsidR="005F44D0" w:rsidRDefault="005F44D0" w:rsidP="005F44D0">
      <w:pPr>
        <w:spacing w:after="0" w:line="240" w:lineRule="auto"/>
        <w:rPr>
          <w:rFonts w:ascii="Lucida Grande" w:hAnsi="Lucida Grande" w:cs="Lucida Grande"/>
          <w:color w:val="00000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1276"/>
        <w:gridCol w:w="1276"/>
        <w:gridCol w:w="1134"/>
        <w:gridCol w:w="992"/>
        <w:gridCol w:w="992"/>
        <w:gridCol w:w="992"/>
        <w:gridCol w:w="993"/>
      </w:tblGrid>
      <w:tr w:rsidR="005F44D0" w:rsidRPr="00DD5DF8" w14:paraId="16D15077" w14:textId="77777777" w:rsidTr="005F44D0">
        <w:trPr>
          <w:trHeight w:val="299"/>
        </w:trPr>
        <w:tc>
          <w:tcPr>
            <w:tcW w:w="1149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0B9000D" w14:textId="77777777" w:rsidR="005F44D0" w:rsidRPr="00DD5DF8" w:rsidRDefault="005F44D0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43CB97" w14:textId="77777777" w:rsidR="005F44D0" w:rsidRPr="00DD5DF8" w:rsidRDefault="005F44D0" w:rsidP="005F44D0">
            <w:pPr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623AB" w14:textId="77777777" w:rsidR="005F44D0" w:rsidRPr="00DD5DF8" w:rsidRDefault="005F44D0" w:rsidP="005F44D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>Mean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F3195C" w14:textId="77777777" w:rsidR="005F44D0" w:rsidRPr="00DD5DF8" w:rsidRDefault="005F44D0" w:rsidP="005F44D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>Standard Deviation</w:t>
            </w: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A7C8" w14:textId="451E7075" w:rsidR="005F44D0" w:rsidRPr="00DD5DF8" w:rsidRDefault="00C55BC7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>P</w:t>
            </w:r>
            <w:r w:rsidR="005F44D0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>ercentiles</w:t>
            </w:r>
          </w:p>
        </w:tc>
      </w:tr>
      <w:tr w:rsidR="005F44D0" w:rsidRPr="00DD5DF8" w14:paraId="5A029D17" w14:textId="77777777" w:rsidTr="005F44D0">
        <w:trPr>
          <w:trHeight w:val="514"/>
        </w:trPr>
        <w:tc>
          <w:tcPr>
            <w:tcW w:w="114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B088" w14:textId="77777777" w:rsidR="005F44D0" w:rsidRPr="00DD5DF8" w:rsidRDefault="005F44D0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574E" w14:textId="77777777" w:rsidR="005F44D0" w:rsidRPr="00DD5DF8" w:rsidRDefault="005F44D0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1598" w14:textId="77777777" w:rsidR="005F44D0" w:rsidRPr="00DD5DF8" w:rsidRDefault="005F44D0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1BEC" w14:textId="77777777" w:rsidR="005F44D0" w:rsidRPr="00DD5DF8" w:rsidRDefault="005F44D0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CF3" w14:textId="77777777" w:rsidR="005F44D0" w:rsidRPr="00DD5DF8" w:rsidRDefault="005F44D0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10%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F34F" w14:textId="77777777" w:rsidR="005F44D0" w:rsidRPr="00DD5DF8" w:rsidRDefault="005F44D0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25%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6B0" w14:textId="77777777" w:rsidR="005F44D0" w:rsidRPr="00DD5DF8" w:rsidRDefault="005F44D0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50%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F20" w14:textId="77777777" w:rsidR="005F44D0" w:rsidRPr="00DD5DF8" w:rsidRDefault="005F44D0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75%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983" w14:textId="77777777" w:rsidR="005F44D0" w:rsidRPr="00DD5DF8" w:rsidRDefault="005F44D0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90% </w:t>
            </w:r>
          </w:p>
        </w:tc>
      </w:tr>
      <w:tr w:rsidR="0010593F" w:rsidRPr="00DD5DF8" w14:paraId="6FDDBE49" w14:textId="77777777" w:rsidTr="005F44D0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67C7" w14:textId="15B16209" w:rsidR="0010593F" w:rsidRPr="00DD5DF8" w:rsidRDefault="0010593F" w:rsidP="005F44D0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asciiTheme="minorHAnsi" w:eastAsia="Times New Roman" w:hAnsiTheme="minorHAnsi"/>
                <w:color w:val="000000"/>
                <w:lang w:val="en-CA"/>
              </w:rPr>
              <w:t>Blood Elements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1B0710C4" w14:textId="24E76E4E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791AF003" w14:textId="7C76D1C5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1976A7DE" w14:textId="2A171F8F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78129E07" w14:textId="49DD53F4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7D455D16" w14:textId="25C4975F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69112095" w14:textId="6B786D78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511BDD41" w14:textId="2BDD7CFA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503DA62" w14:textId="696CE2DB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3.1</w:t>
            </w:r>
          </w:p>
        </w:tc>
      </w:tr>
      <w:tr w:rsidR="0010593F" w:rsidRPr="00DD5DF8" w14:paraId="77C57932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ACF" w14:textId="77777777" w:rsidR="0010593F" w:rsidRPr="00DD5DF8" w:rsidRDefault="0010593F" w:rsidP="005F44D0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4B11DD71" w14:textId="0B6C54B6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Hg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07691484" w14:textId="04ED8AB0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6544C4F9" w14:textId="7A3321C7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1A456711" w14:textId="24A4152A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738FAC26" w14:textId="565ADDFE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69CC17C0" w14:textId="53C66EEF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55B81AF5" w14:textId="1014C8C6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12EF0CA9" w14:textId="74BEE500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2.4</w:t>
            </w:r>
          </w:p>
        </w:tc>
      </w:tr>
      <w:tr w:rsidR="0010593F" w:rsidRPr="00DD5DF8" w14:paraId="63AFCE0E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024" w14:textId="77777777" w:rsidR="0010593F" w:rsidRPr="00DD5DF8" w:rsidRDefault="0010593F" w:rsidP="005F44D0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17261462" w14:textId="4FB235CB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Pb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2AE8BE75" w14:textId="16AFC873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79.3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DDF5397" w14:textId="36AC0F50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58.0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B968D77" w14:textId="471B807D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26.3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19BDDE42" w14:textId="47076976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24043D28" w14:textId="10DCF4E8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63.5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51AADD54" w14:textId="6EE8BEB6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99.8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22F9C964" w14:textId="1D2A82A9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142.2</w:t>
            </w:r>
          </w:p>
        </w:tc>
      </w:tr>
      <w:tr w:rsidR="0010593F" w:rsidRPr="00DD5DF8" w14:paraId="3F3C2866" w14:textId="77777777" w:rsidTr="005F44D0">
        <w:trPr>
          <w:trHeight w:val="159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8EC" w14:textId="77777777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FDC4" w14:textId="65982186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7F5" w14:textId="0FB2998B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503B" w14:textId="4648A63D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B330" w14:textId="63D770D5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46A" w14:textId="21A174B1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763" w14:textId="7198E957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CBD9" w14:textId="3CEE4E3D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197A" w14:textId="2FD6A582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1047</w:t>
            </w:r>
          </w:p>
        </w:tc>
      </w:tr>
      <w:tr w:rsidR="0010593F" w:rsidRPr="00DD5DF8" w14:paraId="714618A8" w14:textId="77777777" w:rsidTr="005F44D0">
        <w:trPr>
          <w:trHeight w:val="304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AB0C" w14:textId="77777777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A49C" w14:textId="623E08F2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9F75" w14:textId="2DD46450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442757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3179" w14:textId="04768C4D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60229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1C0" w14:textId="04001E42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301222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D7F1" w14:textId="69763740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378254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F52" w14:textId="6688C795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409666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1487" w14:textId="28EA663F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444298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3C90" w14:textId="03D89FD2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478246</w:t>
            </w:r>
          </w:p>
        </w:tc>
      </w:tr>
      <w:tr w:rsidR="0010593F" w:rsidRPr="00DD5DF8" w14:paraId="0980A5E4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D5A6" w14:textId="77777777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1B72" w14:textId="1DE711AB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AB98" w14:textId="6B7D66AE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57D" w14:textId="5676CD30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EC22" w14:textId="78C670C3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B862" w14:textId="1F4E1FB8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4DE2" w14:textId="55ED59BC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BF7A" w14:textId="2B3D44BF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8623" w14:textId="0A9BE50F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11.5</w:t>
            </w:r>
          </w:p>
        </w:tc>
      </w:tr>
      <w:tr w:rsidR="0010593F" w:rsidRPr="00DD5DF8" w14:paraId="135CA87F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FA5" w14:textId="77777777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F009" w14:textId="6D69DF22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73F7" w14:textId="0EAC9A84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BDBF" w14:textId="20859098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1B41" w14:textId="50D32F23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88C4" w14:textId="0F0FEC0C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C6A9" w14:textId="4177165A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F3D2" w14:textId="165D72A7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A27F" w14:textId="2F668906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190</w:t>
            </w:r>
          </w:p>
        </w:tc>
      </w:tr>
      <w:tr w:rsidR="0010593F" w:rsidRPr="00DD5DF8" w14:paraId="256B670E" w14:textId="77777777" w:rsidTr="005F44D0">
        <w:trPr>
          <w:trHeight w:val="300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D91D" w14:textId="77777777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A98" w14:textId="1966F72F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2C3" w14:textId="1FB79C42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5574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FDC" w14:textId="27E9F59B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9FDA" w14:textId="2A1A8E1F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3314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3B72" w14:textId="2288740E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3954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68AB" w14:textId="09AB4950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4645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434F" w14:textId="23412249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5281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9B7" w14:textId="1AE20727" w:rsidR="0010593F" w:rsidRPr="00DD5DF8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5837</w:t>
            </w:r>
          </w:p>
        </w:tc>
      </w:tr>
      <w:tr w:rsidR="0010593F" w:rsidRPr="00DD5DF8" w14:paraId="049CDE60" w14:textId="77777777" w:rsidTr="005F44D0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590E" w14:textId="64F88BAE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  <w:lang w:val="en-CA"/>
              </w:rPr>
              <w:t>Urinary Elements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C2E472D" w14:textId="3E3B5152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66D6211" w14:textId="443189A9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77.5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D57DC0D" w14:textId="77EDAAFB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124.0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EA1A934" w14:textId="75A9ED8E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AE4F87F" w14:textId="33E0D5E9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22.6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D1DFA59" w14:textId="34D5C92E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38.3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21A1CDA" w14:textId="24D38BA7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86.6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ED175B1" w14:textId="5E3F706E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200.2</w:t>
            </w:r>
          </w:p>
        </w:tc>
      </w:tr>
      <w:tr w:rsidR="0010593F" w:rsidRPr="00DD5DF8" w14:paraId="63B60E03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BAF8B" w14:textId="77777777" w:rsidR="0010593F" w:rsidRPr="001B606E" w:rsidRDefault="0010593F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5A107C" w14:textId="385753F6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237263D" w14:textId="7BEC6E0A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8C2A6B0" w14:textId="01181098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E816E13" w14:textId="4CD269B4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668D254" w14:textId="6468D0AC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E59AB12" w14:textId="1BAB729A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104A11E" w14:textId="25102402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9A5ABA0" w14:textId="3E1C1468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4.5</w:t>
            </w:r>
          </w:p>
        </w:tc>
      </w:tr>
      <w:tr w:rsidR="0010593F" w:rsidRPr="00DD5DF8" w14:paraId="12F4EA5E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470B7" w14:textId="77777777" w:rsidR="0010593F" w:rsidRPr="001B606E" w:rsidRDefault="0010593F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EA4FE57" w14:textId="1721B3AE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ABE0B9F" w14:textId="51436A5A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7D0BF8F" w14:textId="04597773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E51A0E6" w14:textId="27C32331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C966A20" w14:textId="52ACDCD7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1722DE9" w14:textId="5A379C2F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45806C7" w14:textId="2F789744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008F6E8" w14:textId="4FA24B28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1.5</w:t>
            </w:r>
          </w:p>
        </w:tc>
      </w:tr>
      <w:tr w:rsidR="0010593F" w:rsidRPr="00DD5DF8" w14:paraId="3F4EBA19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FC195" w14:textId="77777777" w:rsidR="0010593F" w:rsidRPr="001B606E" w:rsidRDefault="0010593F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5425C21" w14:textId="0ACC5DCE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Hg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DD52026" w14:textId="32CA7A4D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43F3A8F" w14:textId="72365BB8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8B630E2" w14:textId="2E7DDA82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07DF2AA" w14:textId="51B5D9CA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AD3562D" w14:textId="30AF1C5F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89DBDD5" w14:textId="5C673EFF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6888B25" w14:textId="1D6803E0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0.5</w:t>
            </w:r>
          </w:p>
        </w:tc>
      </w:tr>
      <w:tr w:rsidR="0010593F" w:rsidRPr="00DD5DF8" w14:paraId="470348B6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618A3" w14:textId="77777777" w:rsidR="0010593F" w:rsidRPr="001B606E" w:rsidRDefault="0010593F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E2C10F5" w14:textId="7AFA9D91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B938ED8" w14:textId="53647F86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6DC00CF" w14:textId="45D0F018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117E748" w14:textId="00C5F656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D108615" w14:textId="0AD29362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9.1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DF48DB2" w14:textId="295A3E60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9ECDD19" w14:textId="580E9E3B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17.9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EEAF699" w14:textId="7A9547A4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22.7</w:t>
            </w:r>
          </w:p>
        </w:tc>
      </w:tr>
      <w:tr w:rsidR="0010593F" w:rsidRPr="00DD5DF8" w14:paraId="4CC382FA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95524" w14:textId="77777777" w:rsidR="0010593F" w:rsidRPr="001B606E" w:rsidRDefault="0010593F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5143CEA" w14:textId="78F553D1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Pb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471B9FF" w14:textId="1198E02F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9F92F13" w14:textId="30A73957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78FB1AA" w14:textId="79506DD3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E9F7E5B" w14:textId="0ECE8ECA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7BF3A5B" w14:textId="6D386D19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E2E91F8" w14:textId="2728B2E5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9.7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BA2B9ED" w14:textId="1119264D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14.0</w:t>
            </w:r>
          </w:p>
        </w:tc>
      </w:tr>
      <w:tr w:rsidR="0010593F" w:rsidRPr="00DD5DF8" w14:paraId="2E2110B5" w14:textId="77777777" w:rsidTr="005F44D0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48E69" w14:textId="77777777" w:rsidR="0010593F" w:rsidRPr="001B606E" w:rsidRDefault="0010593F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009A" w14:textId="64BB6174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Cu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DF19" w14:textId="4399EE15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23.8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A30A" w14:textId="19603985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921F" w14:textId="4D791C4E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80C9" w14:textId="3B7014AC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13.4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6A78" w14:textId="09435A3A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7A6D" w14:textId="4201E254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31.3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72C0" w14:textId="0DE826C5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42.5</w:t>
            </w:r>
          </w:p>
        </w:tc>
      </w:tr>
      <w:tr w:rsidR="0010593F" w:rsidRPr="00DD5DF8" w14:paraId="4E155682" w14:textId="77777777" w:rsidTr="005F44D0">
        <w:trPr>
          <w:trHeight w:val="300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CB3E" w14:textId="77777777" w:rsidR="0010593F" w:rsidRPr="001B606E" w:rsidRDefault="0010593F" w:rsidP="005F44D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DB0B" w14:textId="68F52E3B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Zn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26D0" w14:textId="6D8C76DA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D01B" w14:textId="7D79D97A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6DC9" w14:textId="7B844A0C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608E" w14:textId="7AE657AD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0BB1" w14:textId="36CC3D28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528E" w14:textId="0CF007A4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CF7B" w14:textId="14968DDA" w:rsidR="0010593F" w:rsidRPr="001B606E" w:rsidRDefault="0010593F" w:rsidP="005F44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1316</w:t>
            </w:r>
          </w:p>
        </w:tc>
      </w:tr>
    </w:tbl>
    <w:p w14:paraId="23A4A0BE" w14:textId="77777777" w:rsidR="005F44D0" w:rsidRDefault="005F44D0" w:rsidP="005F44D0">
      <w:pPr>
        <w:rPr>
          <w:rFonts w:ascii="Lucida Grande" w:hAnsi="Lucida Grande" w:cs="Lucida Grande"/>
          <w:color w:val="000000"/>
        </w:rPr>
      </w:pPr>
    </w:p>
    <w:p w14:paraId="7DB75D34" w14:textId="77777777" w:rsidR="005F44D0" w:rsidRDefault="005F44D0" w:rsidP="005F4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69EFC2" w14:textId="77777777" w:rsidR="005F44D0" w:rsidRDefault="005F44D0" w:rsidP="003A3CBA">
      <w:pPr>
        <w:spacing w:line="480" w:lineRule="auto"/>
        <w:rPr>
          <w:rFonts w:ascii="Times New Roman" w:hAnsi="Times New Roman"/>
          <w:sz w:val="24"/>
        </w:rPr>
      </w:pPr>
    </w:p>
    <w:p w14:paraId="3A3223AA" w14:textId="77777777" w:rsidR="002E2432" w:rsidRDefault="002E2432" w:rsidP="003A3CBA">
      <w:pPr>
        <w:spacing w:line="480" w:lineRule="auto"/>
        <w:rPr>
          <w:rFonts w:ascii="Times New Roman" w:hAnsi="Times New Roman"/>
          <w:sz w:val="24"/>
        </w:rPr>
      </w:pPr>
    </w:p>
    <w:p w14:paraId="5BFC5415" w14:textId="190DD088" w:rsidR="002E2432" w:rsidRPr="002E2432" w:rsidRDefault="002E2432" w:rsidP="002E243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2432">
        <w:rPr>
          <w:rFonts w:ascii="Times New Roman" w:hAnsi="Times New Roman"/>
          <w:sz w:val="24"/>
        </w:rPr>
        <w:t>Figure 1.</w:t>
      </w:r>
      <w:r w:rsidRPr="002E2432">
        <w:rPr>
          <w:rFonts w:ascii="Times New Roman" w:hAnsi="Times New Roman"/>
          <w:sz w:val="24"/>
          <w:szCs w:val="24"/>
        </w:rPr>
        <w:t xml:space="preserve">  Blood and urinary elements for the study population </w:t>
      </w:r>
      <w:r w:rsidRPr="002E2432">
        <w:rPr>
          <w:rFonts w:ascii="Times New Roman" w:hAnsi="Times New Roman"/>
          <w:sz w:val="24"/>
        </w:rPr>
        <w:t>of 58 male e-waste workers sampled from the Agbogbloshie e-waste site (Accra, Ghana) in April 2014</w:t>
      </w:r>
      <w:r w:rsidRPr="002E2432">
        <w:rPr>
          <w:rFonts w:ascii="Times New Roman" w:hAnsi="Times New Roman"/>
          <w:sz w:val="24"/>
          <w:szCs w:val="24"/>
        </w:rPr>
        <w:t>.  The values are stratified according to an individual’s primary self-reported job category, and compared to the population median.</w:t>
      </w:r>
    </w:p>
    <w:p w14:paraId="1DD5403B" w14:textId="77777777" w:rsidR="002E2432" w:rsidRDefault="002E2432" w:rsidP="002E2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3283D7" w14:textId="797A610A" w:rsidR="002E2432" w:rsidRDefault="002E2432" w:rsidP="002E2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1F263F" wp14:editId="4246E070">
            <wp:extent cx="5943600" cy="30044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C39E" w14:textId="76058D2D" w:rsidR="002E2432" w:rsidRDefault="002E2432" w:rsidP="002E24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8756F9F" w14:textId="77777777" w:rsidR="002E2432" w:rsidRPr="00B9466A" w:rsidRDefault="002E2432" w:rsidP="002E243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27B27F4" w14:textId="0D47D6FA" w:rsidR="00EF5813" w:rsidRDefault="00CE3601" w:rsidP="00EF5813">
      <w:pPr>
        <w:spacing w:line="480" w:lineRule="auto"/>
        <w:rPr>
          <w:rFonts w:ascii="Times New Roman" w:hAnsi="Times New Roman"/>
          <w:sz w:val="24"/>
        </w:rPr>
      </w:pPr>
      <w:r w:rsidRPr="007163C7">
        <w:rPr>
          <w:rFonts w:ascii="Times New Roman" w:hAnsi="Times New Roman"/>
          <w:b/>
          <w:sz w:val="24"/>
        </w:rPr>
        <w:t xml:space="preserve">Supplemental </w:t>
      </w:r>
      <w:r w:rsidR="00D46656" w:rsidRPr="007163C7">
        <w:rPr>
          <w:rFonts w:ascii="Times New Roman" w:hAnsi="Times New Roman"/>
          <w:b/>
          <w:sz w:val="24"/>
        </w:rPr>
        <w:t xml:space="preserve">Table </w:t>
      </w:r>
      <w:r w:rsidRPr="007163C7">
        <w:rPr>
          <w:rFonts w:ascii="Times New Roman" w:hAnsi="Times New Roman"/>
          <w:b/>
          <w:sz w:val="24"/>
        </w:rPr>
        <w:t>1</w:t>
      </w:r>
      <w:r w:rsidR="00D46656" w:rsidRPr="007163C7">
        <w:rPr>
          <w:rFonts w:ascii="Times New Roman" w:hAnsi="Times New Roman"/>
          <w:b/>
          <w:sz w:val="24"/>
        </w:rPr>
        <w:t>.</w:t>
      </w:r>
      <w:r w:rsidR="00D46656" w:rsidRPr="007163C7">
        <w:rPr>
          <w:rFonts w:ascii="Times New Roman" w:hAnsi="Times New Roman"/>
          <w:sz w:val="24"/>
        </w:rPr>
        <w:t xml:space="preserve">  </w:t>
      </w:r>
      <w:r w:rsidRPr="007163C7">
        <w:rPr>
          <w:rFonts w:ascii="Times New Roman" w:hAnsi="Times New Roman"/>
          <w:sz w:val="24"/>
        </w:rPr>
        <w:t xml:space="preserve">Summary of elemental biomarker </w:t>
      </w:r>
      <w:r w:rsidR="00730325" w:rsidRPr="007163C7">
        <w:rPr>
          <w:rFonts w:ascii="Times New Roman" w:hAnsi="Times New Roman"/>
          <w:sz w:val="24"/>
        </w:rPr>
        <w:t xml:space="preserve">quality control </w:t>
      </w:r>
      <w:r w:rsidRPr="007163C7">
        <w:rPr>
          <w:rFonts w:ascii="Times New Roman" w:hAnsi="Times New Roman"/>
          <w:sz w:val="24"/>
        </w:rPr>
        <w:t>measures</w:t>
      </w:r>
      <w:r w:rsidR="00D46656" w:rsidRPr="007163C7">
        <w:rPr>
          <w:rFonts w:ascii="Times New Roman" w:hAnsi="Times New Roman"/>
          <w:sz w:val="24"/>
        </w:rPr>
        <w:t>.  The limit of detection (</w:t>
      </w:r>
      <w:r w:rsidR="00E13017" w:rsidRPr="007163C7">
        <w:rPr>
          <w:rFonts w:ascii="Times New Roman" w:hAnsi="Times New Roman"/>
          <w:sz w:val="24"/>
        </w:rPr>
        <w:t xml:space="preserve">values reported </w:t>
      </w:r>
      <w:r w:rsidR="00730325" w:rsidRPr="007163C7">
        <w:rPr>
          <w:rFonts w:ascii="Times New Roman" w:hAnsi="Times New Roman"/>
          <w:sz w:val="24"/>
        </w:rPr>
        <w:t xml:space="preserve">as </w:t>
      </w:r>
      <w:r w:rsidR="00E13017" w:rsidRPr="007163C7">
        <w:rPr>
          <w:rFonts w:ascii="Times New Roman" w:hAnsi="Times New Roman"/>
          <w:sz w:val="24"/>
        </w:rPr>
        <w:t>µ</w:t>
      </w:r>
      <w:r w:rsidR="00730325" w:rsidRPr="007163C7">
        <w:rPr>
          <w:rFonts w:ascii="Times New Roman" w:hAnsi="Times New Roman"/>
          <w:sz w:val="24"/>
        </w:rPr>
        <w:t>g</w:t>
      </w:r>
      <w:r w:rsidR="00730325">
        <w:rPr>
          <w:rFonts w:ascii="Times New Roman" w:hAnsi="Times New Roman"/>
          <w:sz w:val="24"/>
        </w:rPr>
        <w:t>/L</w:t>
      </w:r>
      <w:r w:rsidR="00D46656" w:rsidRPr="00730325">
        <w:rPr>
          <w:rFonts w:ascii="Times New Roman" w:hAnsi="Times New Roman"/>
          <w:sz w:val="24"/>
        </w:rPr>
        <w:t xml:space="preserve">) was calculated as the mean value of several blank samples plus 3x the standard deviation of the mean.  Accuracy (closeness to actual value) </w:t>
      </w:r>
      <w:r w:rsidR="00730325" w:rsidRPr="00730325">
        <w:rPr>
          <w:rFonts w:ascii="Times New Roman" w:hAnsi="Times New Roman"/>
          <w:sz w:val="24"/>
        </w:rPr>
        <w:t xml:space="preserve">and precision (reproducibility) of each element was </w:t>
      </w:r>
      <w:r w:rsidR="00D46656" w:rsidRPr="00730325">
        <w:rPr>
          <w:rFonts w:ascii="Times New Roman" w:hAnsi="Times New Roman"/>
          <w:sz w:val="24"/>
        </w:rPr>
        <w:t xml:space="preserve">determined by use of </w:t>
      </w:r>
      <w:r w:rsidR="00E13017">
        <w:rPr>
          <w:rFonts w:ascii="Times New Roman" w:hAnsi="Times New Roman"/>
          <w:sz w:val="24"/>
        </w:rPr>
        <w:t xml:space="preserve">urine </w:t>
      </w:r>
      <w:r w:rsidR="00EE5B50">
        <w:rPr>
          <w:rFonts w:ascii="Times New Roman" w:hAnsi="Times New Roman"/>
          <w:sz w:val="24"/>
        </w:rPr>
        <w:t xml:space="preserve">certified reference materials </w:t>
      </w:r>
      <w:r w:rsidR="00D46656" w:rsidRPr="00730325">
        <w:rPr>
          <w:rFonts w:ascii="Times New Roman" w:hAnsi="Times New Roman"/>
          <w:sz w:val="24"/>
        </w:rPr>
        <w:t xml:space="preserve"> obtained from the Institut </w:t>
      </w:r>
      <w:r w:rsidR="00E13017">
        <w:rPr>
          <w:rFonts w:ascii="Times New Roman" w:hAnsi="Times New Roman"/>
          <w:sz w:val="24"/>
        </w:rPr>
        <w:t>N</w:t>
      </w:r>
      <w:r w:rsidR="00D46656" w:rsidRPr="00730325">
        <w:rPr>
          <w:rFonts w:ascii="Times New Roman" w:hAnsi="Times New Roman"/>
          <w:sz w:val="24"/>
        </w:rPr>
        <w:t xml:space="preserve">ational de </w:t>
      </w:r>
      <w:r w:rsidR="00E13017">
        <w:rPr>
          <w:rFonts w:ascii="Times New Roman" w:hAnsi="Times New Roman"/>
          <w:sz w:val="24"/>
        </w:rPr>
        <w:t>S</w:t>
      </w:r>
      <w:r w:rsidR="00D46656" w:rsidRPr="00730325">
        <w:rPr>
          <w:rFonts w:ascii="Times New Roman" w:hAnsi="Times New Roman"/>
          <w:sz w:val="24"/>
        </w:rPr>
        <w:t xml:space="preserve">anté </w:t>
      </w:r>
      <w:r w:rsidR="00E13017">
        <w:rPr>
          <w:rFonts w:ascii="Times New Roman" w:hAnsi="Times New Roman"/>
          <w:sz w:val="24"/>
        </w:rPr>
        <w:t>P</w:t>
      </w:r>
      <w:r w:rsidR="00D46656" w:rsidRPr="00730325">
        <w:rPr>
          <w:rFonts w:ascii="Times New Roman" w:hAnsi="Times New Roman"/>
          <w:sz w:val="24"/>
        </w:rPr>
        <w:t>ublique du Québec (</w:t>
      </w:r>
      <w:r w:rsidR="00D46656" w:rsidRPr="004D2D4A">
        <w:rPr>
          <w:rFonts w:ascii="Times New Roman" w:hAnsi="Times New Roman"/>
          <w:sz w:val="24"/>
        </w:rPr>
        <w:t>INSPQ)</w:t>
      </w:r>
      <w:r>
        <w:rPr>
          <w:rFonts w:ascii="Times New Roman" w:hAnsi="Times New Roman"/>
          <w:sz w:val="24"/>
        </w:rPr>
        <w:t>, except for blood iron (Fe) which was not measured by the INSPQ</w:t>
      </w:r>
      <w:r w:rsidR="00D46656" w:rsidRPr="004D2D4A">
        <w:rPr>
          <w:rFonts w:ascii="Times New Roman" w:hAnsi="Times New Roman"/>
          <w:sz w:val="24"/>
        </w:rPr>
        <w:t xml:space="preserve">.  </w:t>
      </w:r>
      <w:r w:rsidR="004D2D4A">
        <w:rPr>
          <w:rFonts w:ascii="Times New Roman" w:hAnsi="Times New Roman"/>
          <w:sz w:val="24"/>
        </w:rPr>
        <w:t>None of the results were adjusted except for b</w:t>
      </w:r>
      <w:r w:rsidR="004D2D4A" w:rsidRPr="004D2D4A">
        <w:rPr>
          <w:rFonts w:ascii="Times New Roman" w:hAnsi="Times New Roman"/>
          <w:sz w:val="24"/>
        </w:rPr>
        <w:t>lood manganese (Mn) and lead (Pb)</w:t>
      </w:r>
      <w:r w:rsidR="00BD447A" w:rsidRPr="004D2D4A">
        <w:rPr>
          <w:rFonts w:ascii="Times New Roman" w:hAnsi="Times New Roman"/>
          <w:sz w:val="24"/>
        </w:rPr>
        <w:t xml:space="preserve"> </w:t>
      </w:r>
      <w:r w:rsidR="004D2D4A">
        <w:rPr>
          <w:rFonts w:ascii="Times New Roman" w:hAnsi="Times New Roman"/>
          <w:sz w:val="24"/>
        </w:rPr>
        <w:t xml:space="preserve">which </w:t>
      </w:r>
      <w:r w:rsidR="00BD447A" w:rsidRPr="004D2D4A">
        <w:rPr>
          <w:rFonts w:ascii="Times New Roman" w:hAnsi="Times New Roman"/>
          <w:sz w:val="24"/>
        </w:rPr>
        <w:t xml:space="preserve">were </w:t>
      </w:r>
      <w:r w:rsidR="004D2D4A" w:rsidRPr="004D2D4A">
        <w:rPr>
          <w:rFonts w:ascii="Times New Roman" w:hAnsi="Times New Roman"/>
          <w:sz w:val="24"/>
        </w:rPr>
        <w:t>blank-adjusted to help improve accuracy</w:t>
      </w:r>
      <w:r w:rsidR="00BD447A" w:rsidRPr="004D2D4A">
        <w:rPr>
          <w:rFonts w:ascii="Times New Roman" w:hAnsi="Times New Roman"/>
          <w:sz w:val="24"/>
        </w:rPr>
        <w:t>.</w:t>
      </w:r>
    </w:p>
    <w:tbl>
      <w:tblPr>
        <w:tblW w:w="7020" w:type="dxa"/>
        <w:tblInd w:w="93" w:type="dxa"/>
        <w:tblLook w:val="04A0" w:firstRow="1" w:lastRow="0" w:firstColumn="1" w:lastColumn="0" w:noHBand="0" w:noVBand="1"/>
      </w:tblPr>
      <w:tblGrid>
        <w:gridCol w:w="1336"/>
        <w:gridCol w:w="1300"/>
        <w:gridCol w:w="1820"/>
        <w:gridCol w:w="1284"/>
        <w:gridCol w:w="1280"/>
      </w:tblGrid>
      <w:tr w:rsidR="00CE3601" w:rsidRPr="00CE3601" w14:paraId="382CC07E" w14:textId="77777777" w:rsidTr="00917B0D">
        <w:trPr>
          <w:trHeight w:val="32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0FC6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Biomarker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CA77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Element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FF2A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Detection Limit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B01F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Accuracy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6224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Precision</w:t>
            </w:r>
          </w:p>
        </w:tc>
      </w:tr>
      <w:tr w:rsidR="00CE3601" w:rsidRPr="00CE3601" w14:paraId="521D74D7" w14:textId="77777777" w:rsidTr="00917B0D">
        <w:trPr>
          <w:trHeight w:val="320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6B34" w14:textId="7A2326BF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Blood</w:t>
            </w:r>
            <w:r w:rsidR="001B60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 xml:space="preserve"> Elements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8408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Cd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EE17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0.3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B143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118%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2710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20%</w:t>
            </w:r>
          </w:p>
        </w:tc>
      </w:tr>
      <w:tr w:rsidR="00CE3601" w:rsidRPr="00CE3601" w14:paraId="7723378F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848C0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D61F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Cu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6470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231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FC38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108%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E0E3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11%</w:t>
            </w:r>
          </w:p>
        </w:tc>
      </w:tr>
      <w:tr w:rsidR="00CE3601" w:rsidRPr="00CE3601" w14:paraId="321DEFF6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753A6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D3F5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Fe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030E1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1,745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D72A" w14:textId="06E5C084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n</w:t>
            </w:r>
            <w:r w:rsidR="002947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/</w:t>
            </w: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65A3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13%</w:t>
            </w:r>
          </w:p>
        </w:tc>
      </w:tr>
      <w:tr w:rsidR="00CE3601" w:rsidRPr="00CE3601" w14:paraId="04D370CE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B90BA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F9AD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Hg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2DF9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&lt;0.1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9847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825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5%</w:t>
            </w:r>
          </w:p>
        </w:tc>
      </w:tr>
      <w:tr w:rsidR="00CE3601" w:rsidRPr="00CE3601" w14:paraId="2C7A7B8A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B4EC0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F344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Mn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578A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5.6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08D2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107%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4943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8%</w:t>
            </w:r>
          </w:p>
        </w:tc>
      </w:tr>
      <w:tr w:rsidR="00CE3601" w:rsidRPr="00CE3601" w14:paraId="179733FD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21BB2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6F35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Pb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FB53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24.2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8C67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F873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3%</w:t>
            </w:r>
          </w:p>
        </w:tc>
      </w:tr>
      <w:tr w:rsidR="00CE3601" w:rsidRPr="00CE3601" w14:paraId="47A0B545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22D14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2CA3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30ED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4.4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A10E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102%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6F53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14%</w:t>
            </w:r>
          </w:p>
        </w:tc>
      </w:tr>
      <w:tr w:rsidR="00CE3601" w:rsidRPr="00CE3601" w14:paraId="6B963F4B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6E40A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75AE1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Zn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3E55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451.7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1F7E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101%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EBBB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13%</w:t>
            </w:r>
          </w:p>
        </w:tc>
      </w:tr>
      <w:tr w:rsidR="00CE3601" w:rsidRPr="00CE3601" w14:paraId="7B25BBFE" w14:textId="77777777" w:rsidTr="00917B0D">
        <w:trPr>
          <w:trHeight w:val="320"/>
        </w:trPr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22B1" w14:textId="59ACDEB6" w:rsidR="00CE3601" w:rsidRPr="00CE3601" w:rsidRDefault="00CE3601" w:rsidP="001B6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Urin</w:t>
            </w:r>
            <w:r w:rsidR="001B60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ary E lements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E9A4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36D4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0.8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65C4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E8B2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2%</w:t>
            </w:r>
          </w:p>
        </w:tc>
      </w:tr>
      <w:tr w:rsidR="00CE3601" w:rsidRPr="00CE3601" w14:paraId="4839C444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9FC7A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C23E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89FB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0.2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4AA3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0AA2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1%</w:t>
            </w:r>
          </w:p>
        </w:tc>
      </w:tr>
      <w:tr w:rsidR="00CE3601" w:rsidRPr="00CE3601" w14:paraId="672EA912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B2F41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C68C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Cr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DE577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&lt;0.1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E2C5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105%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5F8E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3%</w:t>
            </w:r>
          </w:p>
        </w:tc>
      </w:tr>
      <w:tr w:rsidR="00CE3601" w:rsidRPr="00CE3601" w14:paraId="3CA13078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8F341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8C4AD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Cu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064D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4.6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8F91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6E1E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2%</w:t>
            </w:r>
          </w:p>
        </w:tc>
      </w:tr>
      <w:tr w:rsidR="00CE3601" w:rsidRPr="00CE3601" w14:paraId="6EFF0A73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D2E95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CC70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Hg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DB60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&lt;0.1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C0EC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0FC7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2%</w:t>
            </w:r>
          </w:p>
        </w:tc>
      </w:tr>
      <w:tr w:rsidR="00CE3601" w:rsidRPr="00CE3601" w14:paraId="6B9536AC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0D0B8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EEE5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0AF0C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0965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108%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3DB6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2%</w:t>
            </w:r>
          </w:p>
        </w:tc>
      </w:tr>
      <w:tr w:rsidR="00CE3601" w:rsidRPr="00CE3601" w14:paraId="5971C138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F503B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C911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Pb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5EA8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0.6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FF77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470E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1%</w:t>
            </w:r>
          </w:p>
        </w:tc>
      </w:tr>
      <w:tr w:rsidR="00CE3601" w:rsidRPr="00CE3601" w14:paraId="053D7B78" w14:textId="77777777" w:rsidTr="00917B0D">
        <w:trPr>
          <w:trHeight w:val="320"/>
        </w:trPr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E7913" w14:textId="77777777" w:rsidR="00CE3601" w:rsidRPr="00CE3601" w:rsidRDefault="00CE3601" w:rsidP="00CE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D825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Zn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E23A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21.3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9C4A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BF30" w14:textId="77777777" w:rsidR="00CE3601" w:rsidRPr="00CE3601" w:rsidRDefault="00CE3601" w:rsidP="00CE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</w:pPr>
            <w:r w:rsidRPr="00CE36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/>
              </w:rPr>
              <w:t>1%</w:t>
            </w:r>
          </w:p>
        </w:tc>
      </w:tr>
    </w:tbl>
    <w:p w14:paraId="5845BBEF" w14:textId="77777777" w:rsidR="00CE3601" w:rsidRDefault="00CE3601" w:rsidP="00EF581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564276B" w14:textId="77777777" w:rsidR="001562FA" w:rsidRDefault="001562FA">
      <w:pPr>
        <w:rPr>
          <w:rFonts w:ascii="Times New Roman" w:hAnsi="Times New Roman"/>
          <w:sz w:val="24"/>
          <w:szCs w:val="24"/>
        </w:rPr>
        <w:sectPr w:rsidR="001562FA" w:rsidSect="0025537B">
          <w:footerReference w:type="default" r:id="rId12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47D68843" w14:textId="77777777" w:rsidR="00CB048A" w:rsidRPr="00CB048A" w:rsidRDefault="00CB048A" w:rsidP="00CB048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46EA7824" w14:textId="77777777" w:rsidR="00982133" w:rsidRDefault="00982133">
      <w:pPr>
        <w:rPr>
          <w:rFonts w:ascii="Times New Roman" w:hAnsi="Times New Roman"/>
          <w:sz w:val="24"/>
          <w:szCs w:val="24"/>
        </w:rPr>
      </w:pPr>
    </w:p>
    <w:p w14:paraId="0B7455D2" w14:textId="516A2821" w:rsidR="002E2432" w:rsidRDefault="002E2432" w:rsidP="002E24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Table </w:t>
      </w:r>
      <w:r w:rsidR="00BE5FFB">
        <w:rPr>
          <w:rFonts w:ascii="Times New Roman" w:hAnsi="Times New Roman"/>
          <w:b/>
          <w:sz w:val="24"/>
          <w:szCs w:val="24"/>
        </w:rPr>
        <w:t>2</w:t>
      </w:r>
      <w:r w:rsidRPr="002F2119">
        <w:rPr>
          <w:rFonts w:ascii="Times New Roman" w:hAnsi="Times New Roman"/>
          <w:b/>
          <w:sz w:val="24"/>
          <w:szCs w:val="24"/>
        </w:rPr>
        <w:t xml:space="preserve">.  </w:t>
      </w:r>
      <w:r w:rsidRPr="002E2432">
        <w:rPr>
          <w:rFonts w:ascii="Times New Roman" w:hAnsi="Times New Roman"/>
          <w:sz w:val="24"/>
          <w:szCs w:val="24"/>
        </w:rPr>
        <w:t xml:space="preserve">Description of blood and urinary elements (µg/L) for the study population </w:t>
      </w:r>
      <w:r w:rsidRPr="002E2432">
        <w:rPr>
          <w:rFonts w:ascii="Times New Roman" w:hAnsi="Times New Roman"/>
          <w:sz w:val="24"/>
        </w:rPr>
        <w:t>of 11 female service workers sampled from the Agbogbloshie e-waste site (Accra, Ghana) in April 2014</w:t>
      </w:r>
      <w:r w:rsidRPr="002E2432">
        <w:rPr>
          <w:rFonts w:ascii="Times New Roman" w:hAnsi="Times New Roman"/>
          <w:sz w:val="24"/>
          <w:szCs w:val="24"/>
        </w:rPr>
        <w:t>.</w:t>
      </w:r>
      <w:r w:rsidRPr="001B606E">
        <w:rPr>
          <w:rFonts w:ascii="Times New Roman" w:hAnsi="Times New Roman"/>
          <w:b/>
          <w:sz w:val="24"/>
          <w:szCs w:val="24"/>
        </w:rPr>
        <w:t xml:space="preserve">  </w:t>
      </w:r>
      <w:r w:rsidR="00C55BC7">
        <w:rPr>
          <w:rFonts w:ascii="Times New Roman" w:hAnsi="Times New Roman"/>
          <w:sz w:val="24"/>
          <w:szCs w:val="24"/>
        </w:rPr>
        <w:t>Shaded cells refer to toxic elements and un-shaded cells refer to essential elements.</w:t>
      </w:r>
    </w:p>
    <w:p w14:paraId="090D092C" w14:textId="77777777" w:rsidR="002E2432" w:rsidRPr="001B606E" w:rsidRDefault="002E2432" w:rsidP="002E2432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4259315" w14:textId="77777777" w:rsidR="002E2432" w:rsidRDefault="002E2432" w:rsidP="002E2432">
      <w:pPr>
        <w:spacing w:after="0" w:line="240" w:lineRule="auto"/>
        <w:rPr>
          <w:rFonts w:ascii="Lucida Grande" w:hAnsi="Lucida Grande" w:cs="Lucida Grande"/>
          <w:color w:val="00000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1276"/>
        <w:gridCol w:w="1276"/>
        <w:gridCol w:w="1134"/>
        <w:gridCol w:w="992"/>
        <w:gridCol w:w="992"/>
        <w:gridCol w:w="992"/>
        <w:gridCol w:w="993"/>
      </w:tblGrid>
      <w:tr w:rsidR="002E2432" w:rsidRPr="00DD5DF8" w14:paraId="5202492D" w14:textId="77777777" w:rsidTr="0005754A">
        <w:trPr>
          <w:trHeight w:val="299"/>
        </w:trPr>
        <w:tc>
          <w:tcPr>
            <w:tcW w:w="1149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0886C03" w14:textId="77777777" w:rsidR="002E2432" w:rsidRPr="00DD5DF8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A491B2" w14:textId="77777777" w:rsidR="002E2432" w:rsidRPr="00DD5DF8" w:rsidRDefault="002E2432" w:rsidP="0005754A">
            <w:pPr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763500" w14:textId="77777777" w:rsidR="002E2432" w:rsidRPr="00DD5DF8" w:rsidRDefault="002E2432" w:rsidP="0005754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>Mean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C2AF3" w14:textId="77777777" w:rsidR="002E2432" w:rsidRPr="00DD5DF8" w:rsidRDefault="002E2432" w:rsidP="0005754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>Standard Deviation</w:t>
            </w:r>
          </w:p>
        </w:tc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7FF8" w14:textId="46783895" w:rsidR="002E2432" w:rsidRPr="00DD5DF8" w:rsidRDefault="00C55BC7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>P</w:t>
            </w:r>
            <w:r w:rsidR="002E2432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>ercentiles</w:t>
            </w:r>
          </w:p>
        </w:tc>
      </w:tr>
      <w:tr w:rsidR="002E2432" w:rsidRPr="00DD5DF8" w14:paraId="7C0C03AB" w14:textId="77777777" w:rsidTr="0005754A">
        <w:trPr>
          <w:trHeight w:val="514"/>
        </w:trPr>
        <w:tc>
          <w:tcPr>
            <w:tcW w:w="114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1565" w14:textId="77777777" w:rsidR="002E2432" w:rsidRPr="00DD5DF8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998F" w14:textId="77777777" w:rsidR="002E2432" w:rsidRPr="00DD5DF8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2EF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B874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483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10%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0C2C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25%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1DE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50%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257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75%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4A4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b/>
                <w:bCs/>
                <w:color w:val="000000"/>
                <w:lang w:val="en-CA"/>
              </w:rPr>
              <w:t xml:space="preserve">90% </w:t>
            </w:r>
          </w:p>
        </w:tc>
      </w:tr>
      <w:tr w:rsidR="002E2432" w:rsidRPr="00DD5DF8" w14:paraId="1CEF85E6" w14:textId="77777777" w:rsidTr="0005754A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AAE2" w14:textId="77777777" w:rsidR="002E2432" w:rsidRPr="00DD5DF8" w:rsidRDefault="002E2432" w:rsidP="0005754A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asciiTheme="minorHAnsi" w:eastAsia="Times New Roman" w:hAnsiTheme="minorHAnsi"/>
                <w:color w:val="000000"/>
                <w:lang w:val="en-CA"/>
              </w:rPr>
              <w:t>Blood Elements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32A9925E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E60FA24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968F052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9D8714D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F7F65F2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576DFFE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C7BB61E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1066221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2.5</w:t>
            </w:r>
          </w:p>
        </w:tc>
      </w:tr>
      <w:tr w:rsidR="002E2432" w:rsidRPr="00DD5DF8" w14:paraId="2810E5E5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06A" w14:textId="77777777" w:rsidR="002E2432" w:rsidRPr="00DD5DF8" w:rsidRDefault="002E2432" w:rsidP="0005754A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46E0ED67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Hg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E00596A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E731EE9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1759D99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82BBEF6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149CF09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7988D26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26BAE76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2.3</w:t>
            </w:r>
          </w:p>
        </w:tc>
      </w:tr>
      <w:tr w:rsidR="002E2432" w:rsidRPr="00DD5DF8" w14:paraId="2C9DC13D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53F1" w14:textId="77777777" w:rsidR="002E2432" w:rsidRPr="00DD5DF8" w:rsidRDefault="002E2432" w:rsidP="0005754A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43B0FE8C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Pb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8220AF6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D0B71DB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B1BCD61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4A2CE85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4D97458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5513E5E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60.0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8D2734B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78.3</w:t>
            </w:r>
          </w:p>
        </w:tc>
      </w:tr>
      <w:tr w:rsidR="002E2432" w:rsidRPr="00DD5DF8" w14:paraId="2CAA3FDE" w14:textId="77777777" w:rsidTr="0005754A">
        <w:trPr>
          <w:trHeight w:val="159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1575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EA3E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23F7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9398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864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D01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FFAF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1FC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296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1362</w:t>
            </w:r>
          </w:p>
        </w:tc>
      </w:tr>
      <w:tr w:rsidR="002E2432" w:rsidRPr="00DD5DF8" w14:paraId="56246614" w14:textId="77777777" w:rsidTr="0005754A">
        <w:trPr>
          <w:trHeight w:val="304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E64B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7908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AB5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374349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171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84540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6DCD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251567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2B1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262024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575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391849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8C72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453355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BD77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459225</w:t>
            </w:r>
          </w:p>
        </w:tc>
      </w:tr>
      <w:tr w:rsidR="002E2432" w:rsidRPr="00DD5DF8" w14:paraId="7C56845D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407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568F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9DF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566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52D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EE4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580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3F0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625E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14.3</w:t>
            </w:r>
          </w:p>
        </w:tc>
      </w:tr>
      <w:tr w:rsidR="002E2432" w:rsidRPr="00DD5DF8" w14:paraId="2536A029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A49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7CA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634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29D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643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164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622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0CC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0FA8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217</w:t>
            </w:r>
          </w:p>
        </w:tc>
      </w:tr>
      <w:tr w:rsidR="002E2432" w:rsidRPr="00DD5DF8" w14:paraId="5A909E70" w14:textId="77777777" w:rsidTr="0005754A">
        <w:trPr>
          <w:trHeight w:val="300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F99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3E18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D5DF8">
              <w:rPr>
                <w:rFonts w:asciiTheme="minorHAnsi" w:eastAsia="Times New Roman" w:hAnsiTheme="minorHAnsi"/>
                <w:color w:val="000000"/>
                <w:lang w:val="en-CA"/>
              </w:rPr>
              <w:t>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EC92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4475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C50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9A5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ADF3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2968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4259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445C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5123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6580" w14:textId="77777777" w:rsidR="002E2432" w:rsidRPr="00DD5DF8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6435</w:t>
            </w:r>
          </w:p>
        </w:tc>
      </w:tr>
      <w:tr w:rsidR="002E2432" w:rsidRPr="00DD5DF8" w14:paraId="42534488" w14:textId="77777777" w:rsidTr="0005754A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1EB4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  <w:lang w:val="en-CA"/>
              </w:rPr>
              <w:t>Urinary Elements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075CE70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627D59A7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117.5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7DE559FE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72.1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62BA6EEA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53DFAC6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52.6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5CA49C2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92.5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C7C6A6C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189.0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C0B8DFF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216.7</w:t>
            </w:r>
          </w:p>
        </w:tc>
      </w:tr>
      <w:tr w:rsidR="002E2432" w:rsidRPr="00DD5DF8" w14:paraId="374DFD33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8E788" w14:textId="77777777" w:rsidR="002E2432" w:rsidRPr="001B606E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C5702E1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1164D9A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6FABDAF1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EFB5320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7AB0CAF6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6B67457D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73E1ABA4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382ADB0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91.0</w:t>
            </w:r>
          </w:p>
        </w:tc>
      </w:tr>
      <w:tr w:rsidR="002E2432" w:rsidRPr="00DD5DF8" w14:paraId="2FF70D15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75336" w14:textId="77777777" w:rsidR="002E2432" w:rsidRPr="001B606E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C40159C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189D718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00D69E5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DA4362F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FBF6CB2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DB9D310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6CE2E3F4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74FEAFF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3.3</w:t>
            </w:r>
          </w:p>
        </w:tc>
      </w:tr>
      <w:tr w:rsidR="002E2432" w:rsidRPr="00DD5DF8" w14:paraId="3782A46F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DAD4E" w14:textId="77777777" w:rsidR="002E2432" w:rsidRPr="001B606E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EAE588A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Hg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1875962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07CE7BB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62D2D6AF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D82EB0A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27FB4F4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684DB1B4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7A74805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1.0</w:t>
            </w:r>
          </w:p>
        </w:tc>
      </w:tr>
      <w:tr w:rsidR="002E2432" w:rsidRPr="00DD5DF8" w14:paraId="1A9D985A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B0E24" w14:textId="77777777" w:rsidR="002E2432" w:rsidRPr="001B606E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98A506C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A3C14CE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DF6E6F2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406B006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F9BB56A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238B782E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88E39EE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51.8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351224C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95.8</w:t>
            </w:r>
          </w:p>
        </w:tc>
      </w:tr>
      <w:tr w:rsidR="002E2432" w:rsidRPr="00DD5DF8" w14:paraId="4A3CEC54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A66E6" w14:textId="77777777" w:rsidR="002E2432" w:rsidRPr="001B606E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D7A53DA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Pb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8EFCB47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2565104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446EC159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67FC4454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3D648EB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EB8499E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5EED21F7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22.0</w:t>
            </w:r>
          </w:p>
        </w:tc>
      </w:tr>
      <w:tr w:rsidR="002E2432" w:rsidRPr="00DD5DF8" w14:paraId="08E38D96" w14:textId="77777777" w:rsidTr="0005754A">
        <w:trPr>
          <w:trHeight w:val="30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32610" w14:textId="77777777" w:rsidR="002E2432" w:rsidRPr="001B606E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FB99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Cu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D081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76.2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E059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28.4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76FE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48.4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E51C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55.2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404E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65.3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813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91.7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DE6A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134.7</w:t>
            </w:r>
          </w:p>
        </w:tc>
      </w:tr>
      <w:tr w:rsidR="002E2432" w:rsidRPr="00DD5DF8" w14:paraId="36D4B8E3" w14:textId="77777777" w:rsidTr="0005754A">
        <w:trPr>
          <w:trHeight w:val="300"/>
        </w:trPr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5763" w14:textId="77777777" w:rsidR="002E2432" w:rsidRPr="001B606E" w:rsidRDefault="002E2432" w:rsidP="0005754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24AA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1B606E">
              <w:rPr>
                <w:rFonts w:asciiTheme="minorHAnsi" w:eastAsia="Times New Roman" w:hAnsiTheme="minorHAnsi"/>
                <w:color w:val="000000"/>
              </w:rPr>
              <w:t>Zn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7455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D445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2A6B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0C0F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656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A7BF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1604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1072" w14:textId="77777777" w:rsidR="002E2432" w:rsidRPr="001B606E" w:rsidRDefault="002E2432" w:rsidP="000575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>
              <w:rPr>
                <w:rFonts w:eastAsia="Times New Roman"/>
                <w:color w:val="000000"/>
              </w:rPr>
              <w:t>3451</w:t>
            </w:r>
          </w:p>
        </w:tc>
      </w:tr>
    </w:tbl>
    <w:p w14:paraId="19C59D48" w14:textId="77777777" w:rsidR="002E2432" w:rsidRDefault="002E2432" w:rsidP="002E2432">
      <w:pPr>
        <w:rPr>
          <w:rFonts w:ascii="Lucida Grande" w:hAnsi="Lucida Grande" w:cs="Lucida Grande"/>
          <w:color w:val="000000"/>
        </w:rPr>
      </w:pPr>
    </w:p>
    <w:p w14:paraId="4D2F8B34" w14:textId="158C35D0" w:rsidR="00BE5FFB" w:rsidRDefault="00BE5FFB" w:rsidP="002E2432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EF93505" w14:textId="77777777" w:rsidR="002E2432" w:rsidRDefault="002E2432" w:rsidP="002E2432">
      <w:pPr>
        <w:spacing w:line="480" w:lineRule="auto"/>
        <w:rPr>
          <w:rFonts w:ascii="Times New Roman" w:hAnsi="Times New Roman"/>
          <w:sz w:val="24"/>
        </w:rPr>
      </w:pPr>
    </w:p>
    <w:p w14:paraId="6104C3EA" w14:textId="77777777" w:rsidR="00BE5FFB" w:rsidRDefault="00BE5FFB" w:rsidP="00BE5FF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163C7">
        <w:rPr>
          <w:rFonts w:ascii="Times New Roman" w:hAnsi="Times New Roman"/>
          <w:b/>
          <w:sz w:val="24"/>
          <w:szCs w:val="24"/>
        </w:rPr>
        <w:t>Supplemental Table 3.</w:t>
      </w:r>
      <w:r w:rsidRPr="007163C7">
        <w:rPr>
          <w:rFonts w:ascii="Times New Roman" w:hAnsi="Times New Roman"/>
          <w:sz w:val="24"/>
          <w:szCs w:val="24"/>
        </w:rPr>
        <w:t xml:space="preserve">  Correlation</w:t>
      </w:r>
      <w:r w:rsidRPr="00CB048A">
        <w:rPr>
          <w:rFonts w:ascii="Times New Roman" w:hAnsi="Times New Roman"/>
          <w:sz w:val="24"/>
          <w:szCs w:val="24"/>
        </w:rPr>
        <w:t xml:space="preserve"> matrix among </w:t>
      </w:r>
      <w:r>
        <w:rPr>
          <w:rFonts w:ascii="Times New Roman" w:hAnsi="Times New Roman"/>
          <w:sz w:val="24"/>
          <w:szCs w:val="24"/>
        </w:rPr>
        <w:t>blood and urinary elements</w:t>
      </w:r>
      <w:r w:rsidRPr="00CB048A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The number in each cell refers to the corresponding r-value, and those that are bolded </w:t>
      </w:r>
      <w:r w:rsidRPr="00CB048A">
        <w:rPr>
          <w:rFonts w:ascii="Times New Roman" w:hAnsi="Times New Roman"/>
          <w:sz w:val="24"/>
          <w:szCs w:val="24"/>
        </w:rPr>
        <w:t xml:space="preserve"> indicate elements that are significantly correlated</w:t>
      </w:r>
      <w:r>
        <w:rPr>
          <w:rFonts w:ascii="Times New Roman" w:hAnsi="Times New Roman"/>
          <w:sz w:val="24"/>
          <w:szCs w:val="24"/>
        </w:rPr>
        <w:t xml:space="preserve"> using a more restrictive p-value (0.01)</w:t>
      </w:r>
      <w:r w:rsidRPr="00CB0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 cells are shaded with a heat map with red and green indicating cells with the strongest positive and negative correlations, respectively. </w:t>
      </w:r>
      <w:r w:rsidRPr="00CB048A">
        <w:rPr>
          <w:rFonts w:ascii="Times New Roman" w:hAnsi="Times New Roman"/>
          <w:sz w:val="24"/>
          <w:szCs w:val="24"/>
        </w:rPr>
        <w:t xml:space="preserve">  </w:t>
      </w:r>
    </w:p>
    <w:p w14:paraId="0EDCE0CC" w14:textId="77777777" w:rsidR="00BE5FFB" w:rsidRPr="00ED4B82" w:rsidRDefault="00BE5FFB" w:rsidP="00BE5FFB">
      <w:pPr>
        <w:spacing w:line="480" w:lineRule="auto"/>
        <w:rPr>
          <w:rFonts w:ascii="Times New Roman" w:hAnsi="Times New Roman"/>
          <w:b/>
          <w:sz w:val="24"/>
        </w:rPr>
      </w:pPr>
    </w:p>
    <w:p w14:paraId="4AA89E18" w14:textId="77777777" w:rsidR="00BE5FFB" w:rsidRPr="00CB048A" w:rsidRDefault="00BE5FFB" w:rsidP="00BE5FF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19463B" wp14:editId="77A80472">
            <wp:extent cx="5943600" cy="285632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CA19" w14:textId="77777777" w:rsidR="00BE5FFB" w:rsidRDefault="00BE5FFB" w:rsidP="00BE5FFB">
      <w:pPr>
        <w:rPr>
          <w:rFonts w:ascii="Times New Roman" w:hAnsi="Times New Roman"/>
          <w:sz w:val="24"/>
          <w:szCs w:val="24"/>
        </w:rPr>
      </w:pPr>
    </w:p>
    <w:p w14:paraId="5BE6F094" w14:textId="77777777" w:rsidR="00BE5FFB" w:rsidRDefault="00BE5FFB" w:rsidP="00BE5FFB">
      <w:pPr>
        <w:rPr>
          <w:rFonts w:ascii="Times New Roman" w:hAnsi="Times New Roman"/>
          <w:sz w:val="24"/>
          <w:szCs w:val="24"/>
        </w:rPr>
      </w:pPr>
    </w:p>
    <w:p w14:paraId="45A85341" w14:textId="77777777" w:rsidR="00BE5FFB" w:rsidRDefault="00BE5FFB" w:rsidP="00BE5FFB">
      <w:pPr>
        <w:rPr>
          <w:rFonts w:ascii="Times New Roman" w:hAnsi="Times New Roman"/>
          <w:sz w:val="24"/>
          <w:szCs w:val="24"/>
        </w:rPr>
      </w:pPr>
    </w:p>
    <w:p w14:paraId="1BC03216" w14:textId="1BC86FE8" w:rsidR="00000926" w:rsidRPr="007163C7" w:rsidRDefault="00000926" w:rsidP="006C0FC8">
      <w:pPr>
        <w:rPr>
          <w:rFonts w:ascii="Times New Roman" w:hAnsi="Times New Roman"/>
          <w:sz w:val="24"/>
          <w:szCs w:val="24"/>
        </w:rPr>
      </w:pPr>
    </w:p>
    <w:sectPr w:rsidR="00000926" w:rsidRPr="007163C7" w:rsidSect="00343E5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DC003" w14:textId="77777777" w:rsidR="00160A13" w:rsidRDefault="00160A13" w:rsidP="000B48CC">
      <w:pPr>
        <w:spacing w:after="0" w:line="240" w:lineRule="auto"/>
      </w:pPr>
      <w:r>
        <w:separator/>
      </w:r>
    </w:p>
  </w:endnote>
  <w:endnote w:type="continuationSeparator" w:id="0">
    <w:p w14:paraId="6015717B" w14:textId="77777777" w:rsidR="00160A13" w:rsidRDefault="00160A13" w:rsidP="000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C440" w14:textId="77777777" w:rsidR="00160A13" w:rsidRDefault="00160A13">
    <w:pPr>
      <w:pStyle w:val="Footer"/>
      <w:jc w:val="center"/>
    </w:pPr>
    <w:r w:rsidRPr="00235108">
      <w:rPr>
        <w:sz w:val="22"/>
      </w:rPr>
      <w:t xml:space="preserve">- </w:t>
    </w:r>
    <w:r w:rsidRPr="00235108">
      <w:rPr>
        <w:sz w:val="22"/>
      </w:rPr>
      <w:fldChar w:fldCharType="begin"/>
    </w:r>
    <w:r w:rsidRPr="00235108">
      <w:rPr>
        <w:sz w:val="22"/>
      </w:rPr>
      <w:instrText xml:space="preserve"> PAGE   \* MERGEFORMAT </w:instrText>
    </w:r>
    <w:r w:rsidRPr="00235108">
      <w:rPr>
        <w:sz w:val="22"/>
      </w:rPr>
      <w:fldChar w:fldCharType="separate"/>
    </w:r>
    <w:r w:rsidR="0040461D">
      <w:rPr>
        <w:noProof/>
        <w:sz w:val="22"/>
      </w:rPr>
      <w:t>5</w:t>
    </w:r>
    <w:r w:rsidRPr="00235108">
      <w:rPr>
        <w:sz w:val="22"/>
      </w:rPr>
      <w:fldChar w:fldCharType="end"/>
    </w:r>
    <w:r w:rsidRPr="00235108">
      <w:rPr>
        <w:sz w:val="22"/>
      </w:rPr>
      <w:t xml:space="preserve"> -</w:t>
    </w:r>
  </w:p>
  <w:p w14:paraId="0E368E77" w14:textId="77777777" w:rsidR="00160A13" w:rsidRDefault="00160A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63BF3" w14:textId="77777777" w:rsidR="00160A13" w:rsidRDefault="00160A13">
    <w:pPr>
      <w:pStyle w:val="Footer"/>
      <w:jc w:val="center"/>
    </w:pPr>
    <w:r w:rsidRPr="00235108">
      <w:rPr>
        <w:sz w:val="22"/>
      </w:rPr>
      <w:t xml:space="preserve">- </w:t>
    </w:r>
    <w:r w:rsidRPr="00235108">
      <w:rPr>
        <w:sz w:val="22"/>
      </w:rPr>
      <w:fldChar w:fldCharType="begin"/>
    </w:r>
    <w:r w:rsidRPr="00235108">
      <w:rPr>
        <w:sz w:val="22"/>
      </w:rPr>
      <w:instrText xml:space="preserve"> PAGE   \* MERGEFORMAT </w:instrText>
    </w:r>
    <w:r w:rsidRPr="00235108">
      <w:rPr>
        <w:sz w:val="22"/>
      </w:rPr>
      <w:fldChar w:fldCharType="separate"/>
    </w:r>
    <w:r w:rsidR="00E911F9">
      <w:rPr>
        <w:noProof/>
        <w:sz w:val="22"/>
      </w:rPr>
      <w:t>32</w:t>
    </w:r>
    <w:r w:rsidRPr="00235108">
      <w:rPr>
        <w:sz w:val="22"/>
      </w:rPr>
      <w:fldChar w:fldCharType="end"/>
    </w:r>
    <w:r w:rsidRPr="00235108">
      <w:rPr>
        <w:sz w:val="22"/>
      </w:rPr>
      <w:t xml:space="preserve"> -</w:t>
    </w:r>
  </w:p>
  <w:p w14:paraId="1026CFD1" w14:textId="77777777" w:rsidR="00160A13" w:rsidRDefault="00160A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36E12" w14:textId="77777777" w:rsidR="00160A13" w:rsidRDefault="00160A13" w:rsidP="000B48CC">
      <w:pPr>
        <w:spacing w:after="0" w:line="240" w:lineRule="auto"/>
      </w:pPr>
      <w:r>
        <w:separator/>
      </w:r>
    </w:p>
  </w:footnote>
  <w:footnote w:type="continuationSeparator" w:id="0">
    <w:p w14:paraId="3C39C79B" w14:textId="77777777" w:rsidR="00160A13" w:rsidRDefault="00160A13" w:rsidP="000B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84C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E81CF8"/>
    <w:multiLevelType w:val="hybridMultilevel"/>
    <w:tmpl w:val="2DCA0722"/>
    <w:lvl w:ilvl="0" w:tplc="52F4B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20602"/>
    <w:multiLevelType w:val="hybridMultilevel"/>
    <w:tmpl w:val="26F0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4391B"/>
    <w:rsid w:val="00000926"/>
    <w:rsid w:val="00001E20"/>
    <w:rsid w:val="00002962"/>
    <w:rsid w:val="0000589E"/>
    <w:rsid w:val="00010CF6"/>
    <w:rsid w:val="000134F9"/>
    <w:rsid w:val="00014A0D"/>
    <w:rsid w:val="0002507D"/>
    <w:rsid w:val="000272B8"/>
    <w:rsid w:val="00027BF9"/>
    <w:rsid w:val="000311B3"/>
    <w:rsid w:val="0003353A"/>
    <w:rsid w:val="00035203"/>
    <w:rsid w:val="00037BFF"/>
    <w:rsid w:val="0005461C"/>
    <w:rsid w:val="0005754A"/>
    <w:rsid w:val="00073C42"/>
    <w:rsid w:val="00077A54"/>
    <w:rsid w:val="00082A0A"/>
    <w:rsid w:val="00085E9C"/>
    <w:rsid w:val="00087FF3"/>
    <w:rsid w:val="000A2869"/>
    <w:rsid w:val="000A453C"/>
    <w:rsid w:val="000B0232"/>
    <w:rsid w:val="000B2DAC"/>
    <w:rsid w:val="000B3F54"/>
    <w:rsid w:val="000B4237"/>
    <w:rsid w:val="000B48CC"/>
    <w:rsid w:val="000B52E9"/>
    <w:rsid w:val="000C100C"/>
    <w:rsid w:val="000C3386"/>
    <w:rsid w:val="000C6455"/>
    <w:rsid w:val="000C6759"/>
    <w:rsid w:val="000D2098"/>
    <w:rsid w:val="000F0490"/>
    <w:rsid w:val="000F08D2"/>
    <w:rsid w:val="000F2BD8"/>
    <w:rsid w:val="000F7047"/>
    <w:rsid w:val="00101747"/>
    <w:rsid w:val="0010194C"/>
    <w:rsid w:val="00103653"/>
    <w:rsid w:val="0010593F"/>
    <w:rsid w:val="00106564"/>
    <w:rsid w:val="00112C7F"/>
    <w:rsid w:val="0012028C"/>
    <w:rsid w:val="001259F8"/>
    <w:rsid w:val="00131832"/>
    <w:rsid w:val="001363C0"/>
    <w:rsid w:val="001416EC"/>
    <w:rsid w:val="001462CB"/>
    <w:rsid w:val="00154408"/>
    <w:rsid w:val="001562FA"/>
    <w:rsid w:val="00156885"/>
    <w:rsid w:val="00160A13"/>
    <w:rsid w:val="00161F67"/>
    <w:rsid w:val="00165279"/>
    <w:rsid w:val="00165CA9"/>
    <w:rsid w:val="00166082"/>
    <w:rsid w:val="001668BA"/>
    <w:rsid w:val="00171769"/>
    <w:rsid w:val="00171AF8"/>
    <w:rsid w:val="001733F2"/>
    <w:rsid w:val="001853C9"/>
    <w:rsid w:val="00185D70"/>
    <w:rsid w:val="00193888"/>
    <w:rsid w:val="0019548E"/>
    <w:rsid w:val="001955CB"/>
    <w:rsid w:val="001A0787"/>
    <w:rsid w:val="001A1140"/>
    <w:rsid w:val="001A381F"/>
    <w:rsid w:val="001A728A"/>
    <w:rsid w:val="001B0A75"/>
    <w:rsid w:val="001B3ECA"/>
    <w:rsid w:val="001B606E"/>
    <w:rsid w:val="001F0B00"/>
    <w:rsid w:val="001F0FD3"/>
    <w:rsid w:val="001F2FB7"/>
    <w:rsid w:val="00201EFE"/>
    <w:rsid w:val="002034C1"/>
    <w:rsid w:val="002100BC"/>
    <w:rsid w:val="00210EB6"/>
    <w:rsid w:val="00213FF9"/>
    <w:rsid w:val="00214117"/>
    <w:rsid w:val="00217C2B"/>
    <w:rsid w:val="00222CFD"/>
    <w:rsid w:val="00223B31"/>
    <w:rsid w:val="00232600"/>
    <w:rsid w:val="00254D6A"/>
    <w:rsid w:val="0025537B"/>
    <w:rsid w:val="00261857"/>
    <w:rsid w:val="00263188"/>
    <w:rsid w:val="0028270B"/>
    <w:rsid w:val="00285460"/>
    <w:rsid w:val="0028622A"/>
    <w:rsid w:val="00290B06"/>
    <w:rsid w:val="0029476E"/>
    <w:rsid w:val="00295C84"/>
    <w:rsid w:val="00297F97"/>
    <w:rsid w:val="002A6365"/>
    <w:rsid w:val="002B2CB3"/>
    <w:rsid w:val="002B3F2F"/>
    <w:rsid w:val="002B65CC"/>
    <w:rsid w:val="002C1781"/>
    <w:rsid w:val="002D481C"/>
    <w:rsid w:val="002E2432"/>
    <w:rsid w:val="002E38AB"/>
    <w:rsid w:val="002F2119"/>
    <w:rsid w:val="002F22FB"/>
    <w:rsid w:val="00305DAA"/>
    <w:rsid w:val="00310F5A"/>
    <w:rsid w:val="00315FA9"/>
    <w:rsid w:val="003166D8"/>
    <w:rsid w:val="00324DC0"/>
    <w:rsid w:val="00325BD0"/>
    <w:rsid w:val="00340F53"/>
    <w:rsid w:val="00343E5F"/>
    <w:rsid w:val="0034723A"/>
    <w:rsid w:val="003536A9"/>
    <w:rsid w:val="00353FA5"/>
    <w:rsid w:val="00364B3D"/>
    <w:rsid w:val="00366F9E"/>
    <w:rsid w:val="00371994"/>
    <w:rsid w:val="00386703"/>
    <w:rsid w:val="00392F2D"/>
    <w:rsid w:val="00397BBF"/>
    <w:rsid w:val="003A38DF"/>
    <w:rsid w:val="003A3CBA"/>
    <w:rsid w:val="003A7F4E"/>
    <w:rsid w:val="003B3FB2"/>
    <w:rsid w:val="003B4058"/>
    <w:rsid w:val="003B5125"/>
    <w:rsid w:val="003B685F"/>
    <w:rsid w:val="003C1BFB"/>
    <w:rsid w:val="003C66A7"/>
    <w:rsid w:val="003E2639"/>
    <w:rsid w:val="003E313F"/>
    <w:rsid w:val="003E42B3"/>
    <w:rsid w:val="003E595B"/>
    <w:rsid w:val="003F21FA"/>
    <w:rsid w:val="004020B5"/>
    <w:rsid w:val="00402855"/>
    <w:rsid w:val="0040461D"/>
    <w:rsid w:val="00413F8C"/>
    <w:rsid w:val="004143B5"/>
    <w:rsid w:val="0041476A"/>
    <w:rsid w:val="00416B18"/>
    <w:rsid w:val="004342FC"/>
    <w:rsid w:val="00434BAE"/>
    <w:rsid w:val="004443E0"/>
    <w:rsid w:val="00447EB0"/>
    <w:rsid w:val="0045192D"/>
    <w:rsid w:val="004531AE"/>
    <w:rsid w:val="0045381F"/>
    <w:rsid w:val="004668FB"/>
    <w:rsid w:val="004672B0"/>
    <w:rsid w:val="00471014"/>
    <w:rsid w:val="00472F4B"/>
    <w:rsid w:val="004832A3"/>
    <w:rsid w:val="00490644"/>
    <w:rsid w:val="00494D6F"/>
    <w:rsid w:val="00496C13"/>
    <w:rsid w:val="004A0753"/>
    <w:rsid w:val="004A2A2A"/>
    <w:rsid w:val="004A67B1"/>
    <w:rsid w:val="004A7071"/>
    <w:rsid w:val="004B3520"/>
    <w:rsid w:val="004B5A8B"/>
    <w:rsid w:val="004B7FDF"/>
    <w:rsid w:val="004D035B"/>
    <w:rsid w:val="004D0EF4"/>
    <w:rsid w:val="004D17AB"/>
    <w:rsid w:val="004D2D4A"/>
    <w:rsid w:val="004E2197"/>
    <w:rsid w:val="00500139"/>
    <w:rsid w:val="00502D44"/>
    <w:rsid w:val="005068DA"/>
    <w:rsid w:val="005144DB"/>
    <w:rsid w:val="00516FDE"/>
    <w:rsid w:val="00517AC8"/>
    <w:rsid w:val="00521447"/>
    <w:rsid w:val="00535221"/>
    <w:rsid w:val="00535F2E"/>
    <w:rsid w:val="005369C4"/>
    <w:rsid w:val="0053788F"/>
    <w:rsid w:val="00547B8C"/>
    <w:rsid w:val="0055150B"/>
    <w:rsid w:val="005537DF"/>
    <w:rsid w:val="00553C2B"/>
    <w:rsid w:val="005578B8"/>
    <w:rsid w:val="00563A5E"/>
    <w:rsid w:val="005641F8"/>
    <w:rsid w:val="0056440B"/>
    <w:rsid w:val="005644AD"/>
    <w:rsid w:val="00567591"/>
    <w:rsid w:val="0057084D"/>
    <w:rsid w:val="00581297"/>
    <w:rsid w:val="0059697F"/>
    <w:rsid w:val="00597398"/>
    <w:rsid w:val="005C4A41"/>
    <w:rsid w:val="005C61FD"/>
    <w:rsid w:val="005C7BF9"/>
    <w:rsid w:val="005D63A1"/>
    <w:rsid w:val="005D66A9"/>
    <w:rsid w:val="005E1513"/>
    <w:rsid w:val="005E24FD"/>
    <w:rsid w:val="005E3576"/>
    <w:rsid w:val="005E42B5"/>
    <w:rsid w:val="005F44D0"/>
    <w:rsid w:val="005F742A"/>
    <w:rsid w:val="00607B52"/>
    <w:rsid w:val="00616F5F"/>
    <w:rsid w:val="006248AA"/>
    <w:rsid w:val="00626448"/>
    <w:rsid w:val="00633B5B"/>
    <w:rsid w:val="0064039B"/>
    <w:rsid w:val="0064154F"/>
    <w:rsid w:val="00642830"/>
    <w:rsid w:val="00650EFE"/>
    <w:rsid w:val="00657EBE"/>
    <w:rsid w:val="00662044"/>
    <w:rsid w:val="00665A49"/>
    <w:rsid w:val="006703DC"/>
    <w:rsid w:val="00672F95"/>
    <w:rsid w:val="006741F8"/>
    <w:rsid w:val="00676E7A"/>
    <w:rsid w:val="00684BED"/>
    <w:rsid w:val="00687388"/>
    <w:rsid w:val="006948A9"/>
    <w:rsid w:val="006A162D"/>
    <w:rsid w:val="006A23E9"/>
    <w:rsid w:val="006A541B"/>
    <w:rsid w:val="006B09A9"/>
    <w:rsid w:val="006B385F"/>
    <w:rsid w:val="006B63BD"/>
    <w:rsid w:val="006B77D5"/>
    <w:rsid w:val="006C0FC8"/>
    <w:rsid w:val="006E18DA"/>
    <w:rsid w:val="006E5FDE"/>
    <w:rsid w:val="006F0626"/>
    <w:rsid w:val="006F4721"/>
    <w:rsid w:val="00702591"/>
    <w:rsid w:val="007053CE"/>
    <w:rsid w:val="00705598"/>
    <w:rsid w:val="00713D0C"/>
    <w:rsid w:val="007163C7"/>
    <w:rsid w:val="007253FF"/>
    <w:rsid w:val="00730325"/>
    <w:rsid w:val="00732368"/>
    <w:rsid w:val="00734AE6"/>
    <w:rsid w:val="0074030A"/>
    <w:rsid w:val="0074391B"/>
    <w:rsid w:val="00743D73"/>
    <w:rsid w:val="00746CFE"/>
    <w:rsid w:val="00763C0D"/>
    <w:rsid w:val="00766547"/>
    <w:rsid w:val="00767B61"/>
    <w:rsid w:val="0077702C"/>
    <w:rsid w:val="00777A64"/>
    <w:rsid w:val="0078025B"/>
    <w:rsid w:val="00782A8F"/>
    <w:rsid w:val="0078366F"/>
    <w:rsid w:val="007946CD"/>
    <w:rsid w:val="007A5C3D"/>
    <w:rsid w:val="007A7BFC"/>
    <w:rsid w:val="007B0FC8"/>
    <w:rsid w:val="007B55DE"/>
    <w:rsid w:val="007D47C3"/>
    <w:rsid w:val="007D6D09"/>
    <w:rsid w:val="007E2268"/>
    <w:rsid w:val="007E5DC1"/>
    <w:rsid w:val="007E632C"/>
    <w:rsid w:val="007E75C4"/>
    <w:rsid w:val="007F19F1"/>
    <w:rsid w:val="0080018F"/>
    <w:rsid w:val="008066ED"/>
    <w:rsid w:val="008203D6"/>
    <w:rsid w:val="00823B10"/>
    <w:rsid w:val="008408DF"/>
    <w:rsid w:val="00841EA3"/>
    <w:rsid w:val="0084248F"/>
    <w:rsid w:val="00851E46"/>
    <w:rsid w:val="00865308"/>
    <w:rsid w:val="008658C9"/>
    <w:rsid w:val="00870E31"/>
    <w:rsid w:val="00872DFE"/>
    <w:rsid w:val="00876D6D"/>
    <w:rsid w:val="00883D25"/>
    <w:rsid w:val="00897460"/>
    <w:rsid w:val="008A414A"/>
    <w:rsid w:val="008A4A0C"/>
    <w:rsid w:val="008A6911"/>
    <w:rsid w:val="008A6C6F"/>
    <w:rsid w:val="008B05CA"/>
    <w:rsid w:val="008B4780"/>
    <w:rsid w:val="008C4065"/>
    <w:rsid w:val="008D2FF3"/>
    <w:rsid w:val="008E0B33"/>
    <w:rsid w:val="008E5B7C"/>
    <w:rsid w:val="008F7EF0"/>
    <w:rsid w:val="00900273"/>
    <w:rsid w:val="00905A89"/>
    <w:rsid w:val="00906F7F"/>
    <w:rsid w:val="00917B0D"/>
    <w:rsid w:val="0092167A"/>
    <w:rsid w:val="0092454F"/>
    <w:rsid w:val="00944E94"/>
    <w:rsid w:val="00946E27"/>
    <w:rsid w:val="0095594F"/>
    <w:rsid w:val="00964F2D"/>
    <w:rsid w:val="00972AC8"/>
    <w:rsid w:val="00977FD3"/>
    <w:rsid w:val="0098160B"/>
    <w:rsid w:val="00982087"/>
    <w:rsid w:val="00982133"/>
    <w:rsid w:val="009829C4"/>
    <w:rsid w:val="00983744"/>
    <w:rsid w:val="00984F36"/>
    <w:rsid w:val="0098546D"/>
    <w:rsid w:val="0099151A"/>
    <w:rsid w:val="0099323C"/>
    <w:rsid w:val="009935A5"/>
    <w:rsid w:val="00994E36"/>
    <w:rsid w:val="009952D2"/>
    <w:rsid w:val="009A2213"/>
    <w:rsid w:val="009A2225"/>
    <w:rsid w:val="009B5515"/>
    <w:rsid w:val="009C18E1"/>
    <w:rsid w:val="009C4C61"/>
    <w:rsid w:val="009D22DA"/>
    <w:rsid w:val="009F1FD1"/>
    <w:rsid w:val="009F45A2"/>
    <w:rsid w:val="009F652A"/>
    <w:rsid w:val="00A03620"/>
    <w:rsid w:val="00A05E41"/>
    <w:rsid w:val="00A114A9"/>
    <w:rsid w:val="00A13DCB"/>
    <w:rsid w:val="00A20F7F"/>
    <w:rsid w:val="00A253CC"/>
    <w:rsid w:val="00A263BB"/>
    <w:rsid w:val="00A26BEB"/>
    <w:rsid w:val="00A2756D"/>
    <w:rsid w:val="00A3289A"/>
    <w:rsid w:val="00A3567C"/>
    <w:rsid w:val="00A3683F"/>
    <w:rsid w:val="00A40111"/>
    <w:rsid w:val="00A41730"/>
    <w:rsid w:val="00A42F29"/>
    <w:rsid w:val="00A435B9"/>
    <w:rsid w:val="00A45C38"/>
    <w:rsid w:val="00A51B3B"/>
    <w:rsid w:val="00A52E7F"/>
    <w:rsid w:val="00A55292"/>
    <w:rsid w:val="00A556FC"/>
    <w:rsid w:val="00A559D3"/>
    <w:rsid w:val="00A5698E"/>
    <w:rsid w:val="00A80C40"/>
    <w:rsid w:val="00A83BEC"/>
    <w:rsid w:val="00A8407C"/>
    <w:rsid w:val="00A921B8"/>
    <w:rsid w:val="00A97C88"/>
    <w:rsid w:val="00AA0FDF"/>
    <w:rsid w:val="00AB0CC5"/>
    <w:rsid w:val="00AB642B"/>
    <w:rsid w:val="00AC210F"/>
    <w:rsid w:val="00AC2996"/>
    <w:rsid w:val="00AC4691"/>
    <w:rsid w:val="00AC47DC"/>
    <w:rsid w:val="00AC69B8"/>
    <w:rsid w:val="00AD2CAA"/>
    <w:rsid w:val="00AD3C89"/>
    <w:rsid w:val="00AD42F5"/>
    <w:rsid w:val="00AD4440"/>
    <w:rsid w:val="00AD48E3"/>
    <w:rsid w:val="00AE25CA"/>
    <w:rsid w:val="00AE54F2"/>
    <w:rsid w:val="00AE76C3"/>
    <w:rsid w:val="00B053FB"/>
    <w:rsid w:val="00B057B3"/>
    <w:rsid w:val="00B07E34"/>
    <w:rsid w:val="00B11957"/>
    <w:rsid w:val="00B1211D"/>
    <w:rsid w:val="00B1264E"/>
    <w:rsid w:val="00B13B6A"/>
    <w:rsid w:val="00B14E96"/>
    <w:rsid w:val="00B15803"/>
    <w:rsid w:val="00B24F76"/>
    <w:rsid w:val="00B27B61"/>
    <w:rsid w:val="00B27F5A"/>
    <w:rsid w:val="00B3727A"/>
    <w:rsid w:val="00B43344"/>
    <w:rsid w:val="00B450EE"/>
    <w:rsid w:val="00B45464"/>
    <w:rsid w:val="00B46442"/>
    <w:rsid w:val="00B51015"/>
    <w:rsid w:val="00B81424"/>
    <w:rsid w:val="00B86BF4"/>
    <w:rsid w:val="00B9088E"/>
    <w:rsid w:val="00B9466A"/>
    <w:rsid w:val="00BA1B07"/>
    <w:rsid w:val="00BB17BE"/>
    <w:rsid w:val="00BB250F"/>
    <w:rsid w:val="00BB2CF1"/>
    <w:rsid w:val="00BB49B1"/>
    <w:rsid w:val="00BB632D"/>
    <w:rsid w:val="00BC09E4"/>
    <w:rsid w:val="00BC1065"/>
    <w:rsid w:val="00BC1D8D"/>
    <w:rsid w:val="00BC2A11"/>
    <w:rsid w:val="00BD423E"/>
    <w:rsid w:val="00BD447A"/>
    <w:rsid w:val="00BE5FFB"/>
    <w:rsid w:val="00BF5F57"/>
    <w:rsid w:val="00BF6427"/>
    <w:rsid w:val="00BF7446"/>
    <w:rsid w:val="00C00997"/>
    <w:rsid w:val="00C01FC3"/>
    <w:rsid w:val="00C02FB6"/>
    <w:rsid w:val="00C069A5"/>
    <w:rsid w:val="00C06D12"/>
    <w:rsid w:val="00C10555"/>
    <w:rsid w:val="00C13FD8"/>
    <w:rsid w:val="00C17F1D"/>
    <w:rsid w:val="00C2320A"/>
    <w:rsid w:val="00C246ED"/>
    <w:rsid w:val="00C252BA"/>
    <w:rsid w:val="00C50CE8"/>
    <w:rsid w:val="00C53AC0"/>
    <w:rsid w:val="00C55BC7"/>
    <w:rsid w:val="00C56C29"/>
    <w:rsid w:val="00C60F89"/>
    <w:rsid w:val="00C62877"/>
    <w:rsid w:val="00C628A0"/>
    <w:rsid w:val="00C63D18"/>
    <w:rsid w:val="00C75A44"/>
    <w:rsid w:val="00C94ED4"/>
    <w:rsid w:val="00CA1597"/>
    <w:rsid w:val="00CA3415"/>
    <w:rsid w:val="00CA7019"/>
    <w:rsid w:val="00CB048A"/>
    <w:rsid w:val="00CB2251"/>
    <w:rsid w:val="00CB428A"/>
    <w:rsid w:val="00CB4407"/>
    <w:rsid w:val="00CC0D55"/>
    <w:rsid w:val="00CC0DD3"/>
    <w:rsid w:val="00CC1F21"/>
    <w:rsid w:val="00CC5FC5"/>
    <w:rsid w:val="00CD3D9A"/>
    <w:rsid w:val="00CD551C"/>
    <w:rsid w:val="00CE07F8"/>
    <w:rsid w:val="00CE1DEC"/>
    <w:rsid w:val="00CE215D"/>
    <w:rsid w:val="00CE2395"/>
    <w:rsid w:val="00CE252B"/>
    <w:rsid w:val="00CE301C"/>
    <w:rsid w:val="00CE3601"/>
    <w:rsid w:val="00CE43CF"/>
    <w:rsid w:val="00CE6BCF"/>
    <w:rsid w:val="00CF656A"/>
    <w:rsid w:val="00D006D0"/>
    <w:rsid w:val="00D06174"/>
    <w:rsid w:val="00D13AC5"/>
    <w:rsid w:val="00D15C84"/>
    <w:rsid w:val="00D225DC"/>
    <w:rsid w:val="00D23426"/>
    <w:rsid w:val="00D2436C"/>
    <w:rsid w:val="00D26EA5"/>
    <w:rsid w:val="00D33C3A"/>
    <w:rsid w:val="00D46656"/>
    <w:rsid w:val="00D52795"/>
    <w:rsid w:val="00D606A2"/>
    <w:rsid w:val="00D60A0F"/>
    <w:rsid w:val="00D617EC"/>
    <w:rsid w:val="00D621B9"/>
    <w:rsid w:val="00D843F8"/>
    <w:rsid w:val="00D86361"/>
    <w:rsid w:val="00D90DC5"/>
    <w:rsid w:val="00D92E8D"/>
    <w:rsid w:val="00D9424F"/>
    <w:rsid w:val="00DA5BD1"/>
    <w:rsid w:val="00DA6341"/>
    <w:rsid w:val="00DB78B3"/>
    <w:rsid w:val="00DC6385"/>
    <w:rsid w:val="00DD08FC"/>
    <w:rsid w:val="00DD5DF8"/>
    <w:rsid w:val="00DD6BC4"/>
    <w:rsid w:val="00DF0334"/>
    <w:rsid w:val="00E13017"/>
    <w:rsid w:val="00E23135"/>
    <w:rsid w:val="00E30EAC"/>
    <w:rsid w:val="00E35E56"/>
    <w:rsid w:val="00E37B3A"/>
    <w:rsid w:val="00E44B1D"/>
    <w:rsid w:val="00E4505F"/>
    <w:rsid w:val="00E65153"/>
    <w:rsid w:val="00E722E9"/>
    <w:rsid w:val="00E86D4E"/>
    <w:rsid w:val="00E87C69"/>
    <w:rsid w:val="00E911F9"/>
    <w:rsid w:val="00EA0DA2"/>
    <w:rsid w:val="00EA1861"/>
    <w:rsid w:val="00EA4A5E"/>
    <w:rsid w:val="00EB19D2"/>
    <w:rsid w:val="00EB4FCA"/>
    <w:rsid w:val="00EB600B"/>
    <w:rsid w:val="00EB684A"/>
    <w:rsid w:val="00EB6FF9"/>
    <w:rsid w:val="00EC42EE"/>
    <w:rsid w:val="00EC7334"/>
    <w:rsid w:val="00ED0B30"/>
    <w:rsid w:val="00ED1481"/>
    <w:rsid w:val="00ED4372"/>
    <w:rsid w:val="00ED4B82"/>
    <w:rsid w:val="00EE1D27"/>
    <w:rsid w:val="00EE5B50"/>
    <w:rsid w:val="00EE7B8E"/>
    <w:rsid w:val="00EF47DB"/>
    <w:rsid w:val="00EF5813"/>
    <w:rsid w:val="00EF5B53"/>
    <w:rsid w:val="00F04CC8"/>
    <w:rsid w:val="00F05AFF"/>
    <w:rsid w:val="00F17AED"/>
    <w:rsid w:val="00F222A5"/>
    <w:rsid w:val="00F23030"/>
    <w:rsid w:val="00F308CB"/>
    <w:rsid w:val="00F357ED"/>
    <w:rsid w:val="00F362BC"/>
    <w:rsid w:val="00F36430"/>
    <w:rsid w:val="00F450F5"/>
    <w:rsid w:val="00F45A3A"/>
    <w:rsid w:val="00F5161A"/>
    <w:rsid w:val="00F535AE"/>
    <w:rsid w:val="00F57AF1"/>
    <w:rsid w:val="00F60A3F"/>
    <w:rsid w:val="00F62990"/>
    <w:rsid w:val="00F66950"/>
    <w:rsid w:val="00F76029"/>
    <w:rsid w:val="00F76D02"/>
    <w:rsid w:val="00F82AE8"/>
    <w:rsid w:val="00F82CEE"/>
    <w:rsid w:val="00F8664D"/>
    <w:rsid w:val="00F86FAD"/>
    <w:rsid w:val="00F9117A"/>
    <w:rsid w:val="00F956CC"/>
    <w:rsid w:val="00F96A5A"/>
    <w:rsid w:val="00FA5D36"/>
    <w:rsid w:val="00FC11EE"/>
    <w:rsid w:val="00FD44E7"/>
    <w:rsid w:val="00FD6D15"/>
    <w:rsid w:val="00FE3CEA"/>
    <w:rsid w:val="00FE5035"/>
    <w:rsid w:val="00FE6C6A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FD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8B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E5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391B"/>
  </w:style>
  <w:style w:type="character" w:customStyle="1" w:styleId="apple-style-span">
    <w:name w:val="apple-style-span"/>
    <w:basedOn w:val="DefaultParagraphFont"/>
    <w:rsid w:val="0074391B"/>
  </w:style>
  <w:style w:type="character" w:styleId="Hyperlink">
    <w:name w:val="Hyperlink"/>
    <w:rsid w:val="0074391B"/>
    <w:rPr>
      <w:color w:val="0000FF"/>
      <w:u w:val="single"/>
    </w:rPr>
  </w:style>
  <w:style w:type="character" w:customStyle="1" w:styleId="printanswer">
    <w:name w:val="printanswer"/>
    <w:basedOn w:val="DefaultParagraphFont"/>
    <w:rsid w:val="0074391B"/>
  </w:style>
  <w:style w:type="character" w:styleId="Strong">
    <w:name w:val="Strong"/>
    <w:uiPriority w:val="22"/>
    <w:qFormat/>
    <w:rsid w:val="0074391B"/>
    <w:rPr>
      <w:b/>
      <w:bCs/>
    </w:rPr>
  </w:style>
  <w:style w:type="character" w:styleId="Emphasis">
    <w:name w:val="Emphasis"/>
    <w:uiPriority w:val="20"/>
    <w:qFormat/>
    <w:rsid w:val="0074391B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74391B"/>
    <w:pPr>
      <w:spacing w:after="60" w:line="240" w:lineRule="auto"/>
      <w:outlineLvl w:val="1"/>
    </w:pPr>
    <w:rPr>
      <w:rFonts w:ascii="Times New Roman" w:eastAsia="Times New Roman" w:hAnsi="Times New Roman"/>
      <w:i/>
      <w:sz w:val="24"/>
      <w:szCs w:val="24"/>
    </w:rPr>
  </w:style>
  <w:style w:type="character" w:customStyle="1" w:styleId="SubtitleChar">
    <w:name w:val="Subtitle Char"/>
    <w:link w:val="Subtitle"/>
    <w:rsid w:val="0074391B"/>
    <w:rPr>
      <w:rFonts w:ascii="Times New Roman" w:eastAsia="Times New Roman" w:hAnsi="Times New Roman" w:cs="Times New Roman"/>
      <w:i/>
      <w:sz w:val="24"/>
      <w:szCs w:val="24"/>
    </w:rPr>
  </w:style>
  <w:style w:type="paragraph" w:styleId="FootnoteText">
    <w:name w:val="footnote text"/>
    <w:basedOn w:val="Normal"/>
    <w:link w:val="FootnoteTextChar"/>
    <w:rsid w:val="0074391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439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4391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4391B"/>
  </w:style>
  <w:style w:type="paragraph" w:styleId="Header">
    <w:name w:val="header"/>
    <w:basedOn w:val="Normal"/>
    <w:link w:val="HeaderChar"/>
    <w:uiPriority w:val="99"/>
    <w:semiHidden/>
    <w:unhideWhenUsed/>
    <w:rsid w:val="0074391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7439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91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74391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39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9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91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39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4391B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43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91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439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9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7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F7EF0"/>
    <w:rPr>
      <w:rFonts w:ascii="Courier New" w:eastAsia="Times New Roman" w:hAnsi="Courier New" w:cs="Courier New"/>
      <w:sz w:val="20"/>
      <w:szCs w:val="20"/>
    </w:rPr>
  </w:style>
  <w:style w:type="character" w:customStyle="1" w:styleId="nbapihighlight">
    <w:name w:val="nbapihighlight"/>
    <w:basedOn w:val="DefaultParagraphFont"/>
    <w:rsid w:val="00D23426"/>
  </w:style>
  <w:style w:type="character" w:customStyle="1" w:styleId="refpreview">
    <w:name w:val="refpreview"/>
    <w:basedOn w:val="DefaultParagraphFont"/>
    <w:rsid w:val="00D23426"/>
  </w:style>
  <w:style w:type="character" w:customStyle="1" w:styleId="pmid">
    <w:name w:val="pmid"/>
    <w:basedOn w:val="DefaultParagraphFont"/>
    <w:rsid w:val="00AE54F2"/>
  </w:style>
  <w:style w:type="character" w:customStyle="1" w:styleId="Heading1Char">
    <w:name w:val="Heading 1 Char"/>
    <w:link w:val="Heading1"/>
    <w:uiPriority w:val="9"/>
    <w:rsid w:val="003E5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A38DF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416B18"/>
    <w:pPr>
      <w:ind w:left="720"/>
      <w:contextualSpacing/>
    </w:pPr>
  </w:style>
  <w:style w:type="paragraph" w:customStyle="1" w:styleId="EndNoteBibliography">
    <w:name w:val="EndNote Bibliography"/>
    <w:basedOn w:val="Normal"/>
    <w:rsid w:val="007163C7"/>
    <w:pPr>
      <w:spacing w:after="0" w:line="240" w:lineRule="auto"/>
      <w:jc w:val="both"/>
    </w:pPr>
    <w:rPr>
      <w:rFonts w:ascii="Cambria" w:eastAsiaTheme="minorEastAsia" w:hAnsi="Cambria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63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8B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E5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391B"/>
  </w:style>
  <w:style w:type="character" w:customStyle="1" w:styleId="apple-style-span">
    <w:name w:val="apple-style-span"/>
    <w:basedOn w:val="DefaultParagraphFont"/>
    <w:rsid w:val="0074391B"/>
  </w:style>
  <w:style w:type="character" w:styleId="Hyperlink">
    <w:name w:val="Hyperlink"/>
    <w:rsid w:val="0074391B"/>
    <w:rPr>
      <w:color w:val="0000FF"/>
      <w:u w:val="single"/>
    </w:rPr>
  </w:style>
  <w:style w:type="character" w:customStyle="1" w:styleId="printanswer">
    <w:name w:val="printanswer"/>
    <w:basedOn w:val="DefaultParagraphFont"/>
    <w:rsid w:val="0074391B"/>
  </w:style>
  <w:style w:type="character" w:styleId="Strong">
    <w:name w:val="Strong"/>
    <w:uiPriority w:val="22"/>
    <w:qFormat/>
    <w:rsid w:val="0074391B"/>
    <w:rPr>
      <w:b/>
      <w:bCs/>
    </w:rPr>
  </w:style>
  <w:style w:type="character" w:styleId="Emphasis">
    <w:name w:val="Emphasis"/>
    <w:uiPriority w:val="20"/>
    <w:qFormat/>
    <w:rsid w:val="0074391B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74391B"/>
    <w:pPr>
      <w:spacing w:after="60" w:line="240" w:lineRule="auto"/>
      <w:outlineLvl w:val="1"/>
    </w:pPr>
    <w:rPr>
      <w:rFonts w:ascii="Times New Roman" w:eastAsia="Times New Roman" w:hAnsi="Times New Roman"/>
      <w:i/>
      <w:sz w:val="24"/>
      <w:szCs w:val="24"/>
    </w:rPr>
  </w:style>
  <w:style w:type="character" w:customStyle="1" w:styleId="SubtitleChar">
    <w:name w:val="Subtitle Char"/>
    <w:link w:val="Subtitle"/>
    <w:rsid w:val="0074391B"/>
    <w:rPr>
      <w:rFonts w:ascii="Times New Roman" w:eastAsia="Times New Roman" w:hAnsi="Times New Roman" w:cs="Times New Roman"/>
      <w:i/>
      <w:sz w:val="24"/>
      <w:szCs w:val="24"/>
    </w:rPr>
  </w:style>
  <w:style w:type="paragraph" w:styleId="FootnoteText">
    <w:name w:val="footnote text"/>
    <w:basedOn w:val="Normal"/>
    <w:link w:val="FootnoteTextChar"/>
    <w:rsid w:val="0074391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439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4391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4391B"/>
  </w:style>
  <w:style w:type="paragraph" w:styleId="Header">
    <w:name w:val="header"/>
    <w:basedOn w:val="Normal"/>
    <w:link w:val="HeaderChar"/>
    <w:uiPriority w:val="99"/>
    <w:semiHidden/>
    <w:unhideWhenUsed/>
    <w:rsid w:val="0074391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7439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91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74391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39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9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91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39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4391B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43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91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439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9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7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F7EF0"/>
    <w:rPr>
      <w:rFonts w:ascii="Courier New" w:eastAsia="Times New Roman" w:hAnsi="Courier New" w:cs="Courier New"/>
      <w:sz w:val="20"/>
      <w:szCs w:val="20"/>
    </w:rPr>
  </w:style>
  <w:style w:type="character" w:customStyle="1" w:styleId="nbapihighlight">
    <w:name w:val="nbapihighlight"/>
    <w:basedOn w:val="DefaultParagraphFont"/>
    <w:rsid w:val="00D23426"/>
  </w:style>
  <w:style w:type="character" w:customStyle="1" w:styleId="refpreview">
    <w:name w:val="refpreview"/>
    <w:basedOn w:val="DefaultParagraphFont"/>
    <w:rsid w:val="00D23426"/>
  </w:style>
  <w:style w:type="character" w:customStyle="1" w:styleId="pmid">
    <w:name w:val="pmid"/>
    <w:basedOn w:val="DefaultParagraphFont"/>
    <w:rsid w:val="00AE54F2"/>
  </w:style>
  <w:style w:type="character" w:customStyle="1" w:styleId="Heading1Char">
    <w:name w:val="Heading 1 Char"/>
    <w:link w:val="Heading1"/>
    <w:uiPriority w:val="9"/>
    <w:rsid w:val="003E5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A38DF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416B18"/>
    <w:pPr>
      <w:ind w:left="720"/>
      <w:contextualSpacing/>
    </w:pPr>
  </w:style>
  <w:style w:type="paragraph" w:customStyle="1" w:styleId="EndNoteBibliography">
    <w:name w:val="EndNote Bibliography"/>
    <w:basedOn w:val="Normal"/>
    <w:rsid w:val="007163C7"/>
    <w:pPr>
      <w:spacing w:after="0" w:line="240" w:lineRule="auto"/>
      <w:jc w:val="both"/>
    </w:pPr>
    <w:rPr>
      <w:rFonts w:ascii="Cambria" w:eastAsiaTheme="minorEastAsia" w:hAnsi="Cambria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6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image" Target="media/image2.png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asel.int/Portals/4/Basel%20Convention/docs/eWaste/E-wasteAssessmentGhana.pdf" TargetMode="External"/><Relationship Id="rId10" Type="http://schemas.openxmlformats.org/officeDocument/2006/relationships/hyperlink" Target="http://www.atsdr.cdc.gov/toxprofiles/TP.asp?id=22&amp;t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D500-DECE-4A42-B9B9-2B9AF722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6922</Words>
  <Characters>39459</Characters>
  <Application>Microsoft Macintosh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Niladri Basu</dc:creator>
  <cp:keywords/>
  <cp:lastModifiedBy>Nil Basu</cp:lastModifiedBy>
  <cp:revision>45</cp:revision>
  <cp:lastPrinted>2016-06-08T19:26:00Z</cp:lastPrinted>
  <dcterms:created xsi:type="dcterms:W3CDTF">2016-05-05T00:35:00Z</dcterms:created>
  <dcterms:modified xsi:type="dcterms:W3CDTF">2016-08-01T18:45:00Z</dcterms:modified>
</cp:coreProperties>
</file>