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E0B04" w14:textId="0E91EE76" w:rsidR="004A50F7" w:rsidRPr="00397529" w:rsidRDefault="00A641DF" w:rsidP="006A1CF6">
      <w:pPr>
        <w:pStyle w:val="Heading1"/>
        <w:spacing w:before="0"/>
        <w:jc w:val="both"/>
        <w:rPr>
          <w:rFonts w:ascii="Calibri" w:hAnsi="Calibri"/>
          <w:color w:val="auto"/>
          <w:sz w:val="24"/>
          <w:szCs w:val="24"/>
          <w:lang w:val="en-GB"/>
        </w:rPr>
      </w:pPr>
      <w:r w:rsidRPr="00397529">
        <w:rPr>
          <w:rFonts w:ascii="Calibri" w:hAnsi="Calibri"/>
          <w:color w:val="auto"/>
          <w:sz w:val="24"/>
          <w:szCs w:val="24"/>
          <w:lang w:val="en-GB"/>
        </w:rPr>
        <w:t>Sample size guide</w:t>
      </w:r>
    </w:p>
    <w:p w14:paraId="1939F9DC" w14:textId="77777777" w:rsidR="009C4A79" w:rsidRPr="00397529" w:rsidRDefault="009C4A79" w:rsidP="006A1CF6">
      <w:pPr>
        <w:jc w:val="both"/>
        <w:rPr>
          <w:rFonts w:ascii="Calibri" w:hAnsi="Calibri"/>
          <w:lang w:val="en-GB"/>
        </w:rPr>
      </w:pPr>
    </w:p>
    <w:p w14:paraId="580C6532" w14:textId="7C303A8E" w:rsidR="009C4A79" w:rsidRPr="00397529" w:rsidRDefault="00623927" w:rsidP="00BF020C">
      <w:pPr>
        <w:jc w:val="both"/>
        <w:rPr>
          <w:rFonts w:ascii="Calibri" w:hAnsi="Calibri"/>
          <w:lang w:val="en-GB"/>
        </w:rPr>
      </w:pPr>
      <w:r w:rsidRPr="00397529">
        <w:rPr>
          <w:rFonts w:ascii="Calibri" w:hAnsi="Calibri"/>
          <w:lang w:val="en-GB"/>
        </w:rPr>
        <w:t>To determine what constitutes a “sufficient” sample size</w:t>
      </w:r>
      <w:r w:rsidR="00316DC7" w:rsidRPr="00397529">
        <w:rPr>
          <w:rFonts w:ascii="Calibri" w:hAnsi="Calibri"/>
          <w:lang w:val="en-GB"/>
        </w:rPr>
        <w:t xml:space="preserve"> for </w:t>
      </w:r>
      <w:r w:rsidR="008F2EA8" w:rsidRPr="00397529">
        <w:rPr>
          <w:rFonts w:ascii="Calibri" w:hAnsi="Calibri"/>
          <w:lang w:val="en-GB"/>
        </w:rPr>
        <w:t>the proposed</w:t>
      </w:r>
      <w:r w:rsidR="00316DC7" w:rsidRPr="00397529">
        <w:rPr>
          <w:rFonts w:ascii="Calibri" w:hAnsi="Calibri"/>
          <w:lang w:val="en-GB"/>
        </w:rPr>
        <w:t xml:space="preserve"> pilot</w:t>
      </w:r>
      <w:r w:rsidRPr="00397529">
        <w:rPr>
          <w:rFonts w:ascii="Calibri" w:hAnsi="Calibri"/>
          <w:lang w:val="en-GB"/>
        </w:rPr>
        <w:t>, a number of considerat</w:t>
      </w:r>
      <w:r w:rsidR="00316DC7" w:rsidRPr="00397529">
        <w:rPr>
          <w:rFonts w:ascii="Calibri" w:hAnsi="Calibri"/>
          <w:lang w:val="en-GB"/>
        </w:rPr>
        <w:t xml:space="preserve">ions must be taken into account. </w:t>
      </w:r>
    </w:p>
    <w:p w14:paraId="24F323D6" w14:textId="21B4ACF4" w:rsidR="00343FCC" w:rsidRPr="00397529" w:rsidRDefault="00343FCC" w:rsidP="00D552D6">
      <w:pPr>
        <w:pStyle w:val="Heading2"/>
        <w:jc w:val="both"/>
        <w:rPr>
          <w:rFonts w:ascii="Calibri" w:hAnsi="Calibri"/>
          <w:b w:val="0"/>
          <w:color w:val="auto"/>
          <w:sz w:val="24"/>
          <w:szCs w:val="24"/>
          <w:u w:val="single"/>
          <w:lang w:val="en-GB"/>
        </w:rPr>
      </w:pPr>
      <w:r w:rsidRPr="00397529">
        <w:rPr>
          <w:rFonts w:ascii="Calibri" w:hAnsi="Calibri"/>
          <w:b w:val="0"/>
          <w:color w:val="auto"/>
          <w:sz w:val="24"/>
          <w:szCs w:val="24"/>
          <w:u w:val="single"/>
          <w:lang w:val="en-GB"/>
        </w:rPr>
        <w:t xml:space="preserve">For settings where </w:t>
      </w:r>
      <w:r w:rsidR="00821FBA" w:rsidRPr="00397529">
        <w:rPr>
          <w:rFonts w:ascii="Calibri" w:hAnsi="Calibri"/>
          <w:b w:val="0"/>
          <w:color w:val="auto"/>
          <w:sz w:val="24"/>
          <w:szCs w:val="24"/>
          <w:u w:val="single"/>
          <w:lang w:val="en-GB"/>
        </w:rPr>
        <w:t xml:space="preserve">the </w:t>
      </w:r>
      <w:r w:rsidR="005E0129" w:rsidRPr="00397529">
        <w:rPr>
          <w:rFonts w:ascii="Calibri" w:hAnsi="Calibri"/>
          <w:b w:val="0"/>
          <w:color w:val="auto"/>
          <w:sz w:val="24"/>
          <w:szCs w:val="24"/>
          <w:u w:val="single"/>
          <w:lang w:val="en-GB"/>
        </w:rPr>
        <w:t>patient</w:t>
      </w:r>
      <w:r w:rsidR="00F93DB0" w:rsidRPr="00397529">
        <w:rPr>
          <w:rFonts w:ascii="Calibri" w:hAnsi="Calibri"/>
          <w:b w:val="0"/>
          <w:color w:val="auto"/>
          <w:sz w:val="24"/>
          <w:szCs w:val="24"/>
          <w:u w:val="single"/>
          <w:lang w:val="en-GB"/>
        </w:rPr>
        <w:t>’</w:t>
      </w:r>
      <w:r w:rsidR="005E0129" w:rsidRPr="00397529">
        <w:rPr>
          <w:rFonts w:ascii="Calibri" w:hAnsi="Calibri"/>
          <w:b w:val="0"/>
          <w:color w:val="auto"/>
          <w:sz w:val="24"/>
          <w:szCs w:val="24"/>
          <w:u w:val="single"/>
          <w:lang w:val="en-GB"/>
        </w:rPr>
        <w:t xml:space="preserve">s G6PD status is known prior to treatment with </w:t>
      </w:r>
      <w:r w:rsidR="0033203A" w:rsidRPr="00397529">
        <w:rPr>
          <w:rFonts w:ascii="Calibri" w:hAnsi="Calibri"/>
          <w:b w:val="0"/>
          <w:color w:val="auto"/>
          <w:sz w:val="24"/>
          <w:szCs w:val="24"/>
          <w:u w:val="single"/>
          <w:lang w:val="en-GB"/>
        </w:rPr>
        <w:t>p</w:t>
      </w:r>
      <w:r w:rsidR="005E0129" w:rsidRPr="00397529">
        <w:rPr>
          <w:rFonts w:ascii="Calibri" w:hAnsi="Calibri"/>
          <w:b w:val="0"/>
          <w:color w:val="auto"/>
          <w:sz w:val="24"/>
          <w:szCs w:val="24"/>
          <w:u w:val="single"/>
          <w:lang w:val="en-GB"/>
        </w:rPr>
        <w:t>rimaquine</w:t>
      </w:r>
      <w:r w:rsidR="003468F9" w:rsidRPr="00397529">
        <w:rPr>
          <w:rFonts w:ascii="Calibri" w:hAnsi="Calibri"/>
          <w:b w:val="0"/>
          <w:color w:val="auto"/>
          <w:sz w:val="24"/>
          <w:szCs w:val="24"/>
          <w:u w:val="single"/>
          <w:lang w:val="en-GB"/>
        </w:rPr>
        <w:t>:</w:t>
      </w:r>
    </w:p>
    <w:p w14:paraId="1EB28B35" w14:textId="77777777" w:rsidR="003468F9" w:rsidRPr="00397529" w:rsidRDefault="003468F9" w:rsidP="00CB0A62">
      <w:pPr>
        <w:jc w:val="both"/>
        <w:rPr>
          <w:rFonts w:ascii="Calibri" w:hAnsi="Calibri"/>
          <w:lang w:val="en-GB"/>
        </w:rPr>
      </w:pPr>
    </w:p>
    <w:p w14:paraId="42932827" w14:textId="27FBDB7C" w:rsidR="00343FCC" w:rsidRPr="00397529" w:rsidRDefault="003468F9" w:rsidP="00CB0A62">
      <w:pPr>
        <w:jc w:val="both"/>
        <w:rPr>
          <w:rFonts w:ascii="Calibri" w:hAnsi="Calibri" w:cs="Arial"/>
          <w:b/>
          <w:lang w:val="en-GB"/>
        </w:rPr>
      </w:pPr>
      <w:r w:rsidRPr="00397529">
        <w:rPr>
          <w:rFonts w:ascii="Calibri" w:hAnsi="Calibri" w:cs="Arial"/>
          <w:b/>
          <w:lang w:val="en-GB"/>
        </w:rPr>
        <w:t xml:space="preserve">Table </w:t>
      </w:r>
      <w:r w:rsidR="00940395" w:rsidRPr="00397529">
        <w:rPr>
          <w:rFonts w:ascii="Calibri" w:hAnsi="Calibri" w:cs="Arial"/>
          <w:b/>
          <w:lang w:val="en-GB"/>
        </w:rPr>
        <w:t>S</w:t>
      </w:r>
      <w:r w:rsidRPr="00397529">
        <w:rPr>
          <w:rFonts w:ascii="Calibri" w:hAnsi="Calibri" w:cs="Arial"/>
          <w:b/>
          <w:lang w:val="en-GB"/>
        </w:rPr>
        <w:t xml:space="preserve">1. </w:t>
      </w:r>
      <w:r w:rsidR="006F35F7" w:rsidRPr="00397529">
        <w:rPr>
          <w:rFonts w:ascii="Calibri" w:hAnsi="Calibri" w:cs="Arial"/>
          <w:lang w:val="en-GB"/>
        </w:rPr>
        <w:t>Number</w:t>
      </w:r>
      <w:r w:rsidRPr="00397529">
        <w:rPr>
          <w:rFonts w:ascii="Calibri" w:hAnsi="Calibri" w:cs="Arial"/>
          <w:lang w:val="en-GB"/>
        </w:rPr>
        <w:t xml:space="preserve"> of persons needed to treat to have sufficient power to detect a given </w:t>
      </w:r>
      <w:r w:rsidR="00F9044D" w:rsidRPr="00397529">
        <w:rPr>
          <w:rFonts w:ascii="Calibri" w:hAnsi="Calibri" w:cs="Arial"/>
          <w:lang w:val="en-GB"/>
        </w:rPr>
        <w:t xml:space="preserve">within-person </w:t>
      </w:r>
      <w:proofErr w:type="spellStart"/>
      <w:r w:rsidRPr="00397529">
        <w:rPr>
          <w:rFonts w:ascii="Calibri" w:hAnsi="Calibri" w:cs="Arial"/>
          <w:lang w:val="en-GB"/>
        </w:rPr>
        <w:t>percent</w:t>
      </w:r>
      <w:proofErr w:type="spellEnd"/>
      <w:r w:rsidRPr="00397529">
        <w:rPr>
          <w:rFonts w:ascii="Calibri" w:hAnsi="Calibri" w:cs="Arial"/>
          <w:lang w:val="en-GB"/>
        </w:rPr>
        <w:t xml:space="preserve"> reduction in </w:t>
      </w:r>
      <w:r w:rsidR="00397529" w:rsidRPr="00397529">
        <w:rPr>
          <w:rFonts w:ascii="Calibri" w:hAnsi="Calibri" w:cs="Arial"/>
          <w:lang w:val="en-GB"/>
        </w:rPr>
        <w:t>haemoglobin</w:t>
      </w:r>
    </w:p>
    <w:p w14:paraId="5CA509A8" w14:textId="77777777" w:rsidR="00631575" w:rsidRPr="00397529" w:rsidRDefault="00631575" w:rsidP="00CB0A62">
      <w:pPr>
        <w:jc w:val="both"/>
        <w:rPr>
          <w:rFonts w:ascii="Calibri" w:hAnsi="Calibri" w:cs="Arial"/>
          <w:b/>
          <w:lang w:val="en-GB"/>
        </w:rPr>
      </w:pPr>
    </w:p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4968"/>
        <w:gridCol w:w="4140"/>
      </w:tblGrid>
      <w:tr w:rsidR="006F69FA" w:rsidRPr="00397529" w14:paraId="10AE8238" w14:textId="77777777" w:rsidTr="006F6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68" w:type="dxa"/>
            <w:tcBorders>
              <w:right w:val="single" w:sz="4" w:space="0" w:color="auto"/>
            </w:tcBorders>
          </w:tcPr>
          <w:p w14:paraId="227826FA" w14:textId="40C10803" w:rsidR="00343FCC" w:rsidRPr="00397529" w:rsidRDefault="00821FBA" w:rsidP="006F69FA">
            <w:pPr>
              <w:tabs>
                <w:tab w:val="left" w:pos="5742"/>
              </w:tabs>
              <w:ind w:right="-18"/>
              <w:jc w:val="both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 xml:space="preserve">Minimum </w:t>
            </w:r>
            <w:proofErr w:type="spellStart"/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p</w:t>
            </w:r>
            <w:r w:rsidR="00343FCC" w:rsidRPr="00397529">
              <w:rPr>
                <w:rFonts w:ascii="Calibri" w:hAnsi="Calibri"/>
                <w:sz w:val="20"/>
                <w:szCs w:val="20"/>
                <w:lang w:val="en-GB"/>
              </w:rPr>
              <w:t>ercent</w:t>
            </w:r>
            <w:proofErr w:type="spellEnd"/>
            <w:r w:rsidR="00343FCC" w:rsidRPr="00397529">
              <w:rPr>
                <w:rFonts w:ascii="Calibri" w:hAnsi="Calibri"/>
                <w:sz w:val="20"/>
                <w:szCs w:val="20"/>
                <w:lang w:val="en-GB"/>
              </w:rPr>
              <w:t xml:space="preserve"> reduction in </w:t>
            </w:r>
            <w:r w:rsidR="00397529" w:rsidRPr="00397529">
              <w:rPr>
                <w:rFonts w:ascii="Calibri" w:hAnsi="Calibri"/>
                <w:sz w:val="20"/>
                <w:szCs w:val="20"/>
                <w:lang w:val="en-GB"/>
              </w:rPr>
              <w:t>haemoglobin</w:t>
            </w: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 xml:space="preserve"> that you want to be able to detect after </w:t>
            </w:r>
            <w:r w:rsidR="00343FCC" w:rsidRPr="00397529">
              <w:rPr>
                <w:rFonts w:ascii="Calibri" w:hAnsi="Calibri"/>
                <w:sz w:val="20"/>
                <w:szCs w:val="20"/>
                <w:lang w:val="en-GB"/>
              </w:rPr>
              <w:t xml:space="preserve">treatment with </w:t>
            </w:r>
            <w:r w:rsidR="00BF020C" w:rsidRPr="00397529">
              <w:rPr>
                <w:rFonts w:ascii="Calibri" w:hAnsi="Calibri"/>
                <w:sz w:val="20"/>
                <w:szCs w:val="20"/>
                <w:lang w:val="en-GB"/>
              </w:rPr>
              <w:t>primaquine</w:t>
            </w:r>
            <w:r w:rsidR="00343FCC" w:rsidRPr="00397529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14:paraId="767C113F" w14:textId="3F588C42" w:rsidR="00343FCC" w:rsidRPr="00397529" w:rsidRDefault="00343FCC" w:rsidP="00CB0A6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Nu</w:t>
            </w:r>
            <w:r w:rsidR="006F69FA" w:rsidRPr="00397529">
              <w:rPr>
                <w:rFonts w:ascii="Calibri" w:hAnsi="Calibri"/>
                <w:sz w:val="20"/>
                <w:szCs w:val="20"/>
                <w:lang w:val="en-GB"/>
              </w:rPr>
              <w:t>mber of G6PD-</w:t>
            </w: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deficient persons needed</w:t>
            </w:r>
            <w:r w:rsidR="00F9044D" w:rsidRPr="00397529">
              <w:rPr>
                <w:rFonts w:ascii="Calibri" w:hAnsi="Calibri"/>
                <w:sz w:val="20"/>
                <w:szCs w:val="20"/>
                <w:lang w:val="en-GB"/>
              </w:rPr>
              <w:t xml:space="preserve"> to treat</w:t>
            </w:r>
          </w:p>
        </w:tc>
      </w:tr>
      <w:tr w:rsidR="006F69FA" w:rsidRPr="00397529" w14:paraId="196F2883" w14:textId="77777777" w:rsidTr="006F6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left w:val="single" w:sz="4" w:space="0" w:color="auto"/>
            </w:tcBorders>
          </w:tcPr>
          <w:p w14:paraId="11C65A37" w14:textId="77777777" w:rsidR="00343FCC" w:rsidRPr="00397529" w:rsidRDefault="00343FCC" w:rsidP="00CB0A62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15%</w:t>
            </w:r>
          </w:p>
        </w:tc>
        <w:tc>
          <w:tcPr>
            <w:tcW w:w="4140" w:type="dxa"/>
          </w:tcPr>
          <w:p w14:paraId="017FA87B" w14:textId="77777777" w:rsidR="00343FCC" w:rsidRPr="00397529" w:rsidRDefault="00343FCC" w:rsidP="00CB0A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11</w:t>
            </w:r>
          </w:p>
        </w:tc>
      </w:tr>
      <w:tr w:rsidR="006F69FA" w:rsidRPr="00397529" w14:paraId="133E6E21" w14:textId="77777777" w:rsidTr="006F6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left w:val="single" w:sz="4" w:space="0" w:color="auto"/>
            </w:tcBorders>
          </w:tcPr>
          <w:p w14:paraId="5871FB69" w14:textId="77777777" w:rsidR="00343FCC" w:rsidRPr="00397529" w:rsidRDefault="00343FCC" w:rsidP="00CB0A62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20%</w:t>
            </w:r>
          </w:p>
        </w:tc>
        <w:tc>
          <w:tcPr>
            <w:tcW w:w="4140" w:type="dxa"/>
          </w:tcPr>
          <w:p w14:paraId="27C6DDF9" w14:textId="77777777" w:rsidR="00343FCC" w:rsidRPr="00397529" w:rsidRDefault="00343FCC" w:rsidP="00CB0A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7</w:t>
            </w:r>
          </w:p>
        </w:tc>
      </w:tr>
      <w:tr w:rsidR="006F69FA" w:rsidRPr="00397529" w14:paraId="348B3E18" w14:textId="77777777" w:rsidTr="006F6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left w:val="single" w:sz="4" w:space="0" w:color="auto"/>
            </w:tcBorders>
          </w:tcPr>
          <w:p w14:paraId="5D13A534" w14:textId="77777777" w:rsidR="00343FCC" w:rsidRPr="00397529" w:rsidRDefault="00343FCC" w:rsidP="00CB0A62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25%</w:t>
            </w:r>
          </w:p>
        </w:tc>
        <w:tc>
          <w:tcPr>
            <w:tcW w:w="4140" w:type="dxa"/>
          </w:tcPr>
          <w:p w14:paraId="55B5A517" w14:textId="77777777" w:rsidR="00343FCC" w:rsidRPr="00397529" w:rsidRDefault="00343FCC" w:rsidP="00CB0A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5</w:t>
            </w:r>
          </w:p>
        </w:tc>
      </w:tr>
      <w:tr w:rsidR="006F69FA" w:rsidRPr="00397529" w14:paraId="147E4003" w14:textId="77777777" w:rsidTr="006F6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left w:val="single" w:sz="4" w:space="0" w:color="auto"/>
              <w:bottom w:val="single" w:sz="4" w:space="0" w:color="auto"/>
            </w:tcBorders>
          </w:tcPr>
          <w:p w14:paraId="5CD9F748" w14:textId="77777777" w:rsidR="00343FCC" w:rsidRPr="00397529" w:rsidRDefault="00343FCC" w:rsidP="00CB0A62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50%</w:t>
            </w:r>
          </w:p>
        </w:tc>
        <w:tc>
          <w:tcPr>
            <w:tcW w:w="4140" w:type="dxa"/>
          </w:tcPr>
          <w:p w14:paraId="30F079D2" w14:textId="77777777" w:rsidR="00343FCC" w:rsidRPr="00397529" w:rsidRDefault="00343FCC" w:rsidP="00CB0A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3</w:t>
            </w:r>
          </w:p>
        </w:tc>
      </w:tr>
    </w:tbl>
    <w:p w14:paraId="4A6A7AF2" w14:textId="719EE0EA" w:rsidR="00343FCC" w:rsidRPr="00397529" w:rsidRDefault="00A641DF" w:rsidP="00BF020C">
      <w:pPr>
        <w:ind w:right="360"/>
        <w:jc w:val="both"/>
        <w:rPr>
          <w:rFonts w:ascii="Calibri" w:hAnsi="Calibri" w:cs="Arial"/>
          <w:sz w:val="16"/>
          <w:szCs w:val="16"/>
          <w:lang w:val="en-GB"/>
        </w:rPr>
      </w:pPr>
      <w:r w:rsidRPr="00397529">
        <w:rPr>
          <w:rFonts w:ascii="Calibri" w:hAnsi="Calibri" w:cs="Arial"/>
          <w:sz w:val="16"/>
          <w:szCs w:val="16"/>
          <w:lang w:val="en-GB"/>
        </w:rPr>
        <w:t>Detects a within-</w:t>
      </w:r>
      <w:r w:rsidR="003468F9" w:rsidRPr="00397529">
        <w:rPr>
          <w:rFonts w:ascii="Calibri" w:hAnsi="Calibri" w:cs="Arial"/>
          <w:sz w:val="16"/>
          <w:szCs w:val="16"/>
          <w:lang w:val="en-GB"/>
        </w:rPr>
        <w:t xml:space="preserve">person change in </w:t>
      </w:r>
      <w:r w:rsidR="00397529" w:rsidRPr="00397529">
        <w:rPr>
          <w:rFonts w:ascii="Calibri" w:hAnsi="Calibri" w:cs="Arial"/>
          <w:sz w:val="16"/>
          <w:szCs w:val="16"/>
          <w:lang w:val="en-GB"/>
        </w:rPr>
        <w:t>haemoglobin</w:t>
      </w:r>
      <w:r w:rsidR="003468F9" w:rsidRPr="00397529">
        <w:rPr>
          <w:rFonts w:ascii="Calibri" w:hAnsi="Calibri" w:cs="Arial"/>
          <w:sz w:val="16"/>
          <w:szCs w:val="16"/>
          <w:lang w:val="en-GB"/>
        </w:rPr>
        <w:t xml:space="preserve"> between Days 0 and 7 with 80% power, and a significance level of 0.05 (one-sided), assumes mean of 10 g/dL</w:t>
      </w:r>
      <w:r w:rsidR="00E27D42" w:rsidRPr="00397529">
        <w:rPr>
          <w:rFonts w:ascii="Calibri" w:hAnsi="Calibri" w:cs="Arial"/>
          <w:sz w:val="16"/>
          <w:szCs w:val="16"/>
          <w:lang w:val="en-GB"/>
        </w:rPr>
        <w:t xml:space="preserve"> before treatment</w:t>
      </w:r>
      <w:r w:rsidR="003468F9" w:rsidRPr="00397529">
        <w:rPr>
          <w:rFonts w:ascii="Calibri" w:hAnsi="Calibri" w:cs="Arial"/>
          <w:sz w:val="16"/>
          <w:szCs w:val="16"/>
          <w:lang w:val="en-GB"/>
        </w:rPr>
        <w:t xml:space="preserve">, a standard deviation of </w:t>
      </w:r>
      <w:r w:rsidRPr="00397529">
        <w:rPr>
          <w:rFonts w:ascii="Calibri" w:hAnsi="Calibri" w:cs="Arial"/>
          <w:sz w:val="16"/>
          <w:szCs w:val="16"/>
          <w:lang w:val="en-GB"/>
        </w:rPr>
        <w:t>the within-</w:t>
      </w:r>
      <w:r w:rsidR="00473F4F" w:rsidRPr="00397529">
        <w:rPr>
          <w:rFonts w:ascii="Calibri" w:hAnsi="Calibri" w:cs="Arial"/>
          <w:sz w:val="16"/>
          <w:szCs w:val="16"/>
          <w:lang w:val="en-GB"/>
        </w:rPr>
        <w:t xml:space="preserve">person change in </w:t>
      </w:r>
      <w:r w:rsidR="00397529" w:rsidRPr="00397529">
        <w:rPr>
          <w:rFonts w:ascii="Calibri" w:hAnsi="Calibri" w:cs="Arial"/>
          <w:sz w:val="16"/>
          <w:szCs w:val="16"/>
          <w:lang w:val="en-GB"/>
        </w:rPr>
        <w:t>haemoglobin</w:t>
      </w:r>
      <w:r w:rsidR="00473F4F" w:rsidRPr="00397529">
        <w:rPr>
          <w:rFonts w:ascii="Calibri" w:hAnsi="Calibri" w:cs="Arial"/>
          <w:sz w:val="16"/>
          <w:szCs w:val="16"/>
          <w:lang w:val="en-GB"/>
        </w:rPr>
        <w:t xml:space="preserve"> of </w:t>
      </w:r>
      <w:r w:rsidR="003468F9" w:rsidRPr="00397529">
        <w:rPr>
          <w:rFonts w:ascii="Calibri" w:hAnsi="Calibri" w:cs="Arial"/>
          <w:sz w:val="16"/>
          <w:szCs w:val="16"/>
          <w:lang w:val="en-GB"/>
        </w:rPr>
        <w:t>2</w:t>
      </w:r>
      <w:r w:rsidR="008F2EA8" w:rsidRPr="00397529">
        <w:rPr>
          <w:rFonts w:ascii="Calibri" w:hAnsi="Calibri" w:cs="Arial"/>
          <w:sz w:val="16"/>
          <w:szCs w:val="16"/>
          <w:lang w:val="en-GB"/>
        </w:rPr>
        <w:t xml:space="preserve"> g/dL</w:t>
      </w:r>
      <w:r w:rsidR="003468F9" w:rsidRPr="00397529">
        <w:rPr>
          <w:rFonts w:ascii="Calibri" w:hAnsi="Calibri" w:cs="Arial"/>
          <w:sz w:val="16"/>
          <w:szCs w:val="16"/>
          <w:lang w:val="en-GB"/>
        </w:rPr>
        <w:t>, and no loss to follow-up</w:t>
      </w:r>
    </w:p>
    <w:p w14:paraId="71FB772B" w14:textId="77777777" w:rsidR="009C4A79" w:rsidRPr="00397529" w:rsidRDefault="009C4A79" w:rsidP="00CB0A62">
      <w:pPr>
        <w:jc w:val="both"/>
        <w:rPr>
          <w:rFonts w:ascii="Calibri" w:hAnsi="Calibri"/>
          <w:lang w:val="en-GB"/>
        </w:rPr>
      </w:pPr>
    </w:p>
    <w:p w14:paraId="683B2814" w14:textId="11148C6E" w:rsidR="00821FBA" w:rsidRPr="00397529" w:rsidRDefault="00821FBA" w:rsidP="00CB0A62">
      <w:pPr>
        <w:jc w:val="both"/>
        <w:rPr>
          <w:rFonts w:ascii="Calibri" w:hAnsi="Calibri"/>
          <w:lang w:val="en-GB"/>
        </w:rPr>
      </w:pPr>
      <w:r w:rsidRPr="00397529">
        <w:rPr>
          <w:rFonts w:ascii="Calibri" w:hAnsi="Calibri"/>
          <w:lang w:val="en-GB"/>
        </w:rPr>
        <w:t xml:space="preserve">The sample sizes in </w:t>
      </w:r>
      <w:r w:rsidRPr="00397529">
        <w:rPr>
          <w:rFonts w:ascii="Calibri" w:hAnsi="Calibri"/>
          <w:b/>
          <w:lang w:val="en-GB"/>
        </w:rPr>
        <w:t>Table S1</w:t>
      </w:r>
      <w:r w:rsidRPr="00397529">
        <w:rPr>
          <w:rFonts w:ascii="Calibri" w:hAnsi="Calibri"/>
          <w:lang w:val="en-GB"/>
        </w:rPr>
        <w:t xml:space="preserve"> assume that </w:t>
      </w:r>
      <w:r w:rsidR="004714AA" w:rsidRPr="00397529">
        <w:rPr>
          <w:rFonts w:ascii="Calibri" w:hAnsi="Calibri"/>
          <w:lang w:val="en-GB"/>
        </w:rPr>
        <w:t>G6PD screening is available</w:t>
      </w:r>
      <w:r w:rsidR="006F35F7" w:rsidRPr="00397529">
        <w:rPr>
          <w:rFonts w:ascii="Calibri" w:hAnsi="Calibri"/>
          <w:lang w:val="en-GB"/>
        </w:rPr>
        <w:t xml:space="preserve"> at the individual level</w:t>
      </w:r>
      <w:r w:rsidR="004714AA" w:rsidRPr="00397529">
        <w:rPr>
          <w:rFonts w:ascii="Calibri" w:hAnsi="Calibri"/>
          <w:lang w:val="en-GB"/>
        </w:rPr>
        <w:t xml:space="preserve">. </w:t>
      </w:r>
      <w:r w:rsidR="006F35F7" w:rsidRPr="00397529">
        <w:rPr>
          <w:rFonts w:ascii="Calibri" w:hAnsi="Calibri"/>
          <w:lang w:val="en-GB"/>
        </w:rPr>
        <w:t>I</w:t>
      </w:r>
      <w:r w:rsidR="00C1795A" w:rsidRPr="00397529">
        <w:rPr>
          <w:rFonts w:ascii="Calibri" w:hAnsi="Calibri"/>
          <w:lang w:val="en-GB"/>
        </w:rPr>
        <w:t xml:space="preserve">f </w:t>
      </w:r>
      <w:r w:rsidR="006F35F7" w:rsidRPr="00397529">
        <w:rPr>
          <w:rFonts w:ascii="Calibri" w:hAnsi="Calibri"/>
          <w:lang w:val="en-GB"/>
        </w:rPr>
        <w:t xml:space="preserve">the program wants to </w:t>
      </w:r>
      <w:r w:rsidR="00C1795A" w:rsidRPr="00397529">
        <w:rPr>
          <w:rFonts w:ascii="Calibri" w:hAnsi="Calibri"/>
          <w:lang w:val="en-GB"/>
        </w:rPr>
        <w:t>know whether primaquine</w:t>
      </w:r>
      <w:r w:rsidR="006F35F7" w:rsidRPr="00397529">
        <w:rPr>
          <w:rFonts w:ascii="Calibri" w:hAnsi="Calibri"/>
          <w:lang w:val="en-GB"/>
        </w:rPr>
        <w:t xml:space="preserve"> treatment</w:t>
      </w:r>
      <w:r w:rsidR="00C1795A" w:rsidRPr="00397529">
        <w:rPr>
          <w:rFonts w:ascii="Calibri" w:hAnsi="Calibri"/>
          <w:lang w:val="en-GB"/>
        </w:rPr>
        <w:t xml:space="preserve"> </w:t>
      </w:r>
      <w:r w:rsidR="006F35F7" w:rsidRPr="00397529">
        <w:rPr>
          <w:rFonts w:ascii="Calibri" w:hAnsi="Calibri"/>
          <w:lang w:val="en-GB"/>
        </w:rPr>
        <w:t>is associated with a 2</w:t>
      </w:r>
      <w:r w:rsidR="00C1795A" w:rsidRPr="00397529">
        <w:rPr>
          <w:rFonts w:ascii="Calibri" w:hAnsi="Calibri"/>
          <w:lang w:val="en-GB"/>
        </w:rPr>
        <w:t xml:space="preserve">5% </w:t>
      </w:r>
      <w:r w:rsidR="006F35F7" w:rsidRPr="00397529">
        <w:rPr>
          <w:rFonts w:ascii="Calibri" w:hAnsi="Calibri"/>
          <w:lang w:val="en-GB"/>
        </w:rPr>
        <w:t xml:space="preserve">or greater drop in </w:t>
      </w:r>
      <w:r w:rsidR="00397529">
        <w:rPr>
          <w:rFonts w:ascii="Calibri" w:hAnsi="Calibri"/>
          <w:lang w:val="en-GB"/>
        </w:rPr>
        <w:t>haemoglobin</w:t>
      </w:r>
      <w:r w:rsidR="00C1795A" w:rsidRPr="00397529">
        <w:rPr>
          <w:rFonts w:ascii="Calibri" w:hAnsi="Calibri"/>
          <w:lang w:val="en-GB"/>
        </w:rPr>
        <w:t xml:space="preserve"> (e.g.</w:t>
      </w:r>
      <w:r w:rsidR="007C4FC8" w:rsidRPr="00397529">
        <w:rPr>
          <w:rFonts w:ascii="Calibri" w:hAnsi="Calibri"/>
          <w:lang w:val="en-GB"/>
        </w:rPr>
        <w:t>,</w:t>
      </w:r>
      <w:r w:rsidR="00C1795A" w:rsidRPr="00397529">
        <w:rPr>
          <w:rFonts w:ascii="Calibri" w:hAnsi="Calibri"/>
          <w:lang w:val="en-GB"/>
        </w:rPr>
        <w:t xml:space="preserve"> a drop from 10 g/dL to 7.5 g/</w:t>
      </w:r>
      <w:r w:rsidR="00A127E5" w:rsidRPr="00397529">
        <w:rPr>
          <w:rFonts w:ascii="Calibri" w:hAnsi="Calibri"/>
          <w:lang w:val="en-GB"/>
        </w:rPr>
        <w:t>dL</w:t>
      </w:r>
      <w:r w:rsidR="00C1795A" w:rsidRPr="00397529">
        <w:rPr>
          <w:rFonts w:ascii="Calibri" w:hAnsi="Calibri"/>
          <w:lang w:val="en-GB"/>
        </w:rPr>
        <w:t xml:space="preserve"> or lower), the program would need to measure </w:t>
      </w:r>
      <w:r w:rsidR="00D11006" w:rsidRPr="00397529">
        <w:rPr>
          <w:rFonts w:ascii="Calibri" w:hAnsi="Calibri"/>
          <w:lang w:val="en-GB"/>
        </w:rPr>
        <w:t xml:space="preserve">the change in </w:t>
      </w:r>
      <w:r w:rsidR="00397529">
        <w:rPr>
          <w:rFonts w:ascii="Calibri" w:hAnsi="Calibri"/>
          <w:lang w:val="en-GB"/>
        </w:rPr>
        <w:t>haemoglobin</w:t>
      </w:r>
      <w:r w:rsidR="00D11006" w:rsidRPr="00397529">
        <w:rPr>
          <w:rFonts w:ascii="Calibri" w:hAnsi="Calibri"/>
          <w:lang w:val="en-GB"/>
        </w:rPr>
        <w:t xml:space="preserve"> </w:t>
      </w:r>
      <w:r w:rsidR="00C1795A" w:rsidRPr="00397529">
        <w:rPr>
          <w:rFonts w:ascii="Calibri" w:hAnsi="Calibri"/>
          <w:lang w:val="en-GB"/>
        </w:rPr>
        <w:t>in at least</w:t>
      </w:r>
      <w:r w:rsidR="00F9044D" w:rsidRPr="00397529">
        <w:rPr>
          <w:rFonts w:ascii="Calibri" w:hAnsi="Calibri"/>
          <w:lang w:val="en-GB"/>
        </w:rPr>
        <w:t xml:space="preserve"> </w:t>
      </w:r>
      <w:r w:rsidR="00473B60" w:rsidRPr="00397529">
        <w:rPr>
          <w:rFonts w:ascii="Calibri" w:hAnsi="Calibri"/>
          <w:lang w:val="en-GB"/>
        </w:rPr>
        <w:t>5</w:t>
      </w:r>
      <w:r w:rsidR="00F9044D" w:rsidRPr="00397529">
        <w:rPr>
          <w:rFonts w:ascii="Calibri" w:hAnsi="Calibri"/>
          <w:lang w:val="en-GB"/>
        </w:rPr>
        <w:t xml:space="preserve"> G6PD-deficient individuals</w:t>
      </w:r>
      <w:r w:rsidR="00C1795A" w:rsidRPr="00397529">
        <w:rPr>
          <w:rFonts w:ascii="Calibri" w:hAnsi="Calibri"/>
          <w:lang w:val="en-GB"/>
        </w:rPr>
        <w:t xml:space="preserve"> before and after treatment with primaquine. A sample of </w:t>
      </w:r>
      <w:r w:rsidR="006F35F7" w:rsidRPr="00397529">
        <w:rPr>
          <w:rFonts w:ascii="Calibri" w:hAnsi="Calibri"/>
          <w:lang w:val="en-GB"/>
        </w:rPr>
        <w:t xml:space="preserve">5 G6PD-deficient individuals </w:t>
      </w:r>
      <w:r w:rsidR="00C1795A" w:rsidRPr="00397529">
        <w:rPr>
          <w:rFonts w:ascii="Calibri" w:hAnsi="Calibri"/>
          <w:lang w:val="en-GB"/>
        </w:rPr>
        <w:t xml:space="preserve">would give the program 80% power to </w:t>
      </w:r>
      <w:r w:rsidR="00F9044D" w:rsidRPr="00397529">
        <w:rPr>
          <w:rFonts w:ascii="Calibri" w:hAnsi="Calibri"/>
          <w:lang w:val="en-GB"/>
        </w:rPr>
        <w:t xml:space="preserve">detect a </w:t>
      </w:r>
      <w:r w:rsidR="00473B60" w:rsidRPr="00397529">
        <w:rPr>
          <w:rFonts w:ascii="Calibri" w:hAnsi="Calibri"/>
          <w:lang w:val="en-GB"/>
        </w:rPr>
        <w:t>2</w:t>
      </w:r>
      <w:r w:rsidR="00F9044D" w:rsidRPr="00397529">
        <w:rPr>
          <w:rFonts w:ascii="Calibri" w:hAnsi="Calibri"/>
          <w:lang w:val="en-GB"/>
        </w:rPr>
        <w:t>5%</w:t>
      </w:r>
      <w:r w:rsidR="00C1795A" w:rsidRPr="00397529">
        <w:rPr>
          <w:rFonts w:ascii="Calibri" w:hAnsi="Calibri"/>
          <w:lang w:val="en-GB"/>
        </w:rPr>
        <w:t xml:space="preserve"> or greater average within-person drop in </w:t>
      </w:r>
      <w:r w:rsidR="00397529">
        <w:rPr>
          <w:rFonts w:ascii="Calibri" w:hAnsi="Calibri"/>
          <w:lang w:val="en-GB"/>
        </w:rPr>
        <w:t>haemoglobin</w:t>
      </w:r>
      <w:r w:rsidR="007C4FC8" w:rsidRPr="00397529">
        <w:rPr>
          <w:rFonts w:ascii="Calibri" w:hAnsi="Calibri"/>
          <w:lang w:val="en-GB"/>
        </w:rPr>
        <w:t xml:space="preserve"> as statistically significant.</w:t>
      </w:r>
      <w:r w:rsidR="00F9044D" w:rsidRPr="00397529">
        <w:rPr>
          <w:rFonts w:ascii="Calibri" w:hAnsi="Calibri"/>
          <w:lang w:val="en-GB"/>
        </w:rPr>
        <w:t xml:space="preserve"> </w:t>
      </w:r>
      <w:r w:rsidR="006F35F7" w:rsidRPr="00397529">
        <w:rPr>
          <w:rFonts w:ascii="Calibri" w:hAnsi="Calibri"/>
          <w:lang w:val="en-GB"/>
        </w:rPr>
        <w:t xml:space="preserve">Programs that want to be able to detect a smaller average within-person drop in </w:t>
      </w:r>
      <w:r w:rsidR="00397529">
        <w:rPr>
          <w:rFonts w:ascii="Calibri" w:hAnsi="Calibri"/>
          <w:lang w:val="en-GB"/>
        </w:rPr>
        <w:t>haemoglobin</w:t>
      </w:r>
      <w:r w:rsidR="006F35F7" w:rsidRPr="00397529">
        <w:rPr>
          <w:rFonts w:ascii="Calibri" w:hAnsi="Calibri"/>
          <w:lang w:val="en-GB"/>
        </w:rPr>
        <w:t xml:space="preserve"> as significant, for example a 15% drop, would need to test a larger number of people (</w:t>
      </w:r>
      <w:r w:rsidR="006F35F7" w:rsidRPr="00397529">
        <w:rPr>
          <w:rFonts w:ascii="Calibri" w:hAnsi="Calibri"/>
          <w:b/>
          <w:lang w:val="en-GB"/>
        </w:rPr>
        <w:t>Table S1</w:t>
      </w:r>
      <w:r w:rsidR="006F35F7" w:rsidRPr="00397529">
        <w:rPr>
          <w:rFonts w:ascii="Calibri" w:hAnsi="Calibri"/>
          <w:lang w:val="en-GB"/>
        </w:rPr>
        <w:t xml:space="preserve">). </w:t>
      </w:r>
    </w:p>
    <w:p w14:paraId="40FABBA9" w14:textId="2B5BC30A" w:rsidR="008F2EA8" w:rsidRPr="00397529" w:rsidRDefault="008F2EA8" w:rsidP="00CB0A62">
      <w:pPr>
        <w:pStyle w:val="Heading2"/>
        <w:jc w:val="both"/>
        <w:rPr>
          <w:rFonts w:ascii="Calibri" w:hAnsi="Calibri"/>
          <w:b w:val="0"/>
          <w:color w:val="auto"/>
          <w:sz w:val="24"/>
          <w:szCs w:val="24"/>
          <w:u w:val="single"/>
          <w:lang w:val="en-GB"/>
        </w:rPr>
      </w:pPr>
      <w:r w:rsidRPr="00397529">
        <w:rPr>
          <w:rFonts w:ascii="Calibri" w:hAnsi="Calibri"/>
          <w:b w:val="0"/>
          <w:color w:val="auto"/>
          <w:sz w:val="24"/>
          <w:szCs w:val="24"/>
          <w:u w:val="single"/>
          <w:lang w:val="en-GB"/>
        </w:rPr>
        <w:t xml:space="preserve">For settings where </w:t>
      </w:r>
      <w:r w:rsidR="00D552D6" w:rsidRPr="00397529">
        <w:rPr>
          <w:rFonts w:ascii="Calibri" w:hAnsi="Calibri"/>
          <w:b w:val="0"/>
          <w:color w:val="auto"/>
          <w:sz w:val="24"/>
          <w:szCs w:val="24"/>
          <w:u w:val="single"/>
          <w:lang w:val="en-GB"/>
        </w:rPr>
        <w:t xml:space="preserve">the patient’s </w:t>
      </w:r>
      <w:r w:rsidRPr="00397529">
        <w:rPr>
          <w:rFonts w:ascii="Calibri" w:hAnsi="Calibri"/>
          <w:b w:val="0"/>
          <w:color w:val="auto"/>
          <w:sz w:val="24"/>
          <w:szCs w:val="24"/>
          <w:u w:val="single"/>
          <w:lang w:val="en-GB"/>
        </w:rPr>
        <w:t>G6PD status is unknown</w:t>
      </w:r>
      <w:r w:rsidR="00D552D6" w:rsidRPr="00397529">
        <w:rPr>
          <w:rFonts w:ascii="Calibri" w:hAnsi="Calibri"/>
          <w:b w:val="0"/>
          <w:color w:val="auto"/>
          <w:sz w:val="24"/>
          <w:szCs w:val="24"/>
          <w:u w:val="single"/>
          <w:lang w:val="en-GB"/>
        </w:rPr>
        <w:t xml:space="preserve"> prior to treatment with primaquine:</w:t>
      </w:r>
    </w:p>
    <w:p w14:paraId="6DFE1650" w14:textId="77777777" w:rsidR="008F2EA8" w:rsidRPr="00397529" w:rsidRDefault="008F2EA8" w:rsidP="00CB0A62">
      <w:pPr>
        <w:jc w:val="both"/>
        <w:rPr>
          <w:rFonts w:ascii="Calibri" w:hAnsi="Calibri"/>
          <w:lang w:val="en-GB"/>
        </w:rPr>
      </w:pPr>
    </w:p>
    <w:p w14:paraId="6341BAFD" w14:textId="69BDE9F1" w:rsidR="00F9044D" w:rsidRPr="00397529" w:rsidRDefault="00F9044D" w:rsidP="00A641DF">
      <w:pPr>
        <w:jc w:val="both"/>
        <w:rPr>
          <w:rFonts w:ascii="Calibri" w:hAnsi="Calibri"/>
          <w:lang w:val="en-GB"/>
        </w:rPr>
      </w:pPr>
      <w:r w:rsidRPr="00397529">
        <w:rPr>
          <w:rFonts w:ascii="Calibri" w:hAnsi="Calibri"/>
          <w:lang w:val="en-GB"/>
        </w:rPr>
        <w:t xml:space="preserve">In settings where </w:t>
      </w:r>
      <w:r w:rsidR="00473B60" w:rsidRPr="00397529">
        <w:rPr>
          <w:rFonts w:ascii="Calibri" w:hAnsi="Calibri"/>
          <w:lang w:val="en-GB"/>
        </w:rPr>
        <w:t>individuals</w:t>
      </w:r>
      <w:r w:rsidR="00B51A2E" w:rsidRPr="00397529">
        <w:rPr>
          <w:rFonts w:ascii="Calibri" w:hAnsi="Calibri"/>
          <w:lang w:val="en-GB"/>
        </w:rPr>
        <w:t>’</w:t>
      </w:r>
      <w:r w:rsidR="00473B60" w:rsidRPr="00397529">
        <w:rPr>
          <w:rFonts w:ascii="Calibri" w:hAnsi="Calibri"/>
          <w:lang w:val="en-GB"/>
        </w:rPr>
        <w:t xml:space="preserve"> </w:t>
      </w:r>
      <w:r w:rsidRPr="00397529">
        <w:rPr>
          <w:rFonts w:ascii="Calibri" w:hAnsi="Calibri"/>
          <w:lang w:val="en-GB"/>
        </w:rPr>
        <w:t xml:space="preserve">G6PD status is unknown and G6PD screening is unavailable, </w:t>
      </w:r>
      <w:r w:rsidR="00473B60" w:rsidRPr="00397529">
        <w:rPr>
          <w:rFonts w:ascii="Calibri" w:hAnsi="Calibri"/>
          <w:lang w:val="en-GB"/>
        </w:rPr>
        <w:t xml:space="preserve">programs can use the population prevalence of G6PD </w:t>
      </w:r>
      <w:r w:rsidR="00C1795A" w:rsidRPr="00397529">
        <w:rPr>
          <w:rFonts w:ascii="Calibri" w:hAnsi="Calibri"/>
          <w:lang w:val="en-GB"/>
        </w:rPr>
        <w:t>deficiency</w:t>
      </w:r>
      <w:r w:rsidR="00473B60" w:rsidRPr="00397529">
        <w:rPr>
          <w:rFonts w:ascii="Calibri" w:hAnsi="Calibri"/>
          <w:lang w:val="en-GB"/>
        </w:rPr>
        <w:t xml:space="preserve"> to estimate the </w:t>
      </w:r>
      <w:r w:rsidR="00C1795A" w:rsidRPr="00397529">
        <w:rPr>
          <w:rFonts w:ascii="Calibri" w:hAnsi="Calibri"/>
          <w:lang w:val="en-GB"/>
        </w:rPr>
        <w:t>number of individuals that need to be treated with p</w:t>
      </w:r>
      <w:r w:rsidR="00473B60" w:rsidRPr="00397529">
        <w:rPr>
          <w:rFonts w:ascii="Calibri" w:hAnsi="Calibri"/>
          <w:lang w:val="en-GB"/>
        </w:rPr>
        <w:t>rimaquine</w:t>
      </w:r>
      <w:r w:rsidR="00B51A2E" w:rsidRPr="00397529">
        <w:rPr>
          <w:rFonts w:ascii="Calibri" w:hAnsi="Calibri"/>
          <w:lang w:val="en-GB"/>
        </w:rPr>
        <w:t xml:space="preserve"> and </w:t>
      </w:r>
      <w:r w:rsidR="00A127E5" w:rsidRPr="00397529">
        <w:rPr>
          <w:rFonts w:ascii="Calibri" w:hAnsi="Calibri"/>
          <w:lang w:val="en-GB"/>
        </w:rPr>
        <w:t xml:space="preserve">have pre-post treatment </w:t>
      </w:r>
      <w:r w:rsidR="00397529">
        <w:rPr>
          <w:rFonts w:ascii="Calibri" w:hAnsi="Calibri"/>
          <w:lang w:val="en-GB"/>
        </w:rPr>
        <w:t>haemoglobin</w:t>
      </w:r>
      <w:r w:rsidR="00B51A2E" w:rsidRPr="00397529">
        <w:rPr>
          <w:rFonts w:ascii="Calibri" w:hAnsi="Calibri"/>
          <w:lang w:val="en-GB"/>
        </w:rPr>
        <w:t xml:space="preserve"> measure</w:t>
      </w:r>
      <w:r w:rsidR="00A127E5" w:rsidRPr="00397529">
        <w:rPr>
          <w:rFonts w:ascii="Calibri" w:hAnsi="Calibri"/>
          <w:lang w:val="en-GB"/>
        </w:rPr>
        <w:t>ments</w:t>
      </w:r>
      <w:r w:rsidR="007C4FC8" w:rsidRPr="00397529">
        <w:rPr>
          <w:rFonts w:ascii="Calibri" w:hAnsi="Calibri"/>
          <w:lang w:val="en-GB"/>
        </w:rPr>
        <w:t>.</w:t>
      </w:r>
      <w:r w:rsidR="00473B60" w:rsidRPr="00397529">
        <w:rPr>
          <w:rFonts w:ascii="Calibri" w:hAnsi="Calibri"/>
          <w:lang w:val="en-GB"/>
        </w:rPr>
        <w:t xml:space="preserve"> </w:t>
      </w:r>
      <w:r w:rsidR="00C1795A" w:rsidRPr="00397529">
        <w:rPr>
          <w:rFonts w:ascii="Calibri" w:hAnsi="Calibri"/>
          <w:lang w:val="en-GB"/>
        </w:rPr>
        <w:t>Let’s assume</w:t>
      </w:r>
      <w:r w:rsidR="00473B60" w:rsidRPr="00397529">
        <w:rPr>
          <w:rFonts w:ascii="Calibri" w:hAnsi="Calibri"/>
          <w:lang w:val="en-GB"/>
        </w:rPr>
        <w:t xml:space="preserve"> </w:t>
      </w:r>
      <w:r w:rsidR="007C4FC8" w:rsidRPr="00397529">
        <w:rPr>
          <w:rFonts w:ascii="Calibri" w:hAnsi="Calibri"/>
          <w:lang w:val="en-GB"/>
        </w:rPr>
        <w:t xml:space="preserve">that </w:t>
      </w:r>
      <w:r w:rsidR="00C1795A" w:rsidRPr="00397529">
        <w:rPr>
          <w:rFonts w:ascii="Calibri" w:hAnsi="Calibri"/>
          <w:lang w:val="en-GB"/>
        </w:rPr>
        <w:t>the population prevalence of G6PD deficiency is 1% and the program wants to be able to</w:t>
      </w:r>
      <w:r w:rsidR="007C4FC8" w:rsidRPr="00397529">
        <w:rPr>
          <w:rFonts w:ascii="Calibri" w:hAnsi="Calibri"/>
          <w:lang w:val="en-GB"/>
        </w:rPr>
        <w:t xml:space="preserve"> detect a 25% or greater within-</w:t>
      </w:r>
      <w:r w:rsidR="00C1795A" w:rsidRPr="00397529">
        <w:rPr>
          <w:rFonts w:ascii="Calibri" w:hAnsi="Calibri"/>
          <w:lang w:val="en-GB"/>
        </w:rPr>
        <w:t xml:space="preserve">person drop in </w:t>
      </w:r>
      <w:r w:rsidR="00397529">
        <w:rPr>
          <w:rFonts w:ascii="Calibri" w:hAnsi="Calibri"/>
          <w:lang w:val="en-GB"/>
        </w:rPr>
        <w:t>haemoglobin</w:t>
      </w:r>
      <w:r w:rsidR="00C1795A" w:rsidRPr="00397529">
        <w:rPr>
          <w:rFonts w:ascii="Calibri" w:hAnsi="Calibri"/>
          <w:lang w:val="en-GB"/>
        </w:rPr>
        <w:t xml:space="preserve"> following </w:t>
      </w:r>
      <w:r w:rsidR="007C4FC8" w:rsidRPr="00397529">
        <w:rPr>
          <w:rFonts w:ascii="Calibri" w:hAnsi="Calibri"/>
          <w:lang w:val="en-GB"/>
        </w:rPr>
        <w:t xml:space="preserve">treatment with primaquine. </w:t>
      </w:r>
      <w:r w:rsidR="00C1795A" w:rsidRPr="00397529">
        <w:rPr>
          <w:rFonts w:ascii="Calibri" w:hAnsi="Calibri"/>
          <w:lang w:val="en-GB"/>
        </w:rPr>
        <w:t xml:space="preserve">Using </w:t>
      </w:r>
      <w:r w:rsidR="00B51A2E" w:rsidRPr="00397529">
        <w:rPr>
          <w:rFonts w:ascii="Calibri" w:hAnsi="Calibri"/>
          <w:b/>
          <w:lang w:val="en-GB"/>
        </w:rPr>
        <w:t>T</w:t>
      </w:r>
      <w:r w:rsidR="00C1795A" w:rsidRPr="00397529">
        <w:rPr>
          <w:rFonts w:ascii="Calibri" w:hAnsi="Calibri"/>
          <w:b/>
          <w:lang w:val="en-GB"/>
        </w:rPr>
        <w:t xml:space="preserve">able </w:t>
      </w:r>
      <w:r w:rsidR="00B51A2E" w:rsidRPr="00397529">
        <w:rPr>
          <w:rFonts w:ascii="Calibri" w:hAnsi="Calibri"/>
          <w:b/>
          <w:lang w:val="en-GB"/>
        </w:rPr>
        <w:t>S</w:t>
      </w:r>
      <w:r w:rsidR="00C1795A" w:rsidRPr="00397529">
        <w:rPr>
          <w:rFonts w:ascii="Calibri" w:hAnsi="Calibri"/>
          <w:b/>
          <w:lang w:val="en-GB"/>
        </w:rPr>
        <w:t>1</w:t>
      </w:r>
      <w:r w:rsidR="00C1795A" w:rsidRPr="00397529">
        <w:rPr>
          <w:rFonts w:ascii="Calibri" w:hAnsi="Calibri"/>
          <w:lang w:val="en-GB"/>
        </w:rPr>
        <w:t>, we know</w:t>
      </w:r>
      <w:r w:rsidR="00B51A2E" w:rsidRPr="00397529">
        <w:rPr>
          <w:rFonts w:ascii="Calibri" w:hAnsi="Calibri"/>
          <w:lang w:val="en-GB"/>
        </w:rPr>
        <w:t xml:space="preserve"> that the program would need to measure the change in </w:t>
      </w:r>
      <w:r w:rsidR="00397529">
        <w:rPr>
          <w:rFonts w:ascii="Calibri" w:hAnsi="Calibri"/>
          <w:lang w:val="en-GB"/>
        </w:rPr>
        <w:t>haemoglobin</w:t>
      </w:r>
      <w:r w:rsidR="00B51A2E" w:rsidRPr="00397529">
        <w:rPr>
          <w:rFonts w:ascii="Calibri" w:hAnsi="Calibri"/>
          <w:lang w:val="en-GB"/>
        </w:rPr>
        <w:t xml:space="preserve"> in at least 5 G6PD-deficient individuals before and after treatment with primaquine. </w:t>
      </w:r>
      <w:r w:rsidR="00800239" w:rsidRPr="00397529">
        <w:rPr>
          <w:rFonts w:ascii="Calibri" w:hAnsi="Calibri"/>
          <w:lang w:val="en-GB"/>
        </w:rPr>
        <w:t>Assuming G6PD</w:t>
      </w:r>
      <w:r w:rsidR="00B51A2E" w:rsidRPr="00397529">
        <w:rPr>
          <w:rFonts w:ascii="Calibri" w:hAnsi="Calibri"/>
          <w:lang w:val="en-GB"/>
        </w:rPr>
        <w:t>-</w:t>
      </w:r>
      <w:r w:rsidR="00C1795A" w:rsidRPr="00397529">
        <w:rPr>
          <w:rFonts w:ascii="Calibri" w:hAnsi="Calibri"/>
          <w:lang w:val="en-GB"/>
        </w:rPr>
        <w:t xml:space="preserve">deficient individuals are randomly distributed among the </w:t>
      </w:r>
      <w:r w:rsidR="00B51A2E" w:rsidRPr="00397529">
        <w:rPr>
          <w:rFonts w:ascii="Calibri" w:hAnsi="Calibri"/>
          <w:lang w:val="en-GB"/>
        </w:rPr>
        <w:t xml:space="preserve">population, </w:t>
      </w:r>
      <w:r w:rsidR="00C1795A" w:rsidRPr="00397529">
        <w:rPr>
          <w:rFonts w:ascii="Calibri" w:hAnsi="Calibri"/>
          <w:lang w:val="en-GB"/>
        </w:rPr>
        <w:t xml:space="preserve">the program would need to </w:t>
      </w:r>
      <w:r w:rsidR="00D11006" w:rsidRPr="00397529">
        <w:rPr>
          <w:rFonts w:ascii="Calibri" w:hAnsi="Calibri"/>
          <w:lang w:val="en-GB"/>
        </w:rPr>
        <w:t>measure the change in</w:t>
      </w:r>
      <w:r w:rsidR="00C1795A" w:rsidRPr="00397529">
        <w:rPr>
          <w:rFonts w:ascii="Calibri" w:hAnsi="Calibri"/>
          <w:lang w:val="en-GB"/>
        </w:rPr>
        <w:t xml:space="preserve"> </w:t>
      </w:r>
      <w:r w:rsidR="00397529">
        <w:rPr>
          <w:rFonts w:ascii="Calibri" w:hAnsi="Calibri"/>
          <w:lang w:val="en-GB"/>
        </w:rPr>
        <w:t>haemoglobin</w:t>
      </w:r>
      <w:r w:rsidR="00C1795A" w:rsidRPr="00397529">
        <w:rPr>
          <w:rFonts w:ascii="Calibri" w:hAnsi="Calibri"/>
          <w:lang w:val="en-GB"/>
        </w:rPr>
        <w:t xml:space="preserve"> </w:t>
      </w:r>
      <w:r w:rsidR="00A127E5" w:rsidRPr="00397529">
        <w:rPr>
          <w:rFonts w:ascii="Calibri" w:hAnsi="Calibri"/>
          <w:lang w:val="en-GB"/>
        </w:rPr>
        <w:t>among</w:t>
      </w:r>
      <w:r w:rsidR="00D11006" w:rsidRPr="00397529">
        <w:rPr>
          <w:rFonts w:ascii="Calibri" w:hAnsi="Calibri"/>
          <w:lang w:val="en-GB"/>
        </w:rPr>
        <w:t xml:space="preserve"> at least 500 individuals of unknown G6PD status before and </w:t>
      </w:r>
      <w:r w:rsidR="006F35F7" w:rsidRPr="00397529">
        <w:rPr>
          <w:rFonts w:ascii="Calibri" w:hAnsi="Calibri"/>
          <w:lang w:val="en-GB"/>
        </w:rPr>
        <w:t>after treatment with primaquine (</w:t>
      </w:r>
      <w:r w:rsidR="006F35F7" w:rsidRPr="00397529">
        <w:rPr>
          <w:rFonts w:ascii="Calibri" w:hAnsi="Calibri"/>
          <w:b/>
          <w:lang w:val="en-GB"/>
        </w:rPr>
        <w:t>Table S2</w:t>
      </w:r>
      <w:r w:rsidR="006F35F7" w:rsidRPr="00397529">
        <w:rPr>
          <w:rFonts w:ascii="Calibri" w:hAnsi="Calibri"/>
          <w:lang w:val="en-GB"/>
        </w:rPr>
        <w:t>)</w:t>
      </w:r>
      <w:r w:rsidR="00465CD0" w:rsidRPr="00397529">
        <w:rPr>
          <w:rFonts w:ascii="Calibri" w:hAnsi="Calibri"/>
          <w:lang w:val="en-GB"/>
        </w:rPr>
        <w:t>.</w:t>
      </w:r>
      <w:r w:rsidR="00800239" w:rsidRPr="00397529">
        <w:rPr>
          <w:rFonts w:ascii="Calibri" w:hAnsi="Calibri"/>
          <w:lang w:val="en-GB"/>
        </w:rPr>
        <w:t xml:space="preserve"> By evaluating 500 individuals, the program can assume that 1% of those 500, or 5</w:t>
      </w:r>
      <w:r w:rsidR="007C4FC8" w:rsidRPr="00397529">
        <w:rPr>
          <w:rFonts w:ascii="Calibri" w:hAnsi="Calibri"/>
          <w:lang w:val="en-GB"/>
        </w:rPr>
        <w:t xml:space="preserve"> people, were G6PD-</w:t>
      </w:r>
      <w:r w:rsidR="00800239" w:rsidRPr="00397529">
        <w:rPr>
          <w:rFonts w:ascii="Calibri" w:hAnsi="Calibri"/>
          <w:lang w:val="en-GB"/>
        </w:rPr>
        <w:t xml:space="preserve">deficient. </w:t>
      </w:r>
      <w:proofErr w:type="gramStart"/>
      <w:r w:rsidR="00465CD0" w:rsidRPr="00397529">
        <w:rPr>
          <w:rFonts w:ascii="Calibri" w:hAnsi="Calibri"/>
          <w:lang w:val="en-GB"/>
        </w:rPr>
        <w:t>The</w:t>
      </w:r>
      <w:r w:rsidR="00B51A2E" w:rsidRPr="00397529">
        <w:rPr>
          <w:rFonts w:ascii="Calibri" w:hAnsi="Calibri"/>
          <w:lang w:val="en-GB"/>
        </w:rPr>
        <w:t xml:space="preserve"> numbers </w:t>
      </w:r>
      <w:r w:rsidR="007C4FC8" w:rsidRPr="00397529">
        <w:rPr>
          <w:rFonts w:ascii="Calibri" w:hAnsi="Calibri"/>
          <w:lang w:val="en-GB"/>
        </w:rPr>
        <w:t xml:space="preserve">presented </w:t>
      </w:r>
      <w:r w:rsidR="00B51A2E" w:rsidRPr="00397529">
        <w:rPr>
          <w:rFonts w:ascii="Calibri" w:hAnsi="Calibri"/>
          <w:lang w:val="en-GB"/>
        </w:rPr>
        <w:t xml:space="preserve">in </w:t>
      </w:r>
      <w:r w:rsidR="00B51A2E" w:rsidRPr="00397529">
        <w:rPr>
          <w:rFonts w:ascii="Calibri" w:hAnsi="Calibri"/>
          <w:b/>
          <w:lang w:val="en-GB"/>
        </w:rPr>
        <w:t>Table S2</w:t>
      </w:r>
      <w:r w:rsidR="00B51A2E" w:rsidRPr="00397529">
        <w:rPr>
          <w:rFonts w:ascii="Calibri" w:hAnsi="Calibri"/>
          <w:lang w:val="en-GB"/>
        </w:rPr>
        <w:t xml:space="preserve"> are derived by dividing the number needed </w:t>
      </w:r>
      <w:r w:rsidR="007C4FC8" w:rsidRPr="00397529">
        <w:rPr>
          <w:rFonts w:ascii="Calibri" w:hAnsi="Calibri"/>
          <w:lang w:val="en-GB"/>
        </w:rPr>
        <w:t xml:space="preserve">to treat </w:t>
      </w:r>
      <w:r w:rsidR="00B51A2E" w:rsidRPr="00397529">
        <w:rPr>
          <w:rFonts w:ascii="Calibri" w:hAnsi="Calibri"/>
          <w:lang w:val="en-GB"/>
        </w:rPr>
        <w:t xml:space="preserve">in </w:t>
      </w:r>
      <w:r w:rsidR="00800239" w:rsidRPr="00397529">
        <w:rPr>
          <w:rFonts w:ascii="Calibri" w:hAnsi="Calibri"/>
          <w:lang w:val="en-GB"/>
        </w:rPr>
        <w:t>T</w:t>
      </w:r>
      <w:r w:rsidR="00B51A2E" w:rsidRPr="00397529">
        <w:rPr>
          <w:rFonts w:ascii="Calibri" w:hAnsi="Calibri"/>
          <w:lang w:val="en-GB"/>
        </w:rPr>
        <w:t>able S1 by the estimated population prevalence of G6PD</w:t>
      </w:r>
      <w:proofErr w:type="gramEnd"/>
      <w:r w:rsidR="00B51A2E" w:rsidRPr="00397529">
        <w:rPr>
          <w:rFonts w:ascii="Calibri" w:hAnsi="Calibri"/>
          <w:lang w:val="en-GB"/>
        </w:rPr>
        <w:t xml:space="preserve"> (5/0.01 = 500)</w:t>
      </w:r>
      <w:r w:rsidR="00465CD0" w:rsidRPr="00397529">
        <w:rPr>
          <w:rFonts w:ascii="Calibri" w:hAnsi="Calibri"/>
          <w:lang w:val="en-GB"/>
        </w:rPr>
        <w:t>.</w:t>
      </w:r>
    </w:p>
    <w:p w14:paraId="6BAF58AB" w14:textId="77777777" w:rsidR="00F9044D" w:rsidRPr="00397529" w:rsidRDefault="00F9044D" w:rsidP="00F9044D">
      <w:pPr>
        <w:jc w:val="both"/>
        <w:rPr>
          <w:rFonts w:ascii="Calibri" w:hAnsi="Calibri"/>
          <w:lang w:val="en-GB"/>
        </w:rPr>
      </w:pPr>
    </w:p>
    <w:p w14:paraId="47AAE5AF" w14:textId="567EEE28" w:rsidR="008F2EA8" w:rsidRPr="00397529" w:rsidRDefault="008F2EA8" w:rsidP="00CB0A62">
      <w:pPr>
        <w:jc w:val="both"/>
        <w:rPr>
          <w:rFonts w:ascii="Calibri" w:hAnsi="Calibri" w:cs="Arial"/>
          <w:b/>
          <w:lang w:val="en-GB"/>
        </w:rPr>
      </w:pPr>
      <w:r w:rsidRPr="00397529">
        <w:rPr>
          <w:rFonts w:ascii="Calibri" w:hAnsi="Calibri" w:cs="Arial"/>
          <w:b/>
          <w:lang w:val="en-GB"/>
        </w:rPr>
        <w:t xml:space="preserve">Table S2. </w:t>
      </w:r>
      <w:r w:rsidR="007C4FC8" w:rsidRPr="00397529">
        <w:rPr>
          <w:rFonts w:ascii="Calibri" w:hAnsi="Calibri" w:cs="Arial"/>
          <w:lang w:val="en-GB"/>
        </w:rPr>
        <w:t xml:space="preserve">Number of persons needed to treat </w:t>
      </w:r>
      <w:r w:rsidRPr="00397529">
        <w:rPr>
          <w:rFonts w:ascii="Calibri" w:hAnsi="Calibri" w:cs="Arial"/>
          <w:lang w:val="en-GB"/>
        </w:rPr>
        <w:t xml:space="preserve">to have sufficient power to detect a given </w:t>
      </w:r>
      <w:r w:rsidR="007C4FC8" w:rsidRPr="00397529">
        <w:rPr>
          <w:rFonts w:ascii="Calibri" w:hAnsi="Calibri" w:cs="Arial"/>
          <w:lang w:val="en-GB"/>
        </w:rPr>
        <w:t xml:space="preserve">within-person </w:t>
      </w:r>
      <w:proofErr w:type="spellStart"/>
      <w:r w:rsidR="007C4FC8" w:rsidRPr="00397529">
        <w:rPr>
          <w:rFonts w:ascii="Calibri" w:hAnsi="Calibri" w:cs="Arial"/>
          <w:lang w:val="en-GB"/>
        </w:rPr>
        <w:t>percent</w:t>
      </w:r>
      <w:proofErr w:type="spellEnd"/>
      <w:r w:rsidR="007C4FC8" w:rsidRPr="00397529">
        <w:rPr>
          <w:rFonts w:ascii="Calibri" w:hAnsi="Calibri" w:cs="Arial"/>
          <w:lang w:val="en-GB"/>
        </w:rPr>
        <w:t xml:space="preserve"> reduction in </w:t>
      </w:r>
      <w:r w:rsidR="00397529">
        <w:rPr>
          <w:rFonts w:ascii="Calibri" w:hAnsi="Calibri" w:cs="Arial"/>
          <w:lang w:val="en-GB"/>
        </w:rPr>
        <w:t>haemoglobin</w:t>
      </w:r>
    </w:p>
    <w:p w14:paraId="64EA97B0" w14:textId="77777777" w:rsidR="006F69FA" w:rsidRPr="00397529" w:rsidRDefault="006F69FA" w:rsidP="00CB0A62">
      <w:pPr>
        <w:jc w:val="both"/>
        <w:rPr>
          <w:rFonts w:ascii="Calibri" w:hAnsi="Calibri" w:cs="Arial"/>
          <w:b/>
          <w:lang w:val="en-GB"/>
        </w:rPr>
      </w:pPr>
    </w:p>
    <w:tbl>
      <w:tblPr>
        <w:tblStyle w:val="MediumList2"/>
        <w:tblW w:w="9113" w:type="dxa"/>
        <w:tblLook w:val="04A0" w:firstRow="1" w:lastRow="0" w:firstColumn="1" w:lastColumn="0" w:noHBand="0" w:noVBand="1"/>
      </w:tblPr>
      <w:tblGrid>
        <w:gridCol w:w="3971"/>
        <w:gridCol w:w="1177"/>
        <w:gridCol w:w="1440"/>
        <w:gridCol w:w="1260"/>
        <w:gridCol w:w="1265"/>
      </w:tblGrid>
      <w:tr w:rsidR="008F2EA8" w:rsidRPr="00397529" w14:paraId="66DDEA25" w14:textId="77777777" w:rsidTr="006F6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71" w:type="dxa"/>
            <w:tcBorders>
              <w:bottom w:val="nil"/>
            </w:tcBorders>
          </w:tcPr>
          <w:p w14:paraId="023A56B3" w14:textId="77777777" w:rsidR="008F2EA8" w:rsidRPr="00397529" w:rsidRDefault="008F2EA8" w:rsidP="00CB0A62">
            <w:pPr>
              <w:jc w:val="both"/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5142" w:type="dxa"/>
            <w:gridSpan w:val="4"/>
            <w:tcBorders>
              <w:bottom w:val="single" w:sz="4" w:space="0" w:color="auto"/>
            </w:tcBorders>
          </w:tcPr>
          <w:p w14:paraId="131CC8A1" w14:textId="75F53FFF" w:rsidR="008F2EA8" w:rsidRPr="00397529" w:rsidRDefault="008F2EA8" w:rsidP="00CB0A6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 xml:space="preserve">Numbers of individuals needed to treat with </w:t>
            </w:r>
            <w:r w:rsidR="00631575" w:rsidRPr="00397529">
              <w:rPr>
                <w:rFonts w:ascii="Calibri" w:hAnsi="Calibri"/>
                <w:sz w:val="20"/>
                <w:szCs w:val="20"/>
                <w:lang w:val="en-GB"/>
              </w:rPr>
              <w:t>primaquine</w:t>
            </w:r>
          </w:p>
          <w:p w14:paraId="5249736C" w14:textId="77777777" w:rsidR="008F2EA8" w:rsidRPr="00397529" w:rsidRDefault="004714AA" w:rsidP="00CB0A6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GB"/>
              </w:rPr>
            </w:pPr>
            <w:proofErr w:type="gramStart"/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by</w:t>
            </w:r>
            <w:proofErr w:type="gramEnd"/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 xml:space="preserve"> the estimated</w:t>
            </w:r>
            <w:r w:rsidR="008F2EA8" w:rsidRPr="00397529">
              <w:rPr>
                <w:rFonts w:ascii="Calibri" w:hAnsi="Calibri"/>
                <w:sz w:val="20"/>
                <w:szCs w:val="20"/>
                <w:lang w:val="en-GB"/>
              </w:rPr>
              <w:t xml:space="preserve"> population prevalence of G6PD deficiency</w:t>
            </w:r>
          </w:p>
        </w:tc>
      </w:tr>
      <w:tr w:rsidR="006F69FA" w:rsidRPr="00397529" w14:paraId="7EA016DA" w14:textId="77777777" w:rsidTr="0009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1" w:type="dxa"/>
            <w:tcBorders>
              <w:bottom w:val="single" w:sz="24" w:space="0" w:color="auto"/>
            </w:tcBorders>
          </w:tcPr>
          <w:p w14:paraId="6A6C8D91" w14:textId="71AC9E4A" w:rsidR="008F2EA8" w:rsidRPr="00397529" w:rsidRDefault="00E27D42" w:rsidP="00CB0A62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 xml:space="preserve">Minimum </w:t>
            </w:r>
            <w:proofErr w:type="spellStart"/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percent</w:t>
            </w:r>
            <w:proofErr w:type="spellEnd"/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 xml:space="preserve"> reduction in </w:t>
            </w:r>
            <w:r w:rsidR="00397529">
              <w:rPr>
                <w:rFonts w:ascii="Calibri" w:hAnsi="Calibri"/>
                <w:sz w:val="20"/>
                <w:szCs w:val="20"/>
                <w:lang w:val="en-GB"/>
              </w:rPr>
              <w:t>haemoglobin</w:t>
            </w: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 xml:space="preserve"> that you want to be able to detect after treatment with primaquine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bottom"/>
          </w:tcPr>
          <w:p w14:paraId="617FE4BE" w14:textId="77777777" w:rsidR="008F2EA8" w:rsidRPr="00397529" w:rsidRDefault="008F2EA8" w:rsidP="00096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b/>
                <w:sz w:val="20"/>
                <w:szCs w:val="20"/>
                <w:lang w:val="en-GB"/>
              </w:rPr>
              <w:t>1%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bottom"/>
          </w:tcPr>
          <w:p w14:paraId="02772A8A" w14:textId="77777777" w:rsidR="008F2EA8" w:rsidRPr="00397529" w:rsidRDefault="008F2EA8" w:rsidP="00096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b/>
                <w:sz w:val="20"/>
                <w:szCs w:val="20"/>
                <w:lang w:val="en-GB"/>
              </w:rPr>
              <w:t>5%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bottom"/>
          </w:tcPr>
          <w:p w14:paraId="30A7979F" w14:textId="77777777" w:rsidR="008F2EA8" w:rsidRPr="00397529" w:rsidRDefault="008F2EA8" w:rsidP="00096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b/>
                <w:sz w:val="20"/>
                <w:szCs w:val="20"/>
                <w:lang w:val="en-GB"/>
              </w:rPr>
              <w:t>10%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bottom"/>
          </w:tcPr>
          <w:p w14:paraId="28707E0A" w14:textId="77777777" w:rsidR="008F2EA8" w:rsidRPr="00397529" w:rsidRDefault="008F2EA8" w:rsidP="00096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b/>
                <w:sz w:val="20"/>
                <w:szCs w:val="20"/>
                <w:lang w:val="en-GB"/>
              </w:rPr>
              <w:t>15%</w:t>
            </w:r>
          </w:p>
        </w:tc>
      </w:tr>
      <w:tr w:rsidR="006F69FA" w:rsidRPr="00397529" w14:paraId="2533F0AC" w14:textId="77777777" w:rsidTr="006F6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1" w:type="dxa"/>
            <w:tcBorders>
              <w:top w:val="single" w:sz="24" w:space="0" w:color="auto"/>
              <w:left w:val="single" w:sz="4" w:space="0" w:color="auto"/>
            </w:tcBorders>
          </w:tcPr>
          <w:p w14:paraId="5E99A580" w14:textId="77777777" w:rsidR="008F2EA8" w:rsidRPr="00397529" w:rsidRDefault="008F2EA8" w:rsidP="00CB0A62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15%</w:t>
            </w:r>
          </w:p>
        </w:tc>
        <w:tc>
          <w:tcPr>
            <w:tcW w:w="1177" w:type="dxa"/>
            <w:tcBorders>
              <w:top w:val="single" w:sz="24" w:space="0" w:color="auto"/>
            </w:tcBorders>
          </w:tcPr>
          <w:p w14:paraId="476F0687" w14:textId="77777777" w:rsidR="008F2EA8" w:rsidRPr="00397529" w:rsidRDefault="008F2EA8" w:rsidP="00CB0A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1,100</w:t>
            </w:r>
          </w:p>
        </w:tc>
        <w:tc>
          <w:tcPr>
            <w:tcW w:w="1440" w:type="dxa"/>
            <w:tcBorders>
              <w:top w:val="single" w:sz="24" w:space="0" w:color="auto"/>
            </w:tcBorders>
          </w:tcPr>
          <w:p w14:paraId="095A3985" w14:textId="77777777" w:rsidR="008F2EA8" w:rsidRPr="00397529" w:rsidRDefault="008F2EA8" w:rsidP="00CB0A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220</w:t>
            </w:r>
          </w:p>
        </w:tc>
        <w:tc>
          <w:tcPr>
            <w:tcW w:w="1260" w:type="dxa"/>
            <w:tcBorders>
              <w:top w:val="single" w:sz="24" w:space="0" w:color="auto"/>
            </w:tcBorders>
          </w:tcPr>
          <w:p w14:paraId="655D59F0" w14:textId="77777777" w:rsidR="008F2EA8" w:rsidRPr="00397529" w:rsidRDefault="008F2EA8" w:rsidP="00CB0A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110</w:t>
            </w:r>
          </w:p>
        </w:tc>
        <w:tc>
          <w:tcPr>
            <w:tcW w:w="1265" w:type="dxa"/>
            <w:tcBorders>
              <w:top w:val="single" w:sz="24" w:space="0" w:color="auto"/>
            </w:tcBorders>
          </w:tcPr>
          <w:p w14:paraId="495035FC" w14:textId="77777777" w:rsidR="008F2EA8" w:rsidRPr="00397529" w:rsidRDefault="008F2EA8" w:rsidP="00CB0A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74</w:t>
            </w:r>
          </w:p>
        </w:tc>
      </w:tr>
      <w:tr w:rsidR="006F69FA" w:rsidRPr="00397529" w14:paraId="2FCA55C1" w14:textId="77777777" w:rsidTr="006F6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1" w:type="dxa"/>
            <w:tcBorders>
              <w:left w:val="single" w:sz="4" w:space="0" w:color="auto"/>
            </w:tcBorders>
          </w:tcPr>
          <w:p w14:paraId="54A4AE15" w14:textId="77777777" w:rsidR="008F2EA8" w:rsidRPr="00397529" w:rsidRDefault="008F2EA8" w:rsidP="00CB0A62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20%</w:t>
            </w:r>
          </w:p>
        </w:tc>
        <w:tc>
          <w:tcPr>
            <w:tcW w:w="1177" w:type="dxa"/>
          </w:tcPr>
          <w:p w14:paraId="4CB72CED" w14:textId="77777777" w:rsidR="008F2EA8" w:rsidRPr="00397529" w:rsidRDefault="008F2EA8" w:rsidP="00CB0A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700</w:t>
            </w:r>
          </w:p>
        </w:tc>
        <w:tc>
          <w:tcPr>
            <w:tcW w:w="1440" w:type="dxa"/>
          </w:tcPr>
          <w:p w14:paraId="2A435D03" w14:textId="77777777" w:rsidR="008F2EA8" w:rsidRPr="00397529" w:rsidRDefault="008F2EA8" w:rsidP="00CB0A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140</w:t>
            </w:r>
          </w:p>
        </w:tc>
        <w:tc>
          <w:tcPr>
            <w:tcW w:w="1260" w:type="dxa"/>
          </w:tcPr>
          <w:p w14:paraId="7553F88E" w14:textId="77777777" w:rsidR="008F2EA8" w:rsidRPr="00397529" w:rsidRDefault="008F2EA8" w:rsidP="00CB0A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70</w:t>
            </w:r>
          </w:p>
        </w:tc>
        <w:tc>
          <w:tcPr>
            <w:tcW w:w="1265" w:type="dxa"/>
          </w:tcPr>
          <w:p w14:paraId="31734FD4" w14:textId="77777777" w:rsidR="008F2EA8" w:rsidRPr="00397529" w:rsidRDefault="008F2EA8" w:rsidP="00CB0A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47</w:t>
            </w:r>
          </w:p>
        </w:tc>
      </w:tr>
      <w:tr w:rsidR="006F69FA" w:rsidRPr="00397529" w14:paraId="78E469AB" w14:textId="77777777" w:rsidTr="006F6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1" w:type="dxa"/>
            <w:tcBorders>
              <w:left w:val="single" w:sz="4" w:space="0" w:color="auto"/>
            </w:tcBorders>
          </w:tcPr>
          <w:p w14:paraId="00488982" w14:textId="77777777" w:rsidR="008F2EA8" w:rsidRPr="00397529" w:rsidRDefault="008F2EA8" w:rsidP="00CB0A62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25%</w:t>
            </w:r>
          </w:p>
        </w:tc>
        <w:tc>
          <w:tcPr>
            <w:tcW w:w="1177" w:type="dxa"/>
          </w:tcPr>
          <w:p w14:paraId="79D00322" w14:textId="77777777" w:rsidR="008F2EA8" w:rsidRPr="00397529" w:rsidRDefault="008F2EA8" w:rsidP="00CB0A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500</w:t>
            </w:r>
          </w:p>
        </w:tc>
        <w:tc>
          <w:tcPr>
            <w:tcW w:w="1440" w:type="dxa"/>
          </w:tcPr>
          <w:p w14:paraId="3C15376C" w14:textId="77777777" w:rsidR="008F2EA8" w:rsidRPr="00397529" w:rsidRDefault="008F2EA8" w:rsidP="00CB0A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100</w:t>
            </w:r>
          </w:p>
        </w:tc>
        <w:tc>
          <w:tcPr>
            <w:tcW w:w="1260" w:type="dxa"/>
          </w:tcPr>
          <w:p w14:paraId="14FC0D11" w14:textId="77777777" w:rsidR="008F2EA8" w:rsidRPr="00397529" w:rsidRDefault="008F2EA8" w:rsidP="00CB0A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50</w:t>
            </w:r>
          </w:p>
        </w:tc>
        <w:tc>
          <w:tcPr>
            <w:tcW w:w="1265" w:type="dxa"/>
          </w:tcPr>
          <w:p w14:paraId="248E0F0F" w14:textId="77777777" w:rsidR="008F2EA8" w:rsidRPr="00397529" w:rsidRDefault="008F2EA8" w:rsidP="00CB0A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34</w:t>
            </w:r>
          </w:p>
        </w:tc>
      </w:tr>
      <w:tr w:rsidR="006F69FA" w:rsidRPr="00397529" w14:paraId="6A6C6463" w14:textId="77777777" w:rsidTr="006F6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1" w:type="dxa"/>
            <w:tcBorders>
              <w:left w:val="single" w:sz="4" w:space="0" w:color="auto"/>
              <w:bottom w:val="single" w:sz="4" w:space="0" w:color="auto"/>
            </w:tcBorders>
          </w:tcPr>
          <w:p w14:paraId="6DB6C04D" w14:textId="77777777" w:rsidR="008F2EA8" w:rsidRPr="00397529" w:rsidRDefault="008F2EA8" w:rsidP="00CB0A62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50%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16FC3B7E" w14:textId="77777777" w:rsidR="008F2EA8" w:rsidRPr="00397529" w:rsidRDefault="008F2EA8" w:rsidP="00CB0A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300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5830B71" w14:textId="77777777" w:rsidR="008F2EA8" w:rsidRPr="00397529" w:rsidRDefault="008F2EA8" w:rsidP="00CB0A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60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F5AD081" w14:textId="77777777" w:rsidR="008F2EA8" w:rsidRPr="00397529" w:rsidRDefault="008F2EA8" w:rsidP="00CB0A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30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09FDD8A2" w14:textId="77777777" w:rsidR="008F2EA8" w:rsidRPr="00397529" w:rsidRDefault="008F2EA8" w:rsidP="00CB0A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20</w:t>
            </w:r>
          </w:p>
        </w:tc>
      </w:tr>
    </w:tbl>
    <w:p w14:paraId="46E5652A" w14:textId="67A2AE52" w:rsidR="008F2EA8" w:rsidRPr="00397529" w:rsidRDefault="00A641DF" w:rsidP="00631575">
      <w:pPr>
        <w:ind w:right="360"/>
        <w:jc w:val="both"/>
        <w:rPr>
          <w:rFonts w:ascii="Calibri" w:hAnsi="Calibri"/>
          <w:sz w:val="16"/>
          <w:szCs w:val="16"/>
          <w:lang w:val="en-GB"/>
        </w:rPr>
      </w:pPr>
      <w:r w:rsidRPr="00397529">
        <w:rPr>
          <w:rFonts w:ascii="Calibri" w:hAnsi="Calibri" w:cs="Arial"/>
          <w:sz w:val="16"/>
          <w:szCs w:val="16"/>
          <w:lang w:val="en-GB"/>
        </w:rPr>
        <w:t>Detects a within-</w:t>
      </w:r>
      <w:r w:rsidR="008F2EA8" w:rsidRPr="00397529">
        <w:rPr>
          <w:rFonts w:ascii="Calibri" w:hAnsi="Calibri" w:cs="Arial"/>
          <w:sz w:val="16"/>
          <w:szCs w:val="16"/>
          <w:lang w:val="en-GB"/>
        </w:rPr>
        <w:t xml:space="preserve">person change in </w:t>
      </w:r>
      <w:r w:rsidR="00397529">
        <w:rPr>
          <w:rFonts w:ascii="Calibri" w:hAnsi="Calibri" w:cs="Arial"/>
          <w:sz w:val="16"/>
          <w:szCs w:val="16"/>
          <w:lang w:val="en-GB"/>
        </w:rPr>
        <w:t>haemoglobin</w:t>
      </w:r>
      <w:r w:rsidR="008F2EA8" w:rsidRPr="00397529">
        <w:rPr>
          <w:rFonts w:ascii="Calibri" w:hAnsi="Calibri" w:cs="Arial"/>
          <w:sz w:val="16"/>
          <w:szCs w:val="16"/>
          <w:lang w:val="en-GB"/>
        </w:rPr>
        <w:t xml:space="preserve"> between Days 0 and 7 with 80% power, and a significance level of 0.05 (one-sided), assumes mean of 10 g/dL</w:t>
      </w:r>
      <w:r w:rsidR="001D092A" w:rsidRPr="00397529">
        <w:rPr>
          <w:rFonts w:ascii="Calibri" w:hAnsi="Calibri" w:cs="Arial"/>
          <w:sz w:val="16"/>
          <w:szCs w:val="16"/>
          <w:lang w:val="en-GB"/>
        </w:rPr>
        <w:t xml:space="preserve"> </w:t>
      </w:r>
      <w:r w:rsidR="00E27D42" w:rsidRPr="00397529">
        <w:rPr>
          <w:rFonts w:ascii="Calibri" w:hAnsi="Calibri" w:cs="Arial"/>
          <w:sz w:val="16"/>
          <w:szCs w:val="16"/>
          <w:lang w:val="en-GB"/>
        </w:rPr>
        <w:t>before treatment</w:t>
      </w:r>
      <w:r w:rsidR="008F2EA8" w:rsidRPr="00397529">
        <w:rPr>
          <w:rFonts w:ascii="Calibri" w:hAnsi="Calibri" w:cs="Arial"/>
          <w:sz w:val="16"/>
          <w:szCs w:val="16"/>
          <w:lang w:val="en-GB"/>
        </w:rPr>
        <w:t xml:space="preserve">, a standard deviation of </w:t>
      </w:r>
      <w:r w:rsidRPr="00397529">
        <w:rPr>
          <w:rFonts w:ascii="Calibri" w:hAnsi="Calibri" w:cs="Arial"/>
          <w:sz w:val="16"/>
          <w:szCs w:val="16"/>
          <w:lang w:val="en-GB"/>
        </w:rPr>
        <w:t>the within-</w:t>
      </w:r>
      <w:r w:rsidR="00473F4F" w:rsidRPr="00397529">
        <w:rPr>
          <w:rFonts w:ascii="Calibri" w:hAnsi="Calibri" w:cs="Arial"/>
          <w:sz w:val="16"/>
          <w:szCs w:val="16"/>
          <w:lang w:val="en-GB"/>
        </w:rPr>
        <w:t xml:space="preserve">person change in </w:t>
      </w:r>
      <w:r w:rsidR="00397529">
        <w:rPr>
          <w:rFonts w:ascii="Calibri" w:hAnsi="Calibri" w:cs="Arial"/>
          <w:sz w:val="16"/>
          <w:szCs w:val="16"/>
          <w:lang w:val="en-GB"/>
        </w:rPr>
        <w:t>haemoglobin</w:t>
      </w:r>
      <w:r w:rsidR="00473F4F" w:rsidRPr="00397529">
        <w:rPr>
          <w:rFonts w:ascii="Calibri" w:hAnsi="Calibri" w:cs="Arial"/>
          <w:sz w:val="16"/>
          <w:szCs w:val="16"/>
          <w:lang w:val="en-GB"/>
        </w:rPr>
        <w:t xml:space="preserve"> of </w:t>
      </w:r>
      <w:r w:rsidR="008F2EA8" w:rsidRPr="00397529">
        <w:rPr>
          <w:rFonts w:ascii="Calibri" w:hAnsi="Calibri" w:cs="Arial"/>
          <w:sz w:val="16"/>
          <w:szCs w:val="16"/>
          <w:lang w:val="en-GB"/>
        </w:rPr>
        <w:t>2 g/dL, and no loss to follow-up</w:t>
      </w:r>
    </w:p>
    <w:p w14:paraId="4623E128" w14:textId="647473C0" w:rsidR="00343FCC" w:rsidRPr="00397529" w:rsidRDefault="00343FCC" w:rsidP="00CB0A62">
      <w:pPr>
        <w:pStyle w:val="Heading2"/>
        <w:jc w:val="both"/>
        <w:rPr>
          <w:rFonts w:ascii="Calibri" w:hAnsi="Calibri"/>
          <w:b w:val="0"/>
          <w:color w:val="auto"/>
          <w:sz w:val="24"/>
          <w:szCs w:val="24"/>
          <w:u w:val="single"/>
          <w:lang w:val="en-GB"/>
        </w:rPr>
      </w:pPr>
      <w:r w:rsidRPr="00397529">
        <w:rPr>
          <w:rFonts w:ascii="Calibri" w:hAnsi="Calibri"/>
          <w:b w:val="0"/>
          <w:color w:val="auto"/>
          <w:sz w:val="24"/>
          <w:szCs w:val="24"/>
          <w:u w:val="single"/>
          <w:lang w:val="en-GB"/>
        </w:rPr>
        <w:t xml:space="preserve">For settings where </w:t>
      </w:r>
      <w:r w:rsidR="00D552D6" w:rsidRPr="00397529">
        <w:rPr>
          <w:rFonts w:ascii="Calibri" w:hAnsi="Calibri"/>
          <w:b w:val="0"/>
          <w:color w:val="auto"/>
          <w:sz w:val="24"/>
          <w:szCs w:val="24"/>
          <w:u w:val="single"/>
          <w:lang w:val="en-GB"/>
        </w:rPr>
        <w:t xml:space="preserve">the patient’s </w:t>
      </w:r>
      <w:r w:rsidRPr="00397529">
        <w:rPr>
          <w:rFonts w:ascii="Calibri" w:hAnsi="Calibri"/>
          <w:b w:val="0"/>
          <w:color w:val="auto"/>
          <w:sz w:val="24"/>
          <w:szCs w:val="24"/>
          <w:u w:val="single"/>
          <w:lang w:val="en-GB"/>
        </w:rPr>
        <w:t>G6PD status is known</w:t>
      </w:r>
      <w:r w:rsidR="00D552D6" w:rsidRPr="00397529">
        <w:rPr>
          <w:rFonts w:ascii="Calibri" w:hAnsi="Calibri"/>
          <w:b w:val="0"/>
          <w:color w:val="auto"/>
          <w:sz w:val="24"/>
          <w:szCs w:val="24"/>
          <w:u w:val="single"/>
          <w:lang w:val="en-GB"/>
        </w:rPr>
        <w:t xml:space="preserve"> prior to treatment with primaquine</w:t>
      </w:r>
      <w:r w:rsidRPr="00397529">
        <w:rPr>
          <w:rFonts w:ascii="Calibri" w:hAnsi="Calibri"/>
          <w:b w:val="0"/>
          <w:color w:val="auto"/>
          <w:sz w:val="24"/>
          <w:szCs w:val="24"/>
          <w:u w:val="single"/>
          <w:lang w:val="en-GB"/>
        </w:rPr>
        <w:t xml:space="preserve"> with 25% loss to follow-up</w:t>
      </w:r>
      <w:r w:rsidR="00D552D6" w:rsidRPr="00397529">
        <w:rPr>
          <w:rFonts w:ascii="Calibri" w:hAnsi="Calibri"/>
          <w:b w:val="0"/>
          <w:color w:val="auto"/>
          <w:sz w:val="24"/>
          <w:szCs w:val="24"/>
          <w:u w:val="single"/>
          <w:lang w:val="en-GB"/>
        </w:rPr>
        <w:t>:</w:t>
      </w:r>
    </w:p>
    <w:p w14:paraId="5E497910" w14:textId="77777777" w:rsidR="00E773DD" w:rsidRPr="00397529" w:rsidRDefault="00E773DD" w:rsidP="00E773DD">
      <w:pPr>
        <w:jc w:val="both"/>
        <w:rPr>
          <w:rFonts w:ascii="Calibri" w:hAnsi="Calibri"/>
          <w:lang w:val="en-GB"/>
        </w:rPr>
      </w:pPr>
    </w:p>
    <w:p w14:paraId="00D810CF" w14:textId="70DB3247" w:rsidR="00E773DD" w:rsidRPr="00397529" w:rsidRDefault="00E773DD" w:rsidP="00E773DD">
      <w:pPr>
        <w:jc w:val="both"/>
        <w:rPr>
          <w:rFonts w:ascii="Calibri" w:hAnsi="Calibri"/>
          <w:lang w:val="en-GB"/>
        </w:rPr>
      </w:pPr>
      <w:r w:rsidRPr="00397529">
        <w:rPr>
          <w:rFonts w:ascii="Calibri" w:hAnsi="Calibri"/>
          <w:lang w:val="en-GB"/>
        </w:rPr>
        <w:t xml:space="preserve">One further consideration might be the loss to follow-up of individuals who are treated with </w:t>
      </w:r>
      <w:r w:rsidR="0033203A" w:rsidRPr="00397529">
        <w:rPr>
          <w:rFonts w:ascii="Calibri" w:hAnsi="Calibri"/>
          <w:lang w:val="en-GB"/>
        </w:rPr>
        <w:t>p</w:t>
      </w:r>
      <w:r w:rsidRPr="00397529">
        <w:rPr>
          <w:rFonts w:ascii="Calibri" w:hAnsi="Calibri"/>
          <w:lang w:val="en-GB"/>
        </w:rPr>
        <w:t xml:space="preserve">rimaquine. </w:t>
      </w:r>
      <w:r w:rsidR="00A127E5" w:rsidRPr="00397529">
        <w:rPr>
          <w:rFonts w:ascii="Calibri" w:hAnsi="Calibri"/>
          <w:lang w:val="en-GB"/>
        </w:rPr>
        <w:t xml:space="preserve">It may not be reasonable to expect that </w:t>
      </w:r>
      <w:r w:rsidRPr="00397529">
        <w:rPr>
          <w:rFonts w:ascii="Calibri" w:hAnsi="Calibri"/>
          <w:lang w:val="en-GB"/>
        </w:rPr>
        <w:t xml:space="preserve">all people who are treated with primaquine will return 7 days later for </w:t>
      </w:r>
      <w:r w:rsidR="007C4FC8" w:rsidRPr="00397529">
        <w:rPr>
          <w:rFonts w:ascii="Calibri" w:hAnsi="Calibri"/>
          <w:lang w:val="en-GB"/>
        </w:rPr>
        <w:t>a</w:t>
      </w:r>
      <w:r w:rsidRPr="00397529">
        <w:rPr>
          <w:rFonts w:ascii="Calibri" w:hAnsi="Calibri"/>
          <w:lang w:val="en-GB"/>
        </w:rPr>
        <w:t xml:space="preserve"> post-treatment </w:t>
      </w:r>
      <w:r w:rsidR="00397529">
        <w:rPr>
          <w:rFonts w:ascii="Calibri" w:hAnsi="Calibri"/>
          <w:lang w:val="en-GB"/>
        </w:rPr>
        <w:t>haemoglobin</w:t>
      </w:r>
      <w:r w:rsidRPr="00397529">
        <w:rPr>
          <w:rFonts w:ascii="Calibri" w:hAnsi="Calibri"/>
          <w:lang w:val="en-GB"/>
        </w:rPr>
        <w:t xml:space="preserve"> measurement. Using the example above, if we assume that the program will lose up to 25% of individuals between </w:t>
      </w:r>
      <w:r w:rsidR="007C4FC8" w:rsidRPr="00397529">
        <w:rPr>
          <w:rFonts w:ascii="Calibri" w:hAnsi="Calibri"/>
          <w:lang w:val="en-GB"/>
        </w:rPr>
        <w:t xml:space="preserve">the time of </w:t>
      </w:r>
      <w:r w:rsidRPr="00397529">
        <w:rPr>
          <w:rFonts w:ascii="Calibri" w:hAnsi="Calibri"/>
          <w:lang w:val="en-GB"/>
        </w:rPr>
        <w:t xml:space="preserve">treatment and the </w:t>
      </w:r>
      <w:r w:rsidR="007C4FC8" w:rsidRPr="00397529">
        <w:rPr>
          <w:rFonts w:ascii="Calibri" w:hAnsi="Calibri"/>
          <w:lang w:val="en-GB"/>
        </w:rPr>
        <w:t xml:space="preserve">time of their </w:t>
      </w:r>
      <w:r w:rsidRPr="00397529">
        <w:rPr>
          <w:rFonts w:ascii="Calibri" w:hAnsi="Calibri"/>
          <w:lang w:val="en-GB"/>
        </w:rPr>
        <w:t xml:space="preserve">follow-up </w:t>
      </w:r>
      <w:r w:rsidR="00397529">
        <w:rPr>
          <w:rFonts w:ascii="Calibri" w:hAnsi="Calibri"/>
          <w:lang w:val="en-GB"/>
        </w:rPr>
        <w:t>haemoglobin</w:t>
      </w:r>
      <w:r w:rsidRPr="00397529">
        <w:rPr>
          <w:rFonts w:ascii="Calibri" w:hAnsi="Calibri"/>
          <w:lang w:val="en-GB"/>
        </w:rPr>
        <w:t xml:space="preserve"> measurement, programs may want to treat and evaluate an additional 25% of people. For example, if the program plans to measure the change in </w:t>
      </w:r>
      <w:r w:rsidR="00397529">
        <w:rPr>
          <w:rFonts w:ascii="Calibri" w:hAnsi="Calibri"/>
          <w:lang w:val="en-GB"/>
        </w:rPr>
        <w:t>haemoglobin</w:t>
      </w:r>
      <w:r w:rsidRPr="00397529">
        <w:rPr>
          <w:rFonts w:ascii="Calibri" w:hAnsi="Calibri"/>
          <w:lang w:val="en-GB"/>
        </w:rPr>
        <w:t xml:space="preserve"> in at least 5 G6PD-deficient individuals before and after treatment with primaquine, the program would want to treat 7 individuals to ensure that 5 have both a pre- and post-treatment </w:t>
      </w:r>
      <w:r w:rsidR="00397529">
        <w:rPr>
          <w:rFonts w:ascii="Calibri" w:hAnsi="Calibri"/>
          <w:lang w:val="en-GB"/>
        </w:rPr>
        <w:t>haemoglobin</w:t>
      </w:r>
      <w:r w:rsidRPr="00397529">
        <w:rPr>
          <w:rFonts w:ascii="Calibri" w:hAnsi="Calibri"/>
          <w:lang w:val="en-GB"/>
        </w:rPr>
        <w:t xml:space="preserve"> measurement. The numbers in </w:t>
      </w:r>
      <w:r w:rsidRPr="00397529">
        <w:rPr>
          <w:rFonts w:ascii="Calibri" w:hAnsi="Calibri"/>
          <w:b/>
          <w:lang w:val="en-GB"/>
        </w:rPr>
        <w:t>Table S3</w:t>
      </w:r>
      <w:r w:rsidRPr="00397529">
        <w:rPr>
          <w:rFonts w:ascii="Calibri" w:hAnsi="Calibri"/>
          <w:lang w:val="en-GB"/>
        </w:rPr>
        <w:t xml:space="preserve"> are derived by dividing the number </w:t>
      </w:r>
      <w:r w:rsidR="00A127E5" w:rsidRPr="00397529">
        <w:rPr>
          <w:rFonts w:ascii="Calibri" w:hAnsi="Calibri"/>
          <w:lang w:val="en-GB"/>
        </w:rPr>
        <w:t xml:space="preserve">of individuals </w:t>
      </w:r>
      <w:r w:rsidRPr="00397529">
        <w:rPr>
          <w:rFonts w:ascii="Calibri" w:hAnsi="Calibri"/>
          <w:lang w:val="en-GB"/>
        </w:rPr>
        <w:t>needed by 1 minus the estimated loss to follow-up</w:t>
      </w:r>
      <w:r w:rsidR="00A127E5" w:rsidRPr="00397529">
        <w:rPr>
          <w:rFonts w:ascii="Calibri" w:hAnsi="Calibri"/>
          <w:lang w:val="en-GB"/>
        </w:rPr>
        <w:t>. F</w:t>
      </w:r>
      <w:r w:rsidR="002229D5" w:rsidRPr="00397529">
        <w:rPr>
          <w:rFonts w:ascii="Calibri" w:hAnsi="Calibri"/>
          <w:lang w:val="en-GB"/>
        </w:rPr>
        <w:t xml:space="preserve">or example, </w:t>
      </w:r>
      <w:r w:rsidRPr="00397529">
        <w:rPr>
          <w:rFonts w:ascii="Calibri" w:hAnsi="Calibri"/>
          <w:lang w:val="en-GB"/>
        </w:rPr>
        <w:t xml:space="preserve">5/(1-0.25) </w:t>
      </w:r>
      <w:r w:rsidR="00A127E5" w:rsidRPr="00397529">
        <w:rPr>
          <w:rFonts w:ascii="Calibri" w:hAnsi="Calibri"/>
          <w:lang w:val="en-GB"/>
        </w:rPr>
        <w:t>=</w:t>
      </w:r>
      <w:r w:rsidRPr="00397529">
        <w:rPr>
          <w:rFonts w:ascii="Calibri" w:hAnsi="Calibri"/>
          <w:lang w:val="en-GB"/>
        </w:rPr>
        <w:t xml:space="preserve"> 6.7, or 7</w:t>
      </w:r>
      <w:r w:rsidR="007155CC" w:rsidRPr="00397529">
        <w:rPr>
          <w:rFonts w:ascii="Calibri" w:hAnsi="Calibri"/>
          <w:lang w:val="en-GB"/>
        </w:rPr>
        <w:t xml:space="preserve"> </w:t>
      </w:r>
      <w:r w:rsidR="00E27D42" w:rsidRPr="00397529">
        <w:rPr>
          <w:rFonts w:ascii="Calibri" w:hAnsi="Calibri"/>
          <w:lang w:val="en-GB"/>
        </w:rPr>
        <w:t>G6PD-</w:t>
      </w:r>
      <w:r w:rsidR="002229D5" w:rsidRPr="00397529">
        <w:rPr>
          <w:rFonts w:ascii="Calibri" w:hAnsi="Calibri"/>
          <w:lang w:val="en-GB"/>
        </w:rPr>
        <w:t xml:space="preserve">deficient </w:t>
      </w:r>
      <w:r w:rsidR="007155CC" w:rsidRPr="00397529">
        <w:rPr>
          <w:rFonts w:ascii="Calibri" w:hAnsi="Calibri"/>
          <w:lang w:val="en-GB"/>
        </w:rPr>
        <w:t>individuals</w:t>
      </w:r>
      <w:r w:rsidRPr="00397529">
        <w:rPr>
          <w:rFonts w:ascii="Calibri" w:hAnsi="Calibri"/>
          <w:lang w:val="en-GB"/>
        </w:rPr>
        <w:t xml:space="preserve">. </w:t>
      </w:r>
      <w:r w:rsidR="002229D5" w:rsidRPr="00397529">
        <w:rPr>
          <w:rFonts w:ascii="Calibri" w:hAnsi="Calibri"/>
          <w:lang w:val="en-GB"/>
        </w:rPr>
        <w:t xml:space="preserve">Similar calculations are done in </w:t>
      </w:r>
      <w:r w:rsidR="002229D5" w:rsidRPr="00397529">
        <w:rPr>
          <w:rFonts w:ascii="Calibri" w:hAnsi="Calibri"/>
          <w:b/>
          <w:lang w:val="en-GB"/>
        </w:rPr>
        <w:t>Table S4</w:t>
      </w:r>
      <w:r w:rsidR="002229D5" w:rsidRPr="00397529">
        <w:rPr>
          <w:rFonts w:ascii="Calibri" w:hAnsi="Calibri"/>
          <w:lang w:val="en-GB"/>
        </w:rPr>
        <w:t xml:space="preserve"> for settings where G6PD status is unknown. </w:t>
      </w:r>
    </w:p>
    <w:p w14:paraId="14266E06" w14:textId="77777777" w:rsidR="00E773DD" w:rsidRPr="00397529" w:rsidRDefault="00E773DD" w:rsidP="00E773DD">
      <w:pPr>
        <w:jc w:val="both"/>
        <w:rPr>
          <w:rFonts w:ascii="Calibri" w:hAnsi="Calibri"/>
          <w:lang w:val="en-GB"/>
        </w:rPr>
      </w:pPr>
    </w:p>
    <w:p w14:paraId="2A8B97DA" w14:textId="325BA8D5" w:rsidR="00940395" w:rsidRPr="00397529" w:rsidRDefault="008F2EA8" w:rsidP="00CB0A62">
      <w:pPr>
        <w:jc w:val="both"/>
        <w:rPr>
          <w:rFonts w:ascii="Calibri" w:hAnsi="Calibri" w:cs="Arial"/>
          <w:lang w:val="en-GB"/>
        </w:rPr>
      </w:pPr>
      <w:r w:rsidRPr="00397529">
        <w:rPr>
          <w:rFonts w:ascii="Calibri" w:hAnsi="Calibri" w:cs="Arial"/>
          <w:b/>
          <w:lang w:val="en-GB"/>
        </w:rPr>
        <w:t>Table S3</w:t>
      </w:r>
      <w:r w:rsidR="00940395" w:rsidRPr="00397529">
        <w:rPr>
          <w:rFonts w:ascii="Calibri" w:hAnsi="Calibri" w:cs="Arial"/>
          <w:b/>
          <w:lang w:val="en-GB"/>
        </w:rPr>
        <w:t xml:space="preserve">. </w:t>
      </w:r>
      <w:r w:rsidR="00E27D42" w:rsidRPr="00397529">
        <w:rPr>
          <w:rFonts w:ascii="Calibri" w:hAnsi="Calibri" w:cs="Arial"/>
          <w:lang w:val="en-GB"/>
        </w:rPr>
        <w:t>Number of persons needed</w:t>
      </w:r>
      <w:r w:rsidR="00940395" w:rsidRPr="00397529">
        <w:rPr>
          <w:rFonts w:ascii="Calibri" w:hAnsi="Calibri" w:cs="Arial"/>
          <w:lang w:val="en-GB"/>
        </w:rPr>
        <w:t xml:space="preserve"> to treat to have sufficient power to detect a given </w:t>
      </w:r>
      <w:r w:rsidR="00E27D42" w:rsidRPr="00397529">
        <w:rPr>
          <w:rFonts w:ascii="Calibri" w:hAnsi="Calibri" w:cs="Arial"/>
          <w:lang w:val="en-GB"/>
        </w:rPr>
        <w:t xml:space="preserve">within-person </w:t>
      </w:r>
      <w:proofErr w:type="spellStart"/>
      <w:r w:rsidR="00940395" w:rsidRPr="00397529">
        <w:rPr>
          <w:rFonts w:ascii="Calibri" w:hAnsi="Calibri" w:cs="Arial"/>
          <w:lang w:val="en-GB"/>
        </w:rPr>
        <w:t>percent</w:t>
      </w:r>
      <w:proofErr w:type="spellEnd"/>
      <w:r w:rsidR="00940395" w:rsidRPr="00397529">
        <w:rPr>
          <w:rFonts w:ascii="Calibri" w:hAnsi="Calibri" w:cs="Arial"/>
          <w:lang w:val="en-GB"/>
        </w:rPr>
        <w:t xml:space="preserve"> reduction in </w:t>
      </w:r>
      <w:r w:rsidR="00397529">
        <w:rPr>
          <w:rFonts w:ascii="Calibri" w:hAnsi="Calibri" w:cs="Arial"/>
          <w:lang w:val="en-GB"/>
        </w:rPr>
        <w:t>haemoglobin</w:t>
      </w:r>
      <w:r w:rsidR="000C5697" w:rsidRPr="00397529">
        <w:rPr>
          <w:rFonts w:ascii="Calibri" w:hAnsi="Calibri" w:cs="Arial"/>
          <w:lang w:val="en-GB"/>
        </w:rPr>
        <w:t xml:space="preserve"> assuming</w:t>
      </w:r>
      <w:r w:rsidR="004323B7" w:rsidRPr="00397529">
        <w:rPr>
          <w:rFonts w:ascii="Calibri" w:hAnsi="Calibri" w:cs="Arial"/>
          <w:lang w:val="en-GB"/>
        </w:rPr>
        <w:t xml:space="preserve"> 25%</w:t>
      </w:r>
      <w:r w:rsidR="000C5697" w:rsidRPr="00397529">
        <w:rPr>
          <w:rFonts w:ascii="Calibri" w:hAnsi="Calibri" w:cs="Arial"/>
          <w:lang w:val="en-GB"/>
        </w:rPr>
        <w:t xml:space="preserve"> loss to follow-up </w:t>
      </w:r>
    </w:p>
    <w:p w14:paraId="6900D463" w14:textId="77777777" w:rsidR="006F69FA" w:rsidRPr="00397529" w:rsidRDefault="006F69FA" w:rsidP="00CB0A62">
      <w:pPr>
        <w:jc w:val="both"/>
        <w:rPr>
          <w:rFonts w:ascii="Calibri" w:hAnsi="Calibri" w:cs="Arial"/>
          <w:b/>
          <w:sz w:val="20"/>
          <w:szCs w:val="20"/>
          <w:lang w:val="en-GB"/>
        </w:rPr>
      </w:pPr>
    </w:p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4968"/>
        <w:gridCol w:w="4140"/>
      </w:tblGrid>
      <w:tr w:rsidR="0009600A" w:rsidRPr="00397529" w14:paraId="301A8CB0" w14:textId="77777777" w:rsidTr="00096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68" w:type="dxa"/>
            <w:tcBorders>
              <w:right w:val="single" w:sz="4" w:space="0" w:color="auto"/>
            </w:tcBorders>
          </w:tcPr>
          <w:p w14:paraId="22A5854D" w14:textId="299071CE" w:rsidR="0009600A" w:rsidRPr="00397529" w:rsidRDefault="0009600A" w:rsidP="0009600A">
            <w:pPr>
              <w:tabs>
                <w:tab w:val="left" w:pos="5742"/>
              </w:tabs>
              <w:ind w:right="-18"/>
              <w:jc w:val="both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 xml:space="preserve">Minimum </w:t>
            </w:r>
            <w:proofErr w:type="spellStart"/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percent</w:t>
            </w:r>
            <w:proofErr w:type="spellEnd"/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 xml:space="preserve"> reduction in </w:t>
            </w:r>
            <w:r w:rsidR="00397529">
              <w:rPr>
                <w:rFonts w:ascii="Calibri" w:hAnsi="Calibri"/>
                <w:sz w:val="20"/>
                <w:szCs w:val="20"/>
                <w:lang w:val="en-GB"/>
              </w:rPr>
              <w:t>haemoglobin</w:t>
            </w: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 xml:space="preserve"> that you want to be able to detect after treatment with primaquine 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14:paraId="42F79BA3" w14:textId="77777777" w:rsidR="0009600A" w:rsidRPr="00397529" w:rsidRDefault="0009600A" w:rsidP="0009600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Number of G6PD-deficient persons needed to treat</w:t>
            </w:r>
          </w:p>
        </w:tc>
      </w:tr>
      <w:tr w:rsidR="0009600A" w:rsidRPr="00397529" w14:paraId="4533F087" w14:textId="77777777" w:rsidTr="0009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left w:val="single" w:sz="4" w:space="0" w:color="auto"/>
            </w:tcBorders>
          </w:tcPr>
          <w:p w14:paraId="059418ED" w14:textId="77777777" w:rsidR="0009600A" w:rsidRPr="00397529" w:rsidRDefault="0009600A" w:rsidP="0009600A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15%</w:t>
            </w:r>
          </w:p>
        </w:tc>
        <w:tc>
          <w:tcPr>
            <w:tcW w:w="4140" w:type="dxa"/>
          </w:tcPr>
          <w:p w14:paraId="1D8CFF89" w14:textId="49B209D1" w:rsidR="0009600A" w:rsidRPr="00397529" w:rsidRDefault="0009600A" w:rsidP="000960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15</w:t>
            </w:r>
          </w:p>
        </w:tc>
      </w:tr>
      <w:tr w:rsidR="0009600A" w:rsidRPr="00397529" w14:paraId="7C7B3C61" w14:textId="77777777" w:rsidTr="000960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left w:val="single" w:sz="4" w:space="0" w:color="auto"/>
            </w:tcBorders>
          </w:tcPr>
          <w:p w14:paraId="749F4900" w14:textId="77777777" w:rsidR="0009600A" w:rsidRPr="00397529" w:rsidRDefault="0009600A" w:rsidP="0009600A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20%</w:t>
            </w:r>
          </w:p>
        </w:tc>
        <w:tc>
          <w:tcPr>
            <w:tcW w:w="4140" w:type="dxa"/>
          </w:tcPr>
          <w:p w14:paraId="1DC07CAA" w14:textId="0CCC6377" w:rsidR="0009600A" w:rsidRPr="00397529" w:rsidRDefault="0009600A" w:rsidP="000960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10</w:t>
            </w:r>
          </w:p>
        </w:tc>
      </w:tr>
      <w:tr w:rsidR="0009600A" w:rsidRPr="00397529" w14:paraId="1045624B" w14:textId="77777777" w:rsidTr="0009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left w:val="single" w:sz="4" w:space="0" w:color="auto"/>
            </w:tcBorders>
          </w:tcPr>
          <w:p w14:paraId="1EC83F0A" w14:textId="77777777" w:rsidR="0009600A" w:rsidRPr="00397529" w:rsidRDefault="0009600A" w:rsidP="0009600A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25%</w:t>
            </w:r>
          </w:p>
        </w:tc>
        <w:tc>
          <w:tcPr>
            <w:tcW w:w="4140" w:type="dxa"/>
          </w:tcPr>
          <w:p w14:paraId="03272865" w14:textId="4CC94B5F" w:rsidR="0009600A" w:rsidRPr="00397529" w:rsidRDefault="0009600A" w:rsidP="000960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7</w:t>
            </w:r>
          </w:p>
        </w:tc>
      </w:tr>
      <w:tr w:rsidR="0009600A" w:rsidRPr="00397529" w14:paraId="33625DE4" w14:textId="77777777" w:rsidTr="000960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left w:val="single" w:sz="4" w:space="0" w:color="auto"/>
              <w:bottom w:val="single" w:sz="4" w:space="0" w:color="auto"/>
            </w:tcBorders>
          </w:tcPr>
          <w:p w14:paraId="50D8822F" w14:textId="77777777" w:rsidR="0009600A" w:rsidRPr="00397529" w:rsidRDefault="0009600A" w:rsidP="0009600A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50%</w:t>
            </w:r>
          </w:p>
        </w:tc>
        <w:tc>
          <w:tcPr>
            <w:tcW w:w="4140" w:type="dxa"/>
          </w:tcPr>
          <w:p w14:paraId="1D0712A1" w14:textId="57521054" w:rsidR="0009600A" w:rsidRPr="00397529" w:rsidRDefault="0009600A" w:rsidP="000960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4</w:t>
            </w:r>
          </w:p>
        </w:tc>
      </w:tr>
    </w:tbl>
    <w:p w14:paraId="5FB8BE88" w14:textId="61EB423B" w:rsidR="0009600A" w:rsidRPr="00397529" w:rsidRDefault="00A641DF" w:rsidP="0009600A">
      <w:pPr>
        <w:ind w:right="360"/>
        <w:jc w:val="both"/>
        <w:rPr>
          <w:rFonts w:ascii="Calibri" w:hAnsi="Calibri" w:cs="Arial"/>
          <w:sz w:val="16"/>
          <w:szCs w:val="16"/>
          <w:lang w:val="en-GB"/>
        </w:rPr>
      </w:pPr>
      <w:r w:rsidRPr="00397529">
        <w:rPr>
          <w:rFonts w:ascii="Calibri" w:hAnsi="Calibri" w:cs="Arial"/>
          <w:sz w:val="16"/>
          <w:szCs w:val="16"/>
          <w:lang w:val="en-GB"/>
        </w:rPr>
        <w:t>Detects a within-</w:t>
      </w:r>
      <w:r w:rsidR="0009600A" w:rsidRPr="00397529">
        <w:rPr>
          <w:rFonts w:ascii="Calibri" w:hAnsi="Calibri" w:cs="Arial"/>
          <w:sz w:val="16"/>
          <w:szCs w:val="16"/>
          <w:lang w:val="en-GB"/>
        </w:rPr>
        <w:t xml:space="preserve">person change in </w:t>
      </w:r>
      <w:r w:rsidR="00397529">
        <w:rPr>
          <w:rFonts w:ascii="Calibri" w:hAnsi="Calibri" w:cs="Arial"/>
          <w:sz w:val="16"/>
          <w:szCs w:val="16"/>
          <w:lang w:val="en-GB"/>
        </w:rPr>
        <w:t>haemoglobin</w:t>
      </w:r>
      <w:r w:rsidR="0009600A" w:rsidRPr="00397529">
        <w:rPr>
          <w:rFonts w:ascii="Calibri" w:hAnsi="Calibri" w:cs="Arial"/>
          <w:sz w:val="16"/>
          <w:szCs w:val="16"/>
          <w:lang w:val="en-GB"/>
        </w:rPr>
        <w:t xml:space="preserve"> between Days 0 and 7 with 80% power, and a significance level of 0.05 (one-sided), assumes mean of 10 g/dL before treatment, a s</w:t>
      </w:r>
      <w:r w:rsidRPr="00397529">
        <w:rPr>
          <w:rFonts w:ascii="Calibri" w:hAnsi="Calibri" w:cs="Arial"/>
          <w:sz w:val="16"/>
          <w:szCs w:val="16"/>
          <w:lang w:val="en-GB"/>
        </w:rPr>
        <w:t>tandard deviation of the within-</w:t>
      </w:r>
      <w:r w:rsidR="0009600A" w:rsidRPr="00397529">
        <w:rPr>
          <w:rFonts w:ascii="Calibri" w:hAnsi="Calibri" w:cs="Arial"/>
          <w:sz w:val="16"/>
          <w:szCs w:val="16"/>
          <w:lang w:val="en-GB"/>
        </w:rPr>
        <w:t xml:space="preserve">person change in </w:t>
      </w:r>
      <w:r w:rsidR="00397529">
        <w:rPr>
          <w:rFonts w:ascii="Calibri" w:hAnsi="Calibri" w:cs="Arial"/>
          <w:sz w:val="16"/>
          <w:szCs w:val="16"/>
          <w:lang w:val="en-GB"/>
        </w:rPr>
        <w:t>haemoglobin</w:t>
      </w:r>
      <w:r w:rsidR="0009600A" w:rsidRPr="00397529">
        <w:rPr>
          <w:rFonts w:ascii="Calibri" w:hAnsi="Calibri" w:cs="Arial"/>
          <w:sz w:val="16"/>
          <w:szCs w:val="16"/>
          <w:lang w:val="en-GB"/>
        </w:rPr>
        <w:t xml:space="preserve"> of 2 g/dL, and up to 25% loss to follow-up</w:t>
      </w:r>
    </w:p>
    <w:p w14:paraId="2C5A9CF0" w14:textId="137617D0" w:rsidR="003468F9" w:rsidRPr="00397529" w:rsidRDefault="003468F9" w:rsidP="00CB0A62">
      <w:pPr>
        <w:pStyle w:val="Heading2"/>
        <w:jc w:val="both"/>
        <w:rPr>
          <w:rFonts w:ascii="Calibri" w:hAnsi="Calibri"/>
          <w:b w:val="0"/>
          <w:color w:val="auto"/>
          <w:sz w:val="24"/>
          <w:szCs w:val="24"/>
          <w:u w:val="single"/>
          <w:lang w:val="en-GB"/>
        </w:rPr>
      </w:pPr>
      <w:r w:rsidRPr="00397529">
        <w:rPr>
          <w:rFonts w:ascii="Calibri" w:hAnsi="Calibri"/>
          <w:b w:val="0"/>
          <w:color w:val="auto"/>
          <w:sz w:val="24"/>
          <w:szCs w:val="24"/>
          <w:u w:val="single"/>
          <w:lang w:val="en-GB"/>
        </w:rPr>
        <w:t xml:space="preserve">For settings where </w:t>
      </w:r>
      <w:r w:rsidR="00D552D6" w:rsidRPr="00397529">
        <w:rPr>
          <w:rFonts w:ascii="Calibri" w:hAnsi="Calibri"/>
          <w:b w:val="0"/>
          <w:color w:val="auto"/>
          <w:sz w:val="24"/>
          <w:szCs w:val="24"/>
          <w:u w:val="single"/>
          <w:lang w:val="en-GB"/>
        </w:rPr>
        <w:t xml:space="preserve">the patient’s </w:t>
      </w:r>
      <w:r w:rsidRPr="00397529">
        <w:rPr>
          <w:rFonts w:ascii="Calibri" w:hAnsi="Calibri"/>
          <w:b w:val="0"/>
          <w:color w:val="auto"/>
          <w:sz w:val="24"/>
          <w:szCs w:val="24"/>
          <w:u w:val="single"/>
          <w:lang w:val="en-GB"/>
        </w:rPr>
        <w:t>G6PD status is unknown</w:t>
      </w:r>
      <w:r w:rsidR="00D552D6" w:rsidRPr="00397529">
        <w:rPr>
          <w:rFonts w:ascii="Calibri" w:hAnsi="Calibri"/>
          <w:b w:val="0"/>
          <w:color w:val="auto"/>
          <w:sz w:val="24"/>
          <w:szCs w:val="24"/>
          <w:u w:val="single"/>
          <w:lang w:val="en-GB"/>
        </w:rPr>
        <w:t xml:space="preserve"> prior to treatment with primaquine with 25% loss to follow-up:</w:t>
      </w:r>
    </w:p>
    <w:p w14:paraId="2B436414" w14:textId="77777777" w:rsidR="00940395" w:rsidRPr="00397529" w:rsidRDefault="00940395" w:rsidP="00CB0A62">
      <w:pPr>
        <w:jc w:val="both"/>
        <w:rPr>
          <w:rFonts w:ascii="Calibri" w:hAnsi="Calibri" w:cs="Arial"/>
          <w:b/>
          <w:lang w:val="en-GB"/>
        </w:rPr>
      </w:pPr>
    </w:p>
    <w:p w14:paraId="37E954DE" w14:textId="7CDA09A1" w:rsidR="0009600A" w:rsidRPr="00397529" w:rsidRDefault="008F2EA8" w:rsidP="00CB0A62">
      <w:pPr>
        <w:jc w:val="both"/>
        <w:rPr>
          <w:rFonts w:ascii="Calibri" w:hAnsi="Calibri" w:cs="Arial"/>
          <w:b/>
          <w:lang w:val="en-GB"/>
        </w:rPr>
      </w:pPr>
      <w:r w:rsidRPr="00397529">
        <w:rPr>
          <w:rFonts w:ascii="Calibri" w:hAnsi="Calibri" w:cs="Arial"/>
          <w:b/>
          <w:lang w:val="en-GB"/>
        </w:rPr>
        <w:t>Table S4</w:t>
      </w:r>
      <w:r w:rsidR="00940395" w:rsidRPr="00397529">
        <w:rPr>
          <w:rFonts w:ascii="Calibri" w:hAnsi="Calibri" w:cs="Arial"/>
          <w:b/>
          <w:lang w:val="en-GB"/>
        </w:rPr>
        <w:t xml:space="preserve">. </w:t>
      </w:r>
      <w:r w:rsidR="00E27D42" w:rsidRPr="00397529">
        <w:rPr>
          <w:rFonts w:ascii="Calibri" w:hAnsi="Calibri" w:cs="Arial"/>
          <w:lang w:val="en-GB"/>
        </w:rPr>
        <w:t>Number of</w:t>
      </w:r>
      <w:r w:rsidR="00940395" w:rsidRPr="00397529">
        <w:rPr>
          <w:rFonts w:ascii="Calibri" w:hAnsi="Calibri" w:cs="Arial"/>
          <w:lang w:val="en-GB"/>
        </w:rPr>
        <w:t xml:space="preserve"> persons needed to treat to have sufficient power to detect a given</w:t>
      </w:r>
      <w:r w:rsidR="00E27D42" w:rsidRPr="00397529">
        <w:rPr>
          <w:rFonts w:ascii="Calibri" w:hAnsi="Calibri" w:cs="Arial"/>
          <w:lang w:val="en-GB"/>
        </w:rPr>
        <w:t xml:space="preserve"> within-person</w:t>
      </w:r>
      <w:r w:rsidR="00940395" w:rsidRPr="00397529">
        <w:rPr>
          <w:rFonts w:ascii="Calibri" w:hAnsi="Calibri" w:cs="Arial"/>
          <w:lang w:val="en-GB"/>
        </w:rPr>
        <w:t xml:space="preserve"> </w:t>
      </w:r>
      <w:proofErr w:type="spellStart"/>
      <w:r w:rsidR="00940395" w:rsidRPr="00397529">
        <w:rPr>
          <w:rFonts w:ascii="Calibri" w:hAnsi="Calibri" w:cs="Arial"/>
          <w:lang w:val="en-GB"/>
        </w:rPr>
        <w:t>percent</w:t>
      </w:r>
      <w:proofErr w:type="spellEnd"/>
      <w:r w:rsidR="00940395" w:rsidRPr="00397529">
        <w:rPr>
          <w:rFonts w:ascii="Calibri" w:hAnsi="Calibri" w:cs="Arial"/>
          <w:lang w:val="en-GB"/>
        </w:rPr>
        <w:t xml:space="preserve"> reduction in </w:t>
      </w:r>
      <w:r w:rsidR="00397529">
        <w:rPr>
          <w:rFonts w:ascii="Calibri" w:hAnsi="Calibri" w:cs="Arial"/>
          <w:lang w:val="en-GB"/>
        </w:rPr>
        <w:t>haemoglobin</w:t>
      </w:r>
      <w:r w:rsidR="000C5697" w:rsidRPr="00397529">
        <w:rPr>
          <w:rFonts w:ascii="Calibri" w:hAnsi="Calibri" w:cs="Arial"/>
          <w:lang w:val="en-GB"/>
        </w:rPr>
        <w:t xml:space="preserve">, assuming </w:t>
      </w:r>
      <w:r w:rsidR="004323B7" w:rsidRPr="00397529">
        <w:rPr>
          <w:rFonts w:ascii="Calibri" w:hAnsi="Calibri" w:cs="Arial"/>
          <w:lang w:val="en-GB"/>
        </w:rPr>
        <w:t>25% loss to follow-up</w:t>
      </w:r>
    </w:p>
    <w:p w14:paraId="2840AA72" w14:textId="77777777" w:rsidR="0009600A" w:rsidRPr="00397529" w:rsidRDefault="0009600A" w:rsidP="0009600A">
      <w:pPr>
        <w:jc w:val="both"/>
        <w:rPr>
          <w:rFonts w:ascii="Calibri" w:hAnsi="Calibri" w:cs="Arial"/>
          <w:b/>
          <w:lang w:val="en-GB"/>
        </w:rPr>
      </w:pPr>
    </w:p>
    <w:tbl>
      <w:tblPr>
        <w:tblStyle w:val="MediumList2"/>
        <w:tblW w:w="9113" w:type="dxa"/>
        <w:tblLook w:val="04A0" w:firstRow="1" w:lastRow="0" w:firstColumn="1" w:lastColumn="0" w:noHBand="0" w:noVBand="1"/>
      </w:tblPr>
      <w:tblGrid>
        <w:gridCol w:w="3971"/>
        <w:gridCol w:w="1177"/>
        <w:gridCol w:w="1440"/>
        <w:gridCol w:w="1260"/>
        <w:gridCol w:w="1265"/>
      </w:tblGrid>
      <w:tr w:rsidR="0009600A" w:rsidRPr="00397529" w14:paraId="2F0E6329" w14:textId="77777777" w:rsidTr="00096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71" w:type="dxa"/>
            <w:tcBorders>
              <w:bottom w:val="nil"/>
            </w:tcBorders>
          </w:tcPr>
          <w:p w14:paraId="53D7A8DC" w14:textId="77777777" w:rsidR="0009600A" w:rsidRPr="00397529" w:rsidRDefault="0009600A" w:rsidP="0009600A">
            <w:pPr>
              <w:jc w:val="both"/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5142" w:type="dxa"/>
            <w:gridSpan w:val="4"/>
            <w:tcBorders>
              <w:bottom w:val="single" w:sz="4" w:space="0" w:color="auto"/>
            </w:tcBorders>
          </w:tcPr>
          <w:p w14:paraId="1375EAC6" w14:textId="77777777" w:rsidR="0009600A" w:rsidRPr="00397529" w:rsidRDefault="0009600A" w:rsidP="0009600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Numbers of individuals needed to treat with primaquine</w:t>
            </w:r>
          </w:p>
          <w:p w14:paraId="2DBC6228" w14:textId="77777777" w:rsidR="0009600A" w:rsidRPr="00397529" w:rsidRDefault="0009600A" w:rsidP="0009600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GB"/>
              </w:rPr>
            </w:pPr>
            <w:proofErr w:type="gramStart"/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by</w:t>
            </w:r>
            <w:proofErr w:type="gramEnd"/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 xml:space="preserve"> the estimated population prevalence of G6PD deficiency</w:t>
            </w:r>
          </w:p>
        </w:tc>
      </w:tr>
      <w:tr w:rsidR="0009600A" w:rsidRPr="00397529" w14:paraId="0710043F" w14:textId="77777777" w:rsidTr="0009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1" w:type="dxa"/>
            <w:tcBorders>
              <w:bottom w:val="single" w:sz="24" w:space="0" w:color="auto"/>
            </w:tcBorders>
          </w:tcPr>
          <w:p w14:paraId="55FEF270" w14:textId="2F799D39" w:rsidR="0009600A" w:rsidRPr="00397529" w:rsidRDefault="0009600A" w:rsidP="0009600A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 xml:space="preserve">Minimum </w:t>
            </w:r>
            <w:proofErr w:type="spellStart"/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percent</w:t>
            </w:r>
            <w:proofErr w:type="spellEnd"/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 xml:space="preserve"> reduction in </w:t>
            </w:r>
            <w:r w:rsidR="00397529">
              <w:rPr>
                <w:rFonts w:ascii="Calibri" w:hAnsi="Calibri"/>
                <w:sz w:val="20"/>
                <w:szCs w:val="20"/>
                <w:lang w:val="en-GB"/>
              </w:rPr>
              <w:t>haemoglobin</w:t>
            </w: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 xml:space="preserve"> that you want to be able to detect after treatment with primaquine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bottom"/>
          </w:tcPr>
          <w:p w14:paraId="30A784A9" w14:textId="77777777" w:rsidR="0009600A" w:rsidRPr="00397529" w:rsidRDefault="0009600A" w:rsidP="00096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b/>
                <w:sz w:val="20"/>
                <w:szCs w:val="20"/>
                <w:lang w:val="en-GB"/>
              </w:rPr>
              <w:t>1%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bottom"/>
          </w:tcPr>
          <w:p w14:paraId="2599164C" w14:textId="77777777" w:rsidR="0009600A" w:rsidRPr="00397529" w:rsidRDefault="0009600A" w:rsidP="00096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b/>
                <w:sz w:val="20"/>
                <w:szCs w:val="20"/>
                <w:lang w:val="en-GB"/>
              </w:rPr>
              <w:t>5%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bottom"/>
          </w:tcPr>
          <w:p w14:paraId="7CF91F59" w14:textId="77777777" w:rsidR="0009600A" w:rsidRPr="00397529" w:rsidRDefault="0009600A" w:rsidP="00096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b/>
                <w:sz w:val="20"/>
                <w:szCs w:val="20"/>
                <w:lang w:val="en-GB"/>
              </w:rPr>
              <w:t>10%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bottom"/>
          </w:tcPr>
          <w:p w14:paraId="7C348CF1" w14:textId="77777777" w:rsidR="0009600A" w:rsidRPr="00397529" w:rsidRDefault="0009600A" w:rsidP="00096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b/>
                <w:sz w:val="20"/>
                <w:szCs w:val="20"/>
                <w:lang w:val="en-GB"/>
              </w:rPr>
              <w:t>15%</w:t>
            </w:r>
          </w:p>
        </w:tc>
      </w:tr>
      <w:tr w:rsidR="0009600A" w:rsidRPr="00397529" w14:paraId="7C53949F" w14:textId="77777777" w:rsidTr="000960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1" w:type="dxa"/>
            <w:tcBorders>
              <w:top w:val="single" w:sz="24" w:space="0" w:color="auto"/>
              <w:left w:val="single" w:sz="4" w:space="0" w:color="auto"/>
            </w:tcBorders>
          </w:tcPr>
          <w:p w14:paraId="0C7FA0C2" w14:textId="77777777" w:rsidR="0009600A" w:rsidRPr="00397529" w:rsidRDefault="0009600A" w:rsidP="0009600A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15%</w:t>
            </w:r>
          </w:p>
        </w:tc>
        <w:tc>
          <w:tcPr>
            <w:tcW w:w="1177" w:type="dxa"/>
            <w:tcBorders>
              <w:top w:val="single" w:sz="24" w:space="0" w:color="auto"/>
            </w:tcBorders>
          </w:tcPr>
          <w:p w14:paraId="1746EAFA" w14:textId="3A119D78" w:rsidR="0009600A" w:rsidRPr="00397529" w:rsidRDefault="0009600A" w:rsidP="000960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1,500</w:t>
            </w:r>
          </w:p>
        </w:tc>
        <w:tc>
          <w:tcPr>
            <w:tcW w:w="1440" w:type="dxa"/>
            <w:tcBorders>
              <w:top w:val="single" w:sz="24" w:space="0" w:color="auto"/>
            </w:tcBorders>
          </w:tcPr>
          <w:p w14:paraId="16B12AA7" w14:textId="416A7F80" w:rsidR="0009600A" w:rsidRPr="00397529" w:rsidRDefault="0009600A" w:rsidP="000960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300</w:t>
            </w:r>
          </w:p>
        </w:tc>
        <w:tc>
          <w:tcPr>
            <w:tcW w:w="1260" w:type="dxa"/>
            <w:tcBorders>
              <w:top w:val="single" w:sz="24" w:space="0" w:color="auto"/>
            </w:tcBorders>
          </w:tcPr>
          <w:p w14:paraId="25BDF421" w14:textId="751C70F7" w:rsidR="0009600A" w:rsidRPr="00397529" w:rsidRDefault="0009600A" w:rsidP="000960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150</w:t>
            </w:r>
          </w:p>
        </w:tc>
        <w:tc>
          <w:tcPr>
            <w:tcW w:w="1265" w:type="dxa"/>
            <w:tcBorders>
              <w:top w:val="single" w:sz="24" w:space="0" w:color="auto"/>
            </w:tcBorders>
          </w:tcPr>
          <w:p w14:paraId="034B56F5" w14:textId="66879AF9" w:rsidR="0009600A" w:rsidRPr="00397529" w:rsidRDefault="0009600A" w:rsidP="000960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100</w:t>
            </w:r>
          </w:p>
        </w:tc>
      </w:tr>
      <w:tr w:rsidR="0009600A" w:rsidRPr="00397529" w14:paraId="5F30C99C" w14:textId="77777777" w:rsidTr="0009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1" w:type="dxa"/>
            <w:tcBorders>
              <w:left w:val="single" w:sz="4" w:space="0" w:color="auto"/>
            </w:tcBorders>
          </w:tcPr>
          <w:p w14:paraId="2D798AA1" w14:textId="77777777" w:rsidR="0009600A" w:rsidRPr="00397529" w:rsidRDefault="0009600A" w:rsidP="0009600A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20%</w:t>
            </w:r>
          </w:p>
        </w:tc>
        <w:tc>
          <w:tcPr>
            <w:tcW w:w="1177" w:type="dxa"/>
          </w:tcPr>
          <w:p w14:paraId="2AC81E6D" w14:textId="72E533B3" w:rsidR="0009600A" w:rsidRPr="00397529" w:rsidRDefault="0009600A" w:rsidP="000960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1000</w:t>
            </w:r>
          </w:p>
        </w:tc>
        <w:tc>
          <w:tcPr>
            <w:tcW w:w="1440" w:type="dxa"/>
          </w:tcPr>
          <w:p w14:paraId="5A441091" w14:textId="59D1EE52" w:rsidR="0009600A" w:rsidRPr="00397529" w:rsidRDefault="0009600A" w:rsidP="000960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200</w:t>
            </w:r>
          </w:p>
        </w:tc>
        <w:tc>
          <w:tcPr>
            <w:tcW w:w="1260" w:type="dxa"/>
          </w:tcPr>
          <w:p w14:paraId="003C63C5" w14:textId="436722A2" w:rsidR="0009600A" w:rsidRPr="00397529" w:rsidRDefault="0009600A" w:rsidP="000960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100</w:t>
            </w:r>
          </w:p>
        </w:tc>
        <w:tc>
          <w:tcPr>
            <w:tcW w:w="1265" w:type="dxa"/>
          </w:tcPr>
          <w:p w14:paraId="27CC2EEC" w14:textId="69C7FAD7" w:rsidR="0009600A" w:rsidRPr="00397529" w:rsidRDefault="0009600A" w:rsidP="000960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67</w:t>
            </w:r>
          </w:p>
        </w:tc>
      </w:tr>
      <w:tr w:rsidR="0009600A" w:rsidRPr="00397529" w14:paraId="5316DFB3" w14:textId="77777777" w:rsidTr="000960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1" w:type="dxa"/>
            <w:tcBorders>
              <w:left w:val="single" w:sz="4" w:space="0" w:color="auto"/>
            </w:tcBorders>
          </w:tcPr>
          <w:p w14:paraId="6DB33E89" w14:textId="77777777" w:rsidR="0009600A" w:rsidRPr="00397529" w:rsidRDefault="0009600A" w:rsidP="0009600A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25%</w:t>
            </w:r>
          </w:p>
        </w:tc>
        <w:tc>
          <w:tcPr>
            <w:tcW w:w="1177" w:type="dxa"/>
          </w:tcPr>
          <w:p w14:paraId="1072F7F2" w14:textId="651590C7" w:rsidR="0009600A" w:rsidRPr="00397529" w:rsidRDefault="0009600A" w:rsidP="000960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700</w:t>
            </w:r>
          </w:p>
        </w:tc>
        <w:tc>
          <w:tcPr>
            <w:tcW w:w="1440" w:type="dxa"/>
          </w:tcPr>
          <w:p w14:paraId="259EC13A" w14:textId="0D7A1AED" w:rsidR="0009600A" w:rsidRPr="00397529" w:rsidRDefault="0009600A" w:rsidP="000960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140</w:t>
            </w:r>
          </w:p>
        </w:tc>
        <w:tc>
          <w:tcPr>
            <w:tcW w:w="1260" w:type="dxa"/>
          </w:tcPr>
          <w:p w14:paraId="56679E64" w14:textId="4348E4EE" w:rsidR="0009600A" w:rsidRPr="00397529" w:rsidRDefault="0009600A" w:rsidP="000960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70</w:t>
            </w:r>
          </w:p>
        </w:tc>
        <w:tc>
          <w:tcPr>
            <w:tcW w:w="1265" w:type="dxa"/>
          </w:tcPr>
          <w:p w14:paraId="603457BD" w14:textId="6E0AC8B9" w:rsidR="0009600A" w:rsidRPr="00397529" w:rsidRDefault="0009600A" w:rsidP="000960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47</w:t>
            </w:r>
          </w:p>
        </w:tc>
      </w:tr>
      <w:tr w:rsidR="0009600A" w:rsidRPr="00397529" w14:paraId="3BD2F5A3" w14:textId="77777777" w:rsidTr="0009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1" w:type="dxa"/>
            <w:tcBorders>
              <w:left w:val="single" w:sz="4" w:space="0" w:color="auto"/>
              <w:bottom w:val="single" w:sz="4" w:space="0" w:color="auto"/>
            </w:tcBorders>
          </w:tcPr>
          <w:p w14:paraId="2F90C167" w14:textId="77777777" w:rsidR="0009600A" w:rsidRPr="00397529" w:rsidRDefault="0009600A" w:rsidP="0009600A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50%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5F584B0E" w14:textId="159A0C35" w:rsidR="0009600A" w:rsidRPr="00397529" w:rsidRDefault="0009600A" w:rsidP="000960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400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9445298" w14:textId="26937A53" w:rsidR="0009600A" w:rsidRPr="00397529" w:rsidRDefault="0009600A" w:rsidP="000960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80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D216A63" w14:textId="60BCC2FE" w:rsidR="0009600A" w:rsidRPr="00397529" w:rsidRDefault="0009600A" w:rsidP="000960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40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75FB1148" w14:textId="1BF39019" w:rsidR="0009600A" w:rsidRPr="00397529" w:rsidRDefault="0009600A" w:rsidP="000960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GB"/>
              </w:rPr>
            </w:pPr>
            <w:r w:rsidRPr="00397529">
              <w:rPr>
                <w:rFonts w:ascii="Calibri" w:hAnsi="Calibri"/>
                <w:sz w:val="20"/>
                <w:szCs w:val="20"/>
                <w:lang w:val="en-GB"/>
              </w:rPr>
              <w:t>27</w:t>
            </w:r>
          </w:p>
        </w:tc>
      </w:tr>
    </w:tbl>
    <w:p w14:paraId="2E3AA2FA" w14:textId="59F627D5" w:rsidR="003468F9" w:rsidRPr="00397529" w:rsidRDefault="003468F9" w:rsidP="00631575">
      <w:pPr>
        <w:ind w:right="360"/>
        <w:jc w:val="both"/>
        <w:rPr>
          <w:rFonts w:ascii="Calibri" w:hAnsi="Calibri" w:cs="Arial"/>
          <w:sz w:val="16"/>
          <w:szCs w:val="16"/>
          <w:lang w:val="en-GB"/>
        </w:rPr>
      </w:pPr>
      <w:r w:rsidRPr="00397529">
        <w:rPr>
          <w:rFonts w:ascii="Calibri" w:hAnsi="Calibri" w:cs="Arial"/>
          <w:sz w:val="16"/>
          <w:szCs w:val="16"/>
          <w:vertAlign w:val="superscript"/>
          <w:lang w:val="en-GB"/>
        </w:rPr>
        <w:t>1</w:t>
      </w:r>
      <w:r w:rsidR="00A641DF" w:rsidRPr="00397529">
        <w:rPr>
          <w:rFonts w:ascii="Calibri" w:hAnsi="Calibri" w:cs="Arial"/>
          <w:sz w:val="16"/>
          <w:szCs w:val="16"/>
          <w:lang w:val="en-GB"/>
        </w:rPr>
        <w:t>Detects a within-</w:t>
      </w:r>
      <w:r w:rsidRPr="00397529">
        <w:rPr>
          <w:rFonts w:ascii="Calibri" w:hAnsi="Calibri" w:cs="Arial"/>
          <w:sz w:val="16"/>
          <w:szCs w:val="16"/>
          <w:lang w:val="en-GB"/>
        </w:rPr>
        <w:t xml:space="preserve">person change in </w:t>
      </w:r>
      <w:r w:rsidR="00397529">
        <w:rPr>
          <w:rFonts w:ascii="Calibri" w:hAnsi="Calibri" w:cs="Arial"/>
          <w:sz w:val="16"/>
          <w:szCs w:val="16"/>
          <w:lang w:val="en-GB"/>
        </w:rPr>
        <w:t>haemoglobin</w:t>
      </w:r>
      <w:r w:rsidRPr="00397529">
        <w:rPr>
          <w:rFonts w:ascii="Calibri" w:hAnsi="Calibri" w:cs="Arial"/>
          <w:sz w:val="16"/>
          <w:szCs w:val="16"/>
          <w:lang w:val="en-GB"/>
        </w:rPr>
        <w:t xml:space="preserve"> between Days 0 and 7 with 80% power, and a significance level of 0.05 (one-sided), assumes mean of 10 g/dL</w:t>
      </w:r>
      <w:r w:rsidR="00E27D42" w:rsidRPr="00397529">
        <w:rPr>
          <w:rFonts w:ascii="Calibri" w:hAnsi="Calibri" w:cs="Arial"/>
          <w:sz w:val="16"/>
          <w:szCs w:val="16"/>
          <w:lang w:val="en-GB"/>
        </w:rPr>
        <w:t xml:space="preserve"> bef</w:t>
      </w:r>
      <w:r w:rsidR="00631575" w:rsidRPr="00397529">
        <w:rPr>
          <w:rFonts w:ascii="Calibri" w:hAnsi="Calibri" w:cs="Arial"/>
          <w:sz w:val="16"/>
          <w:szCs w:val="16"/>
          <w:lang w:val="en-GB"/>
        </w:rPr>
        <w:t>ore treatment</w:t>
      </w:r>
      <w:r w:rsidRPr="00397529">
        <w:rPr>
          <w:rFonts w:ascii="Calibri" w:hAnsi="Calibri" w:cs="Arial"/>
          <w:sz w:val="16"/>
          <w:szCs w:val="16"/>
          <w:lang w:val="en-GB"/>
        </w:rPr>
        <w:t xml:space="preserve">, </w:t>
      </w:r>
      <w:r w:rsidR="001D092A" w:rsidRPr="00397529">
        <w:rPr>
          <w:rFonts w:ascii="Calibri" w:hAnsi="Calibri" w:cs="Arial"/>
          <w:sz w:val="16"/>
          <w:szCs w:val="16"/>
          <w:lang w:val="en-GB"/>
        </w:rPr>
        <w:t xml:space="preserve">a standard deviation </w:t>
      </w:r>
      <w:r w:rsidR="00A641DF" w:rsidRPr="00397529">
        <w:rPr>
          <w:rFonts w:ascii="Calibri" w:hAnsi="Calibri" w:cs="Arial"/>
          <w:sz w:val="16"/>
          <w:szCs w:val="16"/>
          <w:lang w:val="en-GB"/>
        </w:rPr>
        <w:t>of the within-</w:t>
      </w:r>
      <w:r w:rsidR="001D092A" w:rsidRPr="00397529">
        <w:rPr>
          <w:rFonts w:ascii="Calibri" w:hAnsi="Calibri" w:cs="Arial"/>
          <w:sz w:val="16"/>
          <w:szCs w:val="16"/>
          <w:lang w:val="en-GB"/>
        </w:rPr>
        <w:t xml:space="preserve">person change in </w:t>
      </w:r>
      <w:bookmarkStart w:id="0" w:name="_GoBack"/>
      <w:bookmarkEnd w:id="0"/>
      <w:r w:rsidR="00397529">
        <w:rPr>
          <w:rFonts w:ascii="Calibri" w:hAnsi="Calibri" w:cs="Arial"/>
          <w:sz w:val="16"/>
          <w:szCs w:val="16"/>
          <w:lang w:val="en-GB"/>
        </w:rPr>
        <w:t>haemoglobin</w:t>
      </w:r>
      <w:r w:rsidR="001D092A" w:rsidRPr="00397529">
        <w:rPr>
          <w:rFonts w:ascii="Calibri" w:hAnsi="Calibri" w:cs="Arial"/>
          <w:sz w:val="16"/>
          <w:szCs w:val="16"/>
          <w:lang w:val="en-GB"/>
        </w:rPr>
        <w:t xml:space="preserve"> of 2 g/dL</w:t>
      </w:r>
      <w:r w:rsidRPr="00397529">
        <w:rPr>
          <w:rFonts w:ascii="Calibri" w:hAnsi="Calibri" w:cs="Arial"/>
          <w:sz w:val="16"/>
          <w:szCs w:val="16"/>
          <w:lang w:val="en-GB"/>
        </w:rPr>
        <w:t>, and up to 25% loss to follow-up</w:t>
      </w:r>
    </w:p>
    <w:p w14:paraId="1A8B23C5" w14:textId="77777777" w:rsidR="003468F9" w:rsidRPr="00397529" w:rsidRDefault="003468F9" w:rsidP="00CB0A62">
      <w:pPr>
        <w:jc w:val="both"/>
        <w:rPr>
          <w:rFonts w:ascii="Calibri" w:hAnsi="Calibri"/>
          <w:lang w:val="en-GB"/>
        </w:rPr>
      </w:pPr>
    </w:p>
    <w:sectPr w:rsidR="003468F9" w:rsidRPr="00397529" w:rsidSect="00343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03B2"/>
    <w:multiLevelType w:val="hybridMultilevel"/>
    <w:tmpl w:val="F6024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D3A8E"/>
    <w:multiLevelType w:val="hybridMultilevel"/>
    <w:tmpl w:val="E2BAB4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CC"/>
    <w:rsid w:val="000451A1"/>
    <w:rsid w:val="0009600A"/>
    <w:rsid w:val="000C5697"/>
    <w:rsid w:val="001D092A"/>
    <w:rsid w:val="002229D5"/>
    <w:rsid w:val="00247E6E"/>
    <w:rsid w:val="00316DC7"/>
    <w:rsid w:val="003212A7"/>
    <w:rsid w:val="0033203A"/>
    <w:rsid w:val="00343FCC"/>
    <w:rsid w:val="003468F9"/>
    <w:rsid w:val="00397529"/>
    <w:rsid w:val="003E012F"/>
    <w:rsid w:val="003E737E"/>
    <w:rsid w:val="004323B7"/>
    <w:rsid w:val="004379EF"/>
    <w:rsid w:val="00465CD0"/>
    <w:rsid w:val="004714AA"/>
    <w:rsid w:val="00473B60"/>
    <w:rsid w:val="00473F4F"/>
    <w:rsid w:val="004A10AB"/>
    <w:rsid w:val="004A50F7"/>
    <w:rsid w:val="00532E4E"/>
    <w:rsid w:val="005B135F"/>
    <w:rsid w:val="005E0129"/>
    <w:rsid w:val="00613F9D"/>
    <w:rsid w:val="00623927"/>
    <w:rsid w:val="00631575"/>
    <w:rsid w:val="006A1CF6"/>
    <w:rsid w:val="006B726D"/>
    <w:rsid w:val="006C7DC1"/>
    <w:rsid w:val="006F35F7"/>
    <w:rsid w:val="006F69FA"/>
    <w:rsid w:val="007155CC"/>
    <w:rsid w:val="00731194"/>
    <w:rsid w:val="007A1642"/>
    <w:rsid w:val="007C1E79"/>
    <w:rsid w:val="007C4FC8"/>
    <w:rsid w:val="007D5F04"/>
    <w:rsid w:val="007E4B66"/>
    <w:rsid w:val="007F03A6"/>
    <w:rsid w:val="00800239"/>
    <w:rsid w:val="00804E01"/>
    <w:rsid w:val="00821FBA"/>
    <w:rsid w:val="0087141C"/>
    <w:rsid w:val="008F2EA8"/>
    <w:rsid w:val="00940395"/>
    <w:rsid w:val="009C4A79"/>
    <w:rsid w:val="00A05A59"/>
    <w:rsid w:val="00A127E5"/>
    <w:rsid w:val="00A4062E"/>
    <w:rsid w:val="00A546A7"/>
    <w:rsid w:val="00A641DF"/>
    <w:rsid w:val="00A81939"/>
    <w:rsid w:val="00A8220F"/>
    <w:rsid w:val="00AF3DDE"/>
    <w:rsid w:val="00B51A2E"/>
    <w:rsid w:val="00BA600B"/>
    <w:rsid w:val="00BF020C"/>
    <w:rsid w:val="00C1795A"/>
    <w:rsid w:val="00C30A99"/>
    <w:rsid w:val="00C33A38"/>
    <w:rsid w:val="00CB0A62"/>
    <w:rsid w:val="00D11006"/>
    <w:rsid w:val="00D552D6"/>
    <w:rsid w:val="00D83239"/>
    <w:rsid w:val="00E12D1C"/>
    <w:rsid w:val="00E27D42"/>
    <w:rsid w:val="00E612F9"/>
    <w:rsid w:val="00E773DD"/>
    <w:rsid w:val="00F9044D"/>
    <w:rsid w:val="00F9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EEBB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F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3F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F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9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43FC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3F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43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343FC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468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468F9"/>
  </w:style>
  <w:style w:type="character" w:customStyle="1" w:styleId="CommentTextChar">
    <w:name w:val="Comment Text Char"/>
    <w:basedOn w:val="DefaultParagraphFont"/>
    <w:link w:val="CommentText"/>
    <w:uiPriority w:val="99"/>
    <w:rsid w:val="003468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8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8F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C4A79"/>
    <w:pPr>
      <w:ind w:left="720"/>
      <w:contextualSpacing/>
    </w:pPr>
  </w:style>
  <w:style w:type="table" w:styleId="LightShading">
    <w:name w:val="Light Shading"/>
    <w:basedOn w:val="TableNormal"/>
    <w:uiPriority w:val="60"/>
    <w:rsid w:val="007C4FC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7C4F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F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3F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F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9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43FC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3F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43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343FC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468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468F9"/>
  </w:style>
  <w:style w:type="character" w:customStyle="1" w:styleId="CommentTextChar">
    <w:name w:val="Comment Text Char"/>
    <w:basedOn w:val="DefaultParagraphFont"/>
    <w:link w:val="CommentText"/>
    <w:uiPriority w:val="99"/>
    <w:rsid w:val="003468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8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8F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C4A79"/>
    <w:pPr>
      <w:ind w:left="720"/>
      <w:contextualSpacing/>
    </w:pPr>
  </w:style>
  <w:style w:type="table" w:styleId="LightShading">
    <w:name w:val="Light Shading"/>
    <w:basedOn w:val="TableNormal"/>
    <w:uiPriority w:val="60"/>
    <w:rsid w:val="007C4FC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7C4F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940</Words>
  <Characters>5362</Characters>
  <Application>Microsoft Macintosh Word</Application>
  <DocSecurity>0</DocSecurity>
  <Lines>44</Lines>
  <Paragraphs>12</Paragraphs>
  <ScaleCrop>false</ScaleCrop>
  <Company>UCSF</Company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Poirot</dc:creator>
  <cp:keywords/>
  <dc:description/>
  <cp:lastModifiedBy>Eugenia Poirot</cp:lastModifiedBy>
  <cp:revision>2</cp:revision>
  <cp:lastPrinted>2016-01-19T20:09:00Z</cp:lastPrinted>
  <dcterms:created xsi:type="dcterms:W3CDTF">2016-07-18T03:33:00Z</dcterms:created>
  <dcterms:modified xsi:type="dcterms:W3CDTF">2016-07-18T03:33:00Z</dcterms:modified>
</cp:coreProperties>
</file>