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A28F" w14:textId="6D5BC088" w:rsidR="00A974D5" w:rsidRPr="005C7D19" w:rsidRDefault="00A974D5" w:rsidP="00A974D5">
      <w:pPr>
        <w:pStyle w:val="PlainText"/>
        <w:spacing w:line="480" w:lineRule="auto"/>
        <w:rPr>
          <w:rFonts w:ascii="Arial Narrow" w:eastAsiaTheme="minorHAnsi" w:hAnsi="Arial Narrow"/>
          <w:b/>
          <w:sz w:val="24"/>
        </w:rPr>
      </w:pPr>
      <w:r w:rsidRPr="00C03DAB">
        <w:rPr>
          <w:rFonts w:ascii="Arial Narrow" w:eastAsiaTheme="minorHAnsi" w:hAnsi="Arial Narrow"/>
          <w:b/>
          <w:sz w:val="24"/>
          <w:szCs w:val="24"/>
        </w:rPr>
        <w:t xml:space="preserve">Supplement </w:t>
      </w:r>
      <w:r w:rsidR="005D5A23">
        <w:rPr>
          <w:rFonts w:ascii="Arial Narrow" w:eastAsiaTheme="minorHAnsi" w:hAnsi="Arial Narrow"/>
          <w:b/>
          <w:sz w:val="24"/>
          <w:szCs w:val="24"/>
        </w:rPr>
        <w:t>2</w:t>
      </w:r>
      <w:r w:rsidRPr="005C7D19">
        <w:rPr>
          <w:rFonts w:ascii="Arial Narrow" w:eastAsiaTheme="minorHAnsi" w:hAnsi="Arial Narrow"/>
          <w:b/>
          <w:sz w:val="24"/>
        </w:rPr>
        <w:t>. Definitions</w:t>
      </w:r>
    </w:p>
    <w:p w14:paraId="69EE40A8" w14:textId="77777777" w:rsidR="00A974D5" w:rsidRPr="007B05F8" w:rsidRDefault="00A974D5" w:rsidP="00A97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05F8">
        <w:rPr>
          <w:rFonts w:ascii="Times New Roman" w:hAnsi="Times New Roman" w:cs="Times New Roman"/>
          <w:sz w:val="24"/>
          <w:szCs w:val="24"/>
        </w:rPr>
        <w:t xml:space="preserve">Anthrax cases were confirmed in patients  by microscopic identification (e.g., Gram stain after 1886), culture, paired sera, polymerase chain reaction, </w:t>
      </w:r>
      <w:r w:rsidRPr="007B05F8">
        <w:rPr>
          <w:rFonts w:ascii="Times New Roman" w:hAnsi="Times New Roman" w:cs="Times New Roman"/>
          <w:bCs/>
          <w:sz w:val="24"/>
          <w:szCs w:val="24"/>
        </w:rPr>
        <w:t>enzyme-linked immunosorbent assay</w:t>
      </w:r>
      <w:r w:rsidRPr="007B05F8">
        <w:rPr>
          <w:rFonts w:ascii="Times New Roman" w:hAnsi="Times New Roman" w:cs="Times New Roman"/>
          <w:sz w:val="24"/>
          <w:szCs w:val="24"/>
        </w:rPr>
        <w:t xml:space="preserve">, immunohistochemistry, animal inoculation, or by epidemiological linkage with a confirmed case or positive “environmental (e.g., shaving brush, hide)” culture. </w:t>
      </w:r>
      <w:bookmarkStart w:id="0" w:name="_GoBack"/>
      <w:bookmarkEnd w:id="0"/>
    </w:p>
    <w:p w14:paraId="74335ED8" w14:textId="77777777" w:rsidR="00A974D5" w:rsidRPr="007B05F8" w:rsidRDefault="00A974D5" w:rsidP="00A974D5">
      <w:pPr>
        <w:pStyle w:val="PlainText"/>
        <w:spacing w:line="480" w:lineRule="auto"/>
        <w:rPr>
          <w:rFonts w:ascii="Times New Roman" w:eastAsiaTheme="minorHAnsi" w:hAnsi="Times New Roman"/>
          <w:sz w:val="24"/>
          <w:szCs w:val="24"/>
        </w:rPr>
      </w:pPr>
    </w:p>
    <w:p w14:paraId="71CA814C" w14:textId="40A2DB64" w:rsidR="00A974D5" w:rsidRDefault="00A974D5" w:rsidP="00A974D5">
      <w:pPr>
        <w:pStyle w:val="PlainText"/>
        <w:spacing w:line="480" w:lineRule="auto"/>
        <w:rPr>
          <w:rFonts w:ascii="Times New Roman" w:eastAsiaTheme="minorHAnsi" w:hAnsi="Times New Roman"/>
          <w:sz w:val="24"/>
          <w:szCs w:val="24"/>
        </w:rPr>
      </w:pPr>
      <w:r w:rsidRPr="007B05F8">
        <w:rPr>
          <w:rFonts w:ascii="Times New Roman" w:eastAsiaTheme="minorHAnsi" w:hAnsi="Times New Roman"/>
          <w:sz w:val="24"/>
          <w:szCs w:val="24"/>
        </w:rPr>
        <w:t>Systemic illness</w:t>
      </w:r>
      <w:r w:rsidRPr="007B05F8">
        <w:rPr>
          <w:rFonts w:ascii="Times New Roman" w:hAnsi="Times New Roman"/>
          <w:sz w:val="24"/>
          <w:szCs w:val="24"/>
        </w:rPr>
        <w:t xml:space="preserve"> </w:t>
      </w:r>
      <w:r w:rsidRPr="007B05F8">
        <w:rPr>
          <w:rFonts w:ascii="Times New Roman" w:eastAsiaTheme="minorHAnsi" w:hAnsi="Times New Roman"/>
          <w:sz w:val="24"/>
          <w:szCs w:val="24"/>
        </w:rPr>
        <w:t xml:space="preserve">was </w:t>
      </w:r>
      <w:r w:rsidRPr="001648C1">
        <w:rPr>
          <w:rFonts w:ascii="Times New Roman" w:eastAsiaTheme="minorHAnsi" w:hAnsi="Times New Roman"/>
          <w:sz w:val="24"/>
          <w:szCs w:val="24"/>
        </w:rPr>
        <w:t xml:space="preserve">considered to be present in 1) adults 18 years of age and older who met </w:t>
      </w:r>
      <w:r w:rsidRPr="001648C1">
        <w:rPr>
          <w:rFonts w:ascii="Times New Roman" w:eastAsiaTheme="minorHAnsi" w:hAnsi="Times New Roman"/>
          <w:i/>
          <w:sz w:val="24"/>
          <w:szCs w:val="24"/>
        </w:rPr>
        <w:t>any</w:t>
      </w:r>
      <w:r w:rsidRPr="001648C1">
        <w:rPr>
          <w:rFonts w:ascii="Times New Roman" w:eastAsiaTheme="minorHAnsi" w:hAnsi="Times New Roman"/>
          <w:sz w:val="24"/>
          <w:szCs w:val="24"/>
        </w:rPr>
        <w:t xml:space="preserve"> of the following criteria: temperature &lt;36 or &gt;38 degrees centigrade or described as "hypothermic" or</w:t>
      </w:r>
      <w:r w:rsidRPr="00925B78">
        <w:rPr>
          <w:rFonts w:ascii="Times New Roman" w:eastAsiaTheme="minorHAnsi" w:hAnsi="Times New Roman"/>
          <w:sz w:val="24"/>
          <w:szCs w:val="24"/>
        </w:rPr>
        <w:t xml:space="preserve"> “</w:t>
      </w:r>
      <w:proofErr w:type="spellStart"/>
      <w:r w:rsidRPr="00925B78">
        <w:rPr>
          <w:rFonts w:ascii="Times New Roman" w:eastAsiaTheme="minorHAnsi" w:hAnsi="Times New Roman"/>
          <w:sz w:val="24"/>
          <w:szCs w:val="24"/>
        </w:rPr>
        <w:t>hyperthermic</w:t>
      </w:r>
      <w:proofErr w:type="spellEnd"/>
      <w:r w:rsidRPr="00925B78">
        <w:rPr>
          <w:rFonts w:ascii="Times New Roman" w:eastAsiaTheme="minorHAnsi" w:hAnsi="Times New Roman"/>
          <w:sz w:val="24"/>
          <w:szCs w:val="24"/>
        </w:rPr>
        <w:t xml:space="preserve">,” </w:t>
      </w:r>
      <w:r w:rsidRPr="001648C1">
        <w:rPr>
          <w:rFonts w:ascii="Times New Roman" w:eastAsiaTheme="minorHAnsi" w:hAnsi="Times New Roman"/>
          <w:sz w:val="24"/>
          <w:szCs w:val="24"/>
        </w:rPr>
        <w:t>pulse</w:t>
      </w:r>
      <w:r w:rsidRPr="007B05F8">
        <w:rPr>
          <w:rFonts w:ascii="Times New Roman" w:eastAsiaTheme="minorHAnsi" w:hAnsi="Times New Roman"/>
          <w:sz w:val="24"/>
          <w:szCs w:val="24"/>
        </w:rPr>
        <w:t xml:space="preserve"> &gt;90 per minute or described as "</w:t>
      </w:r>
      <w:proofErr w:type="spellStart"/>
      <w:r w:rsidRPr="007B05F8">
        <w:rPr>
          <w:rFonts w:ascii="Times New Roman" w:eastAsiaTheme="minorHAnsi" w:hAnsi="Times New Roman"/>
          <w:sz w:val="24"/>
          <w:szCs w:val="24"/>
        </w:rPr>
        <w:t>tachycardic</w:t>
      </w:r>
      <w:proofErr w:type="spellEnd"/>
      <w:r w:rsidRPr="007B05F8">
        <w:rPr>
          <w:rFonts w:ascii="Times New Roman" w:eastAsiaTheme="minorHAnsi" w:hAnsi="Times New Roman"/>
          <w:sz w:val="24"/>
          <w:szCs w:val="24"/>
        </w:rPr>
        <w:t>," respiratory rate &gt;20 per minute or described as "</w:t>
      </w:r>
      <w:proofErr w:type="spellStart"/>
      <w:r w:rsidRPr="007B05F8">
        <w:rPr>
          <w:rFonts w:ascii="Times New Roman" w:eastAsiaTheme="minorHAnsi" w:hAnsi="Times New Roman"/>
          <w:sz w:val="24"/>
          <w:szCs w:val="24"/>
        </w:rPr>
        <w:t>tachypneic</w:t>
      </w:r>
      <w:proofErr w:type="spellEnd"/>
      <w:r w:rsidRPr="007B05F8">
        <w:rPr>
          <w:rFonts w:ascii="Times New Roman" w:eastAsiaTheme="minorHAnsi" w:hAnsi="Times New Roman"/>
          <w:sz w:val="24"/>
          <w:szCs w:val="24"/>
        </w:rPr>
        <w:t xml:space="preserve">," systolic blood pressure &lt;90mm Hg or </w:t>
      </w:r>
      <w:r w:rsidR="005D5A23" w:rsidRPr="007B05F8">
        <w:rPr>
          <w:rFonts w:ascii="Times New Roman" w:eastAsiaTheme="minorHAnsi" w:hAnsi="Times New Roman"/>
          <w:sz w:val="24"/>
          <w:szCs w:val="24"/>
        </w:rPr>
        <w:t xml:space="preserve">mean arterial pressure (MAP) &lt;70mm Hg </w:t>
      </w:r>
      <w:r w:rsidR="005D5A23">
        <w:rPr>
          <w:rFonts w:ascii="Times New Roman" w:eastAsiaTheme="minorHAnsi" w:hAnsi="Times New Roman"/>
          <w:sz w:val="24"/>
          <w:szCs w:val="24"/>
        </w:rPr>
        <w:t xml:space="preserve">or </w:t>
      </w:r>
      <w:r w:rsidRPr="007B05F8">
        <w:rPr>
          <w:rFonts w:ascii="Times New Roman" w:eastAsiaTheme="minorHAnsi" w:hAnsi="Times New Roman"/>
          <w:sz w:val="24"/>
          <w:szCs w:val="24"/>
        </w:rPr>
        <w:t>described as "hypotensive" or "in shock</w:t>
      </w:r>
      <w:r w:rsidR="005D5A23">
        <w:rPr>
          <w:rFonts w:ascii="Times New Roman" w:eastAsiaTheme="minorHAnsi" w:hAnsi="Times New Roman"/>
          <w:sz w:val="24"/>
          <w:szCs w:val="24"/>
        </w:rPr>
        <w:t xml:space="preserve">,” </w:t>
      </w:r>
      <w:r w:rsidRPr="007B05F8">
        <w:rPr>
          <w:rFonts w:ascii="Times New Roman" w:eastAsiaTheme="minorHAnsi" w:hAnsi="Times New Roman"/>
          <w:sz w:val="24"/>
          <w:szCs w:val="24"/>
        </w:rPr>
        <w:t xml:space="preserve">or white blood cell count &gt;12,000 cells/µL or &lt;4,000 cells/µL; 2) children under 18 years of age who met </w:t>
      </w:r>
      <w:r w:rsidRPr="007B05F8">
        <w:rPr>
          <w:rFonts w:ascii="Times New Roman" w:eastAsiaTheme="minorHAnsi" w:hAnsi="Times New Roman"/>
          <w:i/>
          <w:sz w:val="24"/>
          <w:szCs w:val="24"/>
        </w:rPr>
        <w:t>any</w:t>
      </w:r>
      <w:r w:rsidRPr="007B05F8">
        <w:rPr>
          <w:rFonts w:ascii="Times New Roman" w:eastAsiaTheme="minorHAnsi" w:hAnsi="Times New Roman"/>
          <w:sz w:val="24"/>
          <w:szCs w:val="24"/>
        </w:rPr>
        <w:t xml:space="preserve"> of the age-specific sepsis criteria described by Goldstein; and 3) any aged patient with a) any secondary organ involvement (e.g., gastrointestinal, pulmonary complications), b) evidence of </w:t>
      </w:r>
      <w:r w:rsidRPr="007B05F8">
        <w:rPr>
          <w:rFonts w:ascii="Times New Roman" w:eastAsiaTheme="minorHAnsi" w:hAnsi="Times New Roman"/>
          <w:i/>
          <w:sz w:val="24"/>
          <w:szCs w:val="24"/>
        </w:rPr>
        <w:t>B. anthracis</w:t>
      </w:r>
      <w:r w:rsidRPr="007B05F8">
        <w:rPr>
          <w:rFonts w:ascii="Times New Roman" w:eastAsiaTheme="minorHAnsi" w:hAnsi="Times New Roman"/>
          <w:sz w:val="24"/>
          <w:szCs w:val="24"/>
        </w:rPr>
        <w:t xml:space="preserve"> from a normally sterile site (e.g., blood or CSF), c) evidence of ascites or pleural fluid, or d) death.</w:t>
      </w:r>
    </w:p>
    <w:p w14:paraId="00CF3221" w14:textId="77777777" w:rsidR="00A974D5" w:rsidRDefault="00A974D5" w:rsidP="005C7D19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</w:p>
    <w:p w14:paraId="27C2D6A9" w14:textId="74C08877" w:rsidR="00A974D5" w:rsidRPr="007B05F8" w:rsidRDefault="00A974D5" w:rsidP="00A97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4370">
        <w:rPr>
          <w:rFonts w:ascii="Times New Roman" w:hAnsi="Times New Roman" w:cs="Times New Roman"/>
          <w:sz w:val="24"/>
          <w:szCs w:val="24"/>
        </w:rPr>
        <w:t>Anthrax meningitis was analyzed as a dichotomous variable but had confirmed, probable, and suspect</w:t>
      </w:r>
      <w:r w:rsidR="001D20A1">
        <w:rPr>
          <w:rFonts w:ascii="Times New Roman" w:hAnsi="Times New Roman" w:cs="Times New Roman"/>
          <w:sz w:val="24"/>
          <w:szCs w:val="24"/>
        </w:rPr>
        <w:t>ed</w:t>
      </w:r>
      <w:r w:rsidRPr="00F44370">
        <w:rPr>
          <w:rFonts w:ascii="Times New Roman" w:hAnsi="Times New Roman" w:cs="Times New Roman"/>
          <w:sz w:val="24"/>
          <w:szCs w:val="24"/>
        </w:rPr>
        <w:t xml:space="preserve"> subcategories dependent on the following criteria:  Confirmed anthrax meningitis was defined as culture of </w:t>
      </w:r>
      <w:r w:rsidRPr="00F44370">
        <w:rPr>
          <w:rFonts w:ascii="Times New Roman" w:hAnsi="Times New Roman" w:cs="Times New Roman"/>
          <w:i/>
          <w:sz w:val="24"/>
          <w:szCs w:val="24"/>
        </w:rPr>
        <w:t>B. anthracis</w:t>
      </w:r>
      <w:r w:rsidRPr="00F44370">
        <w:rPr>
          <w:rFonts w:ascii="Times New Roman" w:hAnsi="Times New Roman" w:cs="Times New Roman"/>
          <w:sz w:val="24"/>
          <w:szCs w:val="24"/>
        </w:rPr>
        <w:t xml:space="preserve"> from either the CSF or brain; microscopic evidence (e.g., Gram stain) from either the CSF or brain; or positive culture or microscopic evidence from a non-intracranial source accompanied by CSF findings consistent with meningitis (e.g., </w:t>
      </w:r>
      <w:r w:rsidRPr="00F44370">
        <w:rPr>
          <w:rFonts w:ascii="Times New Roman" w:hAnsi="Times New Roman"/>
          <w:sz w:val="24"/>
          <w:szCs w:val="24"/>
        </w:rPr>
        <w:t>WBCs &gt; .005 x 10</w:t>
      </w:r>
      <w:r w:rsidRPr="00F44370">
        <w:rPr>
          <w:rFonts w:ascii="Times New Roman" w:hAnsi="Times New Roman"/>
          <w:sz w:val="24"/>
          <w:szCs w:val="24"/>
          <w:vertAlign w:val="superscript"/>
        </w:rPr>
        <w:t>9</w:t>
      </w:r>
      <w:r w:rsidRPr="00F44370">
        <w:rPr>
          <w:rFonts w:ascii="Times New Roman" w:hAnsi="Times New Roman"/>
          <w:sz w:val="24"/>
          <w:szCs w:val="24"/>
        </w:rPr>
        <w:t>/L</w:t>
      </w:r>
      <w:r w:rsidRPr="00F44370">
        <w:rPr>
          <w:rFonts w:ascii="Times New Roman" w:hAnsi="Times New Roman" w:cs="Times New Roman"/>
          <w:sz w:val="24"/>
          <w:szCs w:val="24"/>
        </w:rPr>
        <w:t>). Probable anthrax meningitis was defined as CSF described as bloody, cloudy, or</w:t>
      </w:r>
      <w:r w:rsidRPr="007B0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F8">
        <w:rPr>
          <w:rFonts w:ascii="Times New Roman" w:hAnsi="Times New Roman" w:cs="Times New Roman"/>
          <w:sz w:val="24"/>
          <w:szCs w:val="24"/>
        </w:rPr>
        <w:t>xanthochromic</w:t>
      </w:r>
      <w:proofErr w:type="spellEnd"/>
      <w:r w:rsidRPr="007B05F8">
        <w:rPr>
          <w:rFonts w:ascii="Times New Roman" w:hAnsi="Times New Roman" w:cs="Times New Roman"/>
          <w:sz w:val="24"/>
          <w:szCs w:val="24"/>
        </w:rPr>
        <w:t xml:space="preserve"> or CT, MRI, or autopsy evidence of a subarachnoid or intracranial hemorrhage or encephalitis. Suspect</w:t>
      </w:r>
      <w:r w:rsidR="001D20A1">
        <w:rPr>
          <w:rFonts w:ascii="Times New Roman" w:hAnsi="Times New Roman" w:cs="Times New Roman"/>
          <w:sz w:val="24"/>
          <w:szCs w:val="24"/>
        </w:rPr>
        <w:t>ed</w:t>
      </w:r>
      <w:r w:rsidRPr="007B05F8">
        <w:rPr>
          <w:rFonts w:ascii="Times New Roman" w:hAnsi="Times New Roman" w:cs="Times New Roman"/>
          <w:sz w:val="24"/>
          <w:szCs w:val="24"/>
        </w:rPr>
        <w:t xml:space="preserve"> anthrax meningitis was defined as the presence of meningeal signs (i.e., Kernig sign, Brudzinski sign, nuchal rigidity, photophobia, </w:t>
      </w:r>
      <w:proofErr w:type="gramStart"/>
      <w:r w:rsidRPr="007B05F8">
        <w:rPr>
          <w:rFonts w:ascii="Times New Roman" w:hAnsi="Times New Roman" w:cs="Times New Roman"/>
          <w:sz w:val="24"/>
          <w:szCs w:val="24"/>
        </w:rPr>
        <w:lastRenderedPageBreak/>
        <w:t>meningismus</w:t>
      </w:r>
      <w:proofErr w:type="gramEnd"/>
      <w:r w:rsidRPr="007B05F8">
        <w:rPr>
          <w:rFonts w:ascii="Times New Roman" w:hAnsi="Times New Roman" w:cs="Times New Roman"/>
          <w:sz w:val="24"/>
          <w:szCs w:val="24"/>
        </w:rPr>
        <w:t xml:space="preserve">) or nonheadache, nonmeningeal </w:t>
      </w:r>
      <w:r>
        <w:rPr>
          <w:rFonts w:ascii="Times New Roman" w:hAnsi="Times New Roman" w:cs="Times New Roman"/>
          <w:sz w:val="24"/>
          <w:szCs w:val="24"/>
        </w:rPr>
        <w:t xml:space="preserve">neurological </w:t>
      </w:r>
      <w:r w:rsidRPr="007B05F8">
        <w:rPr>
          <w:rFonts w:ascii="Times New Roman" w:hAnsi="Times New Roman" w:cs="Times New Roman"/>
          <w:sz w:val="24"/>
          <w:szCs w:val="24"/>
        </w:rPr>
        <w:t xml:space="preserve">signs (e.g., seizure, cranial nerve signs, limb weakness, papilledema). </w:t>
      </w:r>
    </w:p>
    <w:p w14:paraId="78B1CD7C" w14:textId="77777777" w:rsidR="00A974D5" w:rsidRPr="007B05F8" w:rsidRDefault="00A974D5" w:rsidP="00A97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250D50" w14:textId="77777777" w:rsidR="00A974D5" w:rsidRPr="007B05F8" w:rsidRDefault="00A974D5" w:rsidP="00A974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05F8">
        <w:rPr>
          <w:rFonts w:ascii="Times New Roman" w:hAnsi="Times New Roman" w:cs="Times New Roman"/>
          <w:sz w:val="24"/>
          <w:szCs w:val="24"/>
        </w:rPr>
        <w:t xml:space="preserve">Fulminant disease was considered to be present in patients who were described as being cyanotic or in shock; who, in the modern era, needed mechanical ventilation or vasopressors; or who died prior to or the day of arrival.  Those who lacked these features were considered to have prodromal disease. </w:t>
      </w:r>
    </w:p>
    <w:p w14:paraId="207C90A7" w14:textId="77777777" w:rsidR="00560ABA" w:rsidRDefault="00560ABA" w:rsidP="00560A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C6214B" w14:textId="77777777" w:rsidR="00560ABA" w:rsidRPr="007B05F8" w:rsidRDefault="00560ABA" w:rsidP="00560A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05F8">
        <w:rPr>
          <w:rFonts w:ascii="Times New Roman" w:hAnsi="Times New Roman" w:cs="Times New Roman"/>
          <w:sz w:val="24"/>
          <w:szCs w:val="24"/>
        </w:rPr>
        <w:t>Country codes and geographic regions were assigned according to UN criteria.</w:t>
      </w:r>
    </w:p>
    <w:p w14:paraId="7CF83726" w14:textId="1C6FD64D" w:rsidR="00DC57CC" w:rsidRPr="005C7D19" w:rsidRDefault="00DC57CC" w:rsidP="005C7D19"/>
    <w:sectPr w:rsidR="00DC57CC" w:rsidRPr="005C7D19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F7EF" w14:textId="77777777" w:rsidR="0041375A" w:rsidRDefault="0041375A" w:rsidP="008B5D54">
      <w:pPr>
        <w:spacing w:after="0" w:line="240" w:lineRule="auto"/>
      </w:pPr>
      <w:r>
        <w:separator/>
      </w:r>
    </w:p>
  </w:endnote>
  <w:endnote w:type="continuationSeparator" w:id="0">
    <w:p w14:paraId="715C5584" w14:textId="77777777" w:rsidR="0041375A" w:rsidRDefault="0041375A" w:rsidP="008B5D54">
      <w:pPr>
        <w:spacing w:after="0" w:line="240" w:lineRule="auto"/>
      </w:pPr>
      <w:r>
        <w:continuationSeparator/>
      </w:r>
    </w:p>
  </w:endnote>
  <w:endnote w:type="continuationNotice" w:id="1">
    <w:p w14:paraId="519AE584" w14:textId="77777777" w:rsidR="0041375A" w:rsidRDefault="00413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A5FD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430A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369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D18F" w14:textId="77777777" w:rsidR="0041375A" w:rsidRDefault="0041375A" w:rsidP="008B5D54">
      <w:pPr>
        <w:spacing w:after="0" w:line="240" w:lineRule="auto"/>
      </w:pPr>
      <w:r>
        <w:separator/>
      </w:r>
    </w:p>
  </w:footnote>
  <w:footnote w:type="continuationSeparator" w:id="0">
    <w:p w14:paraId="0FD8E114" w14:textId="77777777" w:rsidR="0041375A" w:rsidRDefault="0041375A" w:rsidP="008B5D54">
      <w:pPr>
        <w:spacing w:after="0" w:line="240" w:lineRule="auto"/>
      </w:pPr>
      <w:r>
        <w:continuationSeparator/>
      </w:r>
    </w:p>
  </w:footnote>
  <w:footnote w:type="continuationNotice" w:id="1">
    <w:p w14:paraId="4A1F7286" w14:textId="77777777" w:rsidR="0041375A" w:rsidRDefault="00413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A523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2EAB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1B7F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5"/>
    <w:rsid w:val="001D20A1"/>
    <w:rsid w:val="002D7935"/>
    <w:rsid w:val="003522AE"/>
    <w:rsid w:val="00353601"/>
    <w:rsid w:val="00366A68"/>
    <w:rsid w:val="0041375A"/>
    <w:rsid w:val="004D3027"/>
    <w:rsid w:val="005007E0"/>
    <w:rsid w:val="00560ABA"/>
    <w:rsid w:val="005C7D19"/>
    <w:rsid w:val="005D5A23"/>
    <w:rsid w:val="006C6578"/>
    <w:rsid w:val="008B5D54"/>
    <w:rsid w:val="00A974D5"/>
    <w:rsid w:val="00B55735"/>
    <w:rsid w:val="00B608AC"/>
    <w:rsid w:val="00B7378D"/>
    <w:rsid w:val="00C03DAB"/>
    <w:rsid w:val="00C62FA2"/>
    <w:rsid w:val="00D30B62"/>
    <w:rsid w:val="00DB1D14"/>
    <w:rsid w:val="00DC57CC"/>
    <w:rsid w:val="00E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2B5A2F-E63E-4BCD-94B9-8ED8C8F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PlainText">
    <w:name w:val="Plain Text"/>
    <w:basedOn w:val="Normal"/>
    <w:link w:val="PlainTextChar"/>
    <w:uiPriority w:val="99"/>
    <w:unhideWhenUsed/>
    <w:rsid w:val="00A974D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74D5"/>
    <w:rPr>
      <w:rFonts w:ascii="Calibri" w:eastAsia="Times New Roman" w:hAnsi="Calibri" w:cs="Times New Roman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4137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53EA-8B2B-4C27-A523-1EB0842F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 Walters, Katherine (Kate) (CDC/OID/NCEZID)</dc:creator>
  <cp:keywords/>
  <dc:description/>
  <cp:lastModifiedBy>Hendricks Walters, Katherine (Kate) (CDC/OID/NCEZID)</cp:lastModifiedBy>
  <cp:revision>3</cp:revision>
  <dcterms:created xsi:type="dcterms:W3CDTF">2016-03-16T15:30:00Z</dcterms:created>
  <dcterms:modified xsi:type="dcterms:W3CDTF">2016-03-16T15:30:00Z</dcterms:modified>
</cp:coreProperties>
</file>