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BD" w:rsidRPr="00E80F9E" w:rsidRDefault="009705BD" w:rsidP="009705BD">
      <w:pPr>
        <w:spacing w:before="240"/>
      </w:pPr>
      <w:bookmarkStart w:id="0" w:name="_GoBack"/>
      <w:bookmarkEnd w:id="0"/>
      <w:r w:rsidRPr="00E80F9E">
        <w:rPr>
          <w:b/>
        </w:rPr>
        <w:t xml:space="preserve">Supplemental Table 1: Forms of beryllium materials encountered during production and characteristics of exposure aerosols by the process or job area where the sample was obtained (adapted from Virji et al., </w:t>
      </w:r>
      <w:r w:rsidR="00D51982">
        <w:rPr>
          <w:b/>
        </w:rPr>
        <w:t xml:space="preserve">Characteristics of  Beryllium to Small Particles at a Beryllium Production Facility, </w:t>
      </w:r>
      <w:r w:rsidR="00D51982" w:rsidRPr="00D51982">
        <w:rPr>
          <w:b/>
          <w:i/>
        </w:rPr>
        <w:t>Annals of Occupational Hygiene</w:t>
      </w:r>
      <w:r w:rsidR="00D51982">
        <w:rPr>
          <w:b/>
        </w:rPr>
        <w:t xml:space="preserve">, </w:t>
      </w:r>
      <w:r w:rsidRPr="00E80F9E">
        <w:rPr>
          <w:b/>
        </w:rPr>
        <w:t>2011</w:t>
      </w:r>
      <w:r w:rsidR="00D51982">
        <w:rPr>
          <w:b/>
        </w:rPr>
        <w:t>, 55(1), pp. 70–85, Oxford University Press</w:t>
      </w:r>
      <w:r w:rsidRPr="00E80F9E">
        <w:rPr>
          <w:b/>
        </w:rPr>
        <w:t>)</w:t>
      </w:r>
      <w:r w:rsidRPr="00E80F9E">
        <w:t>. Since the samples were collected by process type and area, all of the samples do not correspond directly with jobs listed in Figure 1 and Tables 2-3.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21"/>
        <w:gridCol w:w="861"/>
        <w:gridCol w:w="1344"/>
        <w:gridCol w:w="1922"/>
        <w:gridCol w:w="222"/>
        <w:gridCol w:w="1280"/>
        <w:gridCol w:w="1126"/>
      </w:tblGrid>
      <w:tr w:rsidR="009705BD" w:rsidRPr="00D81C55" w:rsidTr="001017CB">
        <w:trPr>
          <w:trHeight w:val="485"/>
        </w:trPr>
        <w:tc>
          <w:tcPr>
            <w:tcW w:w="1508" w:type="pct"/>
            <w:vMerge w:val="restart"/>
            <w:tcBorders>
              <w:top w:val="single" w:sz="4" w:space="0" w:color="auto"/>
            </w:tcBorders>
            <w:vAlign w:val="center"/>
          </w:tcPr>
          <w:p w:rsidR="009705BD" w:rsidRPr="00E80F9E" w:rsidRDefault="009705BD" w:rsidP="001017CB">
            <w:pPr>
              <w:spacing w:line="276" w:lineRule="auto"/>
              <w:rPr>
                <w:b/>
                <w:sz w:val="20"/>
                <w:szCs w:val="20"/>
              </w:rPr>
            </w:pPr>
            <w:r w:rsidRPr="00E80F9E">
              <w:rPr>
                <w:b/>
                <w:sz w:val="20"/>
                <w:szCs w:val="20"/>
              </w:rPr>
              <w:t xml:space="preserve">Process or job area 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9705BD" w:rsidRPr="00E80F9E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80F9E">
              <w:rPr>
                <w:b/>
                <w:sz w:val="20"/>
                <w:szCs w:val="20"/>
              </w:rPr>
              <w:t>Facility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5BD" w:rsidRPr="00E80F9E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80F9E">
              <w:rPr>
                <w:b/>
                <w:sz w:val="20"/>
                <w:szCs w:val="20"/>
              </w:rPr>
              <w:t>Beryllium process materials</w:t>
            </w:r>
            <w:r w:rsidRPr="00E80F9E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1" w:type="pct"/>
            <w:tcBorders>
              <w:top w:val="single" w:sz="4" w:space="0" w:color="auto"/>
            </w:tcBorders>
            <w:vAlign w:val="center"/>
          </w:tcPr>
          <w:p w:rsidR="009705BD" w:rsidRPr="00E80F9E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5BD" w:rsidRPr="00657BDA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80F9E">
              <w:rPr>
                <w:b/>
                <w:sz w:val="20"/>
                <w:szCs w:val="20"/>
              </w:rPr>
              <w:t>Beryllium exposures</w:t>
            </w:r>
          </w:p>
        </w:tc>
      </w:tr>
      <w:tr w:rsidR="009705BD" w:rsidRPr="00D81C55" w:rsidTr="001017CB">
        <w:trPr>
          <w:trHeight w:val="152"/>
        </w:trPr>
        <w:tc>
          <w:tcPr>
            <w:tcW w:w="1508" w:type="pct"/>
            <w:vMerge/>
            <w:tcBorders>
              <w:bottom w:val="single" w:sz="4" w:space="0" w:color="auto"/>
            </w:tcBorders>
            <w:vAlign w:val="center"/>
          </w:tcPr>
          <w:p w:rsidR="009705BD" w:rsidRPr="00657BDA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9705BD" w:rsidRPr="00657BDA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5BD" w:rsidRPr="00657BDA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7BDA">
              <w:rPr>
                <w:b/>
                <w:sz w:val="20"/>
                <w:szCs w:val="20"/>
              </w:rPr>
              <w:t>Chemical Form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5BD" w:rsidRPr="00657BDA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7BDA">
              <w:rPr>
                <w:b/>
                <w:sz w:val="20"/>
                <w:szCs w:val="20"/>
              </w:rPr>
              <w:t>Physical form</w:t>
            </w: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9705BD" w:rsidRPr="00657BDA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5BD" w:rsidRPr="00657BDA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7BDA">
              <w:rPr>
                <w:b/>
                <w:sz w:val="20"/>
                <w:szCs w:val="20"/>
              </w:rPr>
              <w:t>Compound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5BD" w:rsidRPr="00657BDA" w:rsidRDefault="009705BD" w:rsidP="00101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7BDA">
              <w:rPr>
                <w:b/>
                <w:sz w:val="20"/>
                <w:szCs w:val="20"/>
              </w:rPr>
              <w:t>Solubility</w:t>
            </w:r>
            <w:r w:rsidRPr="00657BDA">
              <w:rPr>
                <w:b/>
                <w:sz w:val="20"/>
                <w:szCs w:val="20"/>
                <w:vertAlign w:val="superscript"/>
              </w:rPr>
              <w:t>B</w:t>
            </w:r>
          </w:p>
        </w:tc>
      </w:tr>
      <w:tr w:rsidR="009705BD" w:rsidRPr="00D81C55" w:rsidTr="001017CB">
        <w:tc>
          <w:tcPr>
            <w:tcW w:w="1508" w:type="pct"/>
            <w:tcBorders>
              <w:top w:val="single" w:sz="4" w:space="0" w:color="auto"/>
            </w:tcBorders>
          </w:tcPr>
          <w:p w:rsidR="009705BD" w:rsidRPr="00B9389A" w:rsidRDefault="009705BD" w:rsidP="001017CB">
            <w:pPr>
              <w:spacing w:line="276" w:lineRule="auto"/>
              <w:rPr>
                <w:b/>
                <w:sz w:val="20"/>
                <w:szCs w:val="20"/>
              </w:rPr>
            </w:pPr>
            <w:r w:rsidRPr="00B9389A">
              <w:rPr>
                <w:b/>
                <w:sz w:val="20"/>
                <w:szCs w:val="20"/>
              </w:rPr>
              <w:t>Beryllium Metal Production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</w:tcBorders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</w:tcBorders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Wet Plant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Be(OH)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(NH</w:t>
            </w:r>
            <w:r w:rsidRPr="00D81C55">
              <w:rPr>
                <w:sz w:val="20"/>
                <w:szCs w:val="20"/>
                <w:vertAlign w:val="subscript"/>
              </w:rPr>
              <w:t>4</w:t>
            </w:r>
            <w:r w:rsidRPr="00D81C55">
              <w:rPr>
                <w:sz w:val="20"/>
                <w:szCs w:val="20"/>
              </w:rPr>
              <w:t>)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  <w:r w:rsidRPr="00D81C55">
              <w:rPr>
                <w:sz w:val="20"/>
                <w:szCs w:val="20"/>
              </w:rPr>
              <w:t>BeF</w:t>
            </w:r>
            <w:r w:rsidRPr="00D81C5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Moist powder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 xml:space="preserve">Salt solution 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Be(OH)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(NH</w:t>
            </w:r>
            <w:r w:rsidRPr="00D81C55">
              <w:rPr>
                <w:sz w:val="20"/>
                <w:szCs w:val="20"/>
                <w:vertAlign w:val="subscript"/>
              </w:rPr>
              <w:t>4</w:t>
            </w:r>
            <w:r w:rsidRPr="00D81C55">
              <w:rPr>
                <w:sz w:val="20"/>
                <w:szCs w:val="20"/>
              </w:rPr>
              <w:t>)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  <w:r w:rsidRPr="00D81C55">
              <w:rPr>
                <w:sz w:val="20"/>
                <w:szCs w:val="20"/>
              </w:rPr>
              <w:t>BeF</w:t>
            </w:r>
            <w:r w:rsidRPr="00D81C5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Soluble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Pebbles Plant Fluoride Furnace</w:t>
            </w:r>
            <w:r w:rsidRPr="0065155E"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vertAlign w:val="subscript"/>
              </w:rPr>
            </w:pPr>
            <w:r w:rsidRPr="00D81C55">
              <w:rPr>
                <w:sz w:val="20"/>
                <w:szCs w:val="20"/>
              </w:rPr>
              <w:t>(NH</w:t>
            </w:r>
            <w:r w:rsidRPr="00D81C55">
              <w:rPr>
                <w:sz w:val="20"/>
                <w:szCs w:val="20"/>
                <w:vertAlign w:val="subscript"/>
              </w:rPr>
              <w:t>4</w:t>
            </w:r>
            <w:r w:rsidRPr="00D81C55">
              <w:rPr>
                <w:sz w:val="20"/>
                <w:szCs w:val="20"/>
              </w:rPr>
              <w:t>)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  <w:r w:rsidRPr="00D81C55">
              <w:rPr>
                <w:sz w:val="20"/>
                <w:szCs w:val="20"/>
              </w:rPr>
              <w:t>BeF</w:t>
            </w:r>
            <w:r w:rsidRPr="00D81C55">
              <w:rPr>
                <w:sz w:val="20"/>
                <w:szCs w:val="20"/>
                <w:vertAlign w:val="subscript"/>
              </w:rPr>
              <w:t>4</w:t>
            </w:r>
            <w:r w:rsidRPr="00D81C55">
              <w:rPr>
                <w:sz w:val="20"/>
                <w:szCs w:val="20"/>
              </w:rPr>
              <w:br/>
              <w:t>BeF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Salt solution</w:t>
            </w:r>
            <w:r w:rsidRPr="00D81C55">
              <w:rPr>
                <w:sz w:val="20"/>
                <w:szCs w:val="20"/>
              </w:rPr>
              <w:br/>
              <w:t>Solid (glass)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(NH</w:t>
            </w:r>
            <w:r w:rsidRPr="00D81C55">
              <w:rPr>
                <w:sz w:val="20"/>
                <w:szCs w:val="20"/>
                <w:vertAlign w:val="subscript"/>
              </w:rPr>
              <w:t>4</w:t>
            </w:r>
            <w:r w:rsidRPr="00D81C55">
              <w:rPr>
                <w:sz w:val="20"/>
                <w:szCs w:val="20"/>
              </w:rPr>
              <w:t>)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  <w:r w:rsidRPr="00D81C55">
              <w:rPr>
                <w:sz w:val="20"/>
                <w:szCs w:val="20"/>
              </w:rPr>
              <w:t>BeF</w:t>
            </w:r>
            <w:r w:rsidRPr="00D81C55">
              <w:rPr>
                <w:sz w:val="20"/>
                <w:szCs w:val="20"/>
                <w:vertAlign w:val="subscript"/>
              </w:rPr>
              <w:t>4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BeF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Soluble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Soluble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Pebbles Plant Reduction Furnace</w:t>
            </w:r>
            <w:r w:rsidRPr="0065155E"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BeF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  <w:r w:rsidRPr="00D81C55">
              <w:rPr>
                <w:sz w:val="20"/>
                <w:szCs w:val="20"/>
              </w:rPr>
              <w:br/>
              <w:t>Be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Solid (glass)</w:t>
            </w:r>
            <w:r w:rsidRPr="00D81C55">
              <w:rPr>
                <w:sz w:val="20"/>
                <w:szCs w:val="20"/>
              </w:rPr>
              <w:br/>
              <w:t>Solid (pebbles)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BeF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Soluble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Powdering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Chips/powder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rPr>
          <w:trHeight w:val="459"/>
        </w:trPr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Machining (High Be)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Solid (parts)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Dissolved in MWF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  <w:r w:rsidRPr="00D81C55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Soluble</w:t>
            </w:r>
          </w:p>
        </w:tc>
      </w:tr>
      <w:tr w:rsidR="009705BD" w:rsidRPr="00D81C55" w:rsidTr="001017CB">
        <w:trPr>
          <w:trHeight w:val="71"/>
        </w:trPr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b/>
                <w:sz w:val="20"/>
                <w:szCs w:val="20"/>
              </w:rPr>
            </w:pPr>
            <w:r w:rsidRPr="0065155E">
              <w:rPr>
                <w:b/>
                <w:sz w:val="20"/>
                <w:szCs w:val="20"/>
              </w:rPr>
              <w:t>Beryllium Oxide Production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BeO Screener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Be(OH)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BeSO</w:t>
            </w:r>
            <w:r w:rsidRPr="00D81C55">
              <w:rPr>
                <w:sz w:val="20"/>
                <w:szCs w:val="20"/>
                <w:vertAlign w:val="subscript"/>
              </w:rPr>
              <w:t>4</w:t>
            </w:r>
            <w:r w:rsidRPr="00D81C55">
              <w:rPr>
                <w:sz w:val="20"/>
                <w:szCs w:val="20"/>
              </w:rPr>
              <w:t>·4H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  <w:r w:rsidRPr="00D81C55">
              <w:rPr>
                <w:sz w:val="20"/>
                <w:szCs w:val="20"/>
              </w:rPr>
              <w:t>O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Moist powder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Salt solution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Powder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Be(OH)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BeSO</w:t>
            </w:r>
            <w:r w:rsidRPr="00D81C55">
              <w:rPr>
                <w:sz w:val="20"/>
                <w:szCs w:val="20"/>
                <w:vertAlign w:val="subscript"/>
              </w:rPr>
              <w:t>4</w:t>
            </w:r>
            <w:r w:rsidRPr="00D81C55">
              <w:rPr>
                <w:sz w:val="20"/>
                <w:szCs w:val="20"/>
              </w:rPr>
              <w:t>·4H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  <w:r w:rsidRPr="00D81C55">
              <w:rPr>
                <w:sz w:val="20"/>
                <w:szCs w:val="20"/>
              </w:rPr>
              <w:t xml:space="preserve">O 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Soluble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Oxide (Product)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A,B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Powder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Material Preparation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Powder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Pressing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Powder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Sintering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Powder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Machining 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Powder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5BD" w:rsidRPr="00D81C55" w:rsidTr="001017CB"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b/>
                <w:sz w:val="20"/>
                <w:szCs w:val="20"/>
              </w:rPr>
            </w:pPr>
            <w:r w:rsidRPr="0065155E">
              <w:rPr>
                <w:b/>
                <w:sz w:val="20"/>
                <w:szCs w:val="20"/>
              </w:rPr>
              <w:t>Beryllium Alloy Production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5BD" w:rsidRPr="00D81C55" w:rsidTr="001017CB">
        <w:trPr>
          <w:trHeight w:val="531"/>
        </w:trPr>
        <w:tc>
          <w:tcPr>
            <w:tcW w:w="1508" w:type="pct"/>
          </w:tcPr>
          <w:p w:rsidR="009705BD" w:rsidRPr="0065155E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Master Alloy Arc Furnace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Be(OH)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  <w:r w:rsidRPr="00D81C55">
              <w:rPr>
                <w:sz w:val="20"/>
                <w:szCs w:val="20"/>
              </w:rPr>
              <w:br/>
              <w:t>CuBe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t>Moist powder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t>Powder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t>Molten/solid (ingot)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vertAlign w:val="subscript"/>
              </w:rPr>
            </w:pPr>
            <w:r w:rsidRPr="00D81C55">
              <w:rPr>
                <w:sz w:val="20"/>
                <w:szCs w:val="20"/>
              </w:rPr>
              <w:t>Be(OH)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  <w:r w:rsidRPr="00D81C55">
              <w:rPr>
                <w:sz w:val="20"/>
                <w:szCs w:val="20"/>
                <w:vertAlign w:val="subscript"/>
              </w:rPr>
              <w:br/>
            </w:r>
            <w:r w:rsidRPr="00D81C55">
              <w:rPr>
                <w:sz w:val="20"/>
                <w:szCs w:val="20"/>
              </w:rPr>
              <w:t>BeO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65155E">
              <w:rPr>
                <w:sz w:val="20"/>
                <w:szCs w:val="20"/>
              </w:rPr>
              <w:t xml:space="preserve">  Casting Alloy Induction Furnace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CuBe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Solid (ingot)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Rod and Wire (</w:t>
            </w:r>
            <w:r w:rsidRPr="00D81C55">
              <w:rPr>
                <w:sz w:val="20"/>
                <w:szCs w:val="20"/>
              </w:rPr>
              <w:t xml:space="preserve">Bulk </w:t>
            </w:r>
            <w:r>
              <w:rPr>
                <w:sz w:val="20"/>
                <w:szCs w:val="20"/>
              </w:rPr>
              <w:t>P</w:t>
            </w:r>
            <w:r w:rsidRPr="00D81C55">
              <w:rPr>
                <w:sz w:val="20"/>
                <w:szCs w:val="20"/>
              </w:rPr>
              <w:t>roducts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A,C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CuBe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Solid (rod/wire)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Dissolved in PS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  <w:r w:rsidRPr="00D81C55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Soluble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 xml:space="preserve">  Strip </w:t>
            </w:r>
            <w:r>
              <w:rPr>
                <w:sz w:val="20"/>
                <w:szCs w:val="20"/>
              </w:rPr>
              <w:t>Operator (P</w:t>
            </w:r>
            <w:r w:rsidRPr="00D81C55">
              <w:rPr>
                <w:sz w:val="20"/>
                <w:szCs w:val="20"/>
              </w:rPr>
              <w:t>roduct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A,C,D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CuBe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Solid (strip)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Dissolved in PS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  <w:r w:rsidRPr="00D81C55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Soluble</w:t>
            </w:r>
          </w:p>
        </w:tc>
      </w:tr>
      <w:tr w:rsidR="009705BD" w:rsidRPr="00D81C55" w:rsidTr="001017CB">
        <w:tc>
          <w:tcPr>
            <w:tcW w:w="150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5BD" w:rsidRPr="00D81C55" w:rsidTr="001017CB">
        <w:tc>
          <w:tcPr>
            <w:tcW w:w="150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5BD" w:rsidRPr="00D81C55" w:rsidTr="001017CB">
        <w:tc>
          <w:tcPr>
            <w:tcW w:w="150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5BD" w:rsidRPr="00D81C55" w:rsidTr="001017CB">
        <w:tc>
          <w:tcPr>
            <w:tcW w:w="1508" w:type="pct"/>
          </w:tcPr>
          <w:p w:rsidR="009705BD" w:rsidRPr="00B9389A" w:rsidRDefault="009705BD" w:rsidP="001017CB">
            <w:pPr>
              <w:spacing w:line="276" w:lineRule="auto"/>
              <w:rPr>
                <w:b/>
                <w:sz w:val="20"/>
                <w:szCs w:val="20"/>
              </w:rPr>
            </w:pPr>
            <w:r w:rsidRPr="00B9389A">
              <w:rPr>
                <w:b/>
                <w:sz w:val="20"/>
                <w:szCs w:val="20"/>
              </w:rPr>
              <w:t>Miscellaneous Production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5BD" w:rsidRPr="00D81C55" w:rsidTr="001017CB">
        <w:tc>
          <w:tcPr>
            <w:tcW w:w="1508" w:type="pct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Scrap Reclamation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lastRenderedPageBreak/>
              <w:t>BeO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CuBe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BeF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lastRenderedPageBreak/>
              <w:t>Solid (various)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lastRenderedPageBreak/>
              <w:t>Solid (various)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t>Solid (various)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t>Salt solution</w:t>
            </w: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lastRenderedPageBreak/>
              <w:t>BeO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</w:rPr>
              <w:t>BeF</w:t>
            </w:r>
            <w:r w:rsidRPr="00D81C5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lastRenderedPageBreak/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lastRenderedPageBreak/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D81C55">
              <w:rPr>
                <w:sz w:val="20"/>
                <w:szCs w:val="20"/>
                <w:lang w:val="sv-SE"/>
              </w:rPr>
              <w:t>Soluble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</w:tr>
      <w:tr w:rsidR="009705BD" w:rsidRPr="00D81C55" w:rsidTr="001017CB">
        <w:tc>
          <w:tcPr>
            <w:tcW w:w="1508" w:type="pct"/>
          </w:tcPr>
          <w:p w:rsidR="009705BD" w:rsidRPr="00657BDA" w:rsidRDefault="009705BD" w:rsidP="001017CB">
            <w:pPr>
              <w:spacing w:line="276" w:lineRule="auto"/>
              <w:rPr>
                <w:b/>
                <w:sz w:val="20"/>
                <w:szCs w:val="20"/>
              </w:rPr>
            </w:pPr>
            <w:r w:rsidRPr="00657BDA">
              <w:rPr>
                <w:b/>
                <w:sz w:val="20"/>
                <w:szCs w:val="20"/>
              </w:rPr>
              <w:lastRenderedPageBreak/>
              <w:t>Production Support</w:t>
            </w:r>
          </w:p>
        </w:tc>
        <w:tc>
          <w:tcPr>
            <w:tcW w:w="416" w:type="pct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</w:p>
        </w:tc>
        <w:tc>
          <w:tcPr>
            <w:tcW w:w="111" w:type="pct"/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643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  <w:lang w:val="sv-SE"/>
              </w:rPr>
            </w:pPr>
          </w:p>
        </w:tc>
      </w:tr>
      <w:tr w:rsidR="009705BD" w:rsidRPr="00D81C55" w:rsidTr="001017CB">
        <w:tc>
          <w:tcPr>
            <w:tcW w:w="1508" w:type="pct"/>
            <w:tcBorders>
              <w:bottom w:val="single" w:sz="4" w:space="0" w:color="auto"/>
            </w:tcBorders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 xml:space="preserve">  R&amp;D/QA and QC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A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CuBe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bottom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Solid (various)/powder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Solid (various)/powder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Solid (various)/powder</w:t>
            </w:r>
          </w:p>
        </w:tc>
        <w:tc>
          <w:tcPr>
            <w:tcW w:w="111" w:type="pct"/>
            <w:tcBorders>
              <w:bottom w:val="single" w:sz="4" w:space="0" w:color="auto"/>
            </w:tcBorders>
            <w:vAlign w:val="bottom"/>
          </w:tcPr>
          <w:p w:rsidR="009705BD" w:rsidRPr="00D81C55" w:rsidRDefault="009705BD" w:rsidP="001017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BeO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Be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  <w:p w:rsidR="009705BD" w:rsidRPr="00D81C55" w:rsidRDefault="009705BD" w:rsidP="001017CB">
            <w:pPr>
              <w:spacing w:line="276" w:lineRule="auto"/>
              <w:rPr>
                <w:sz w:val="20"/>
                <w:szCs w:val="20"/>
              </w:rPr>
            </w:pPr>
            <w:r w:rsidRPr="00D81C55">
              <w:rPr>
                <w:sz w:val="20"/>
                <w:szCs w:val="20"/>
              </w:rPr>
              <w:t>Poor</w:t>
            </w:r>
          </w:p>
        </w:tc>
      </w:tr>
    </w:tbl>
    <w:p w:rsidR="009705BD" w:rsidRPr="00D81C55" w:rsidRDefault="009705BD" w:rsidP="009705BD">
      <w:pPr>
        <w:spacing w:line="276" w:lineRule="auto"/>
        <w:ind w:left="-360"/>
        <w:rPr>
          <w:sz w:val="20"/>
          <w:szCs w:val="20"/>
        </w:rPr>
      </w:pPr>
      <w:r w:rsidRPr="00D81C55">
        <w:rPr>
          <w:sz w:val="20"/>
          <w:szCs w:val="20"/>
        </w:rPr>
        <w:t>Be(OH)</w:t>
      </w:r>
      <w:r w:rsidRPr="00D81C55">
        <w:rPr>
          <w:sz w:val="20"/>
          <w:szCs w:val="20"/>
          <w:vertAlign w:val="subscript"/>
        </w:rPr>
        <w:t>2</w:t>
      </w:r>
      <w:r w:rsidRPr="00D81C55">
        <w:rPr>
          <w:sz w:val="20"/>
          <w:szCs w:val="20"/>
        </w:rPr>
        <w:t xml:space="preserve"> = beryllium hydroxide; (NH</w:t>
      </w:r>
      <w:r w:rsidRPr="00D81C55">
        <w:rPr>
          <w:sz w:val="20"/>
          <w:szCs w:val="20"/>
          <w:vertAlign w:val="subscript"/>
        </w:rPr>
        <w:t>4</w:t>
      </w:r>
      <w:r w:rsidRPr="00D81C55">
        <w:rPr>
          <w:sz w:val="20"/>
          <w:szCs w:val="20"/>
        </w:rPr>
        <w:t>)</w:t>
      </w:r>
      <w:r w:rsidRPr="00D81C55">
        <w:rPr>
          <w:sz w:val="20"/>
          <w:szCs w:val="20"/>
          <w:vertAlign w:val="subscript"/>
        </w:rPr>
        <w:t>2</w:t>
      </w:r>
      <w:r w:rsidRPr="00D81C55">
        <w:rPr>
          <w:sz w:val="20"/>
          <w:szCs w:val="20"/>
        </w:rPr>
        <w:t>BeF</w:t>
      </w:r>
      <w:r w:rsidRPr="00D81C55">
        <w:rPr>
          <w:sz w:val="20"/>
          <w:szCs w:val="20"/>
          <w:vertAlign w:val="subscript"/>
        </w:rPr>
        <w:t>4</w:t>
      </w:r>
      <w:r w:rsidRPr="00D81C55">
        <w:rPr>
          <w:sz w:val="20"/>
          <w:szCs w:val="20"/>
        </w:rPr>
        <w:t xml:space="preserve"> = ammonium beryllium fluoride; BeF</w:t>
      </w:r>
      <w:r w:rsidRPr="00D81C55">
        <w:rPr>
          <w:sz w:val="20"/>
          <w:szCs w:val="20"/>
          <w:vertAlign w:val="subscript"/>
        </w:rPr>
        <w:t>2</w:t>
      </w:r>
      <w:r w:rsidRPr="00D81C55">
        <w:rPr>
          <w:sz w:val="20"/>
          <w:szCs w:val="20"/>
        </w:rPr>
        <w:t xml:space="preserve"> = beryllium fluoride; Be = beryllium; Be</w:t>
      </w:r>
      <w:r w:rsidRPr="00D81C55">
        <w:rPr>
          <w:sz w:val="20"/>
          <w:szCs w:val="20"/>
          <w:vertAlign w:val="superscript"/>
        </w:rPr>
        <w:t>+2</w:t>
      </w:r>
      <w:r w:rsidRPr="00D81C55">
        <w:rPr>
          <w:sz w:val="20"/>
          <w:szCs w:val="20"/>
        </w:rPr>
        <w:t xml:space="preserve"> = dissolved/soluble beryllium; BeSO</w:t>
      </w:r>
      <w:r w:rsidRPr="00D81C55">
        <w:rPr>
          <w:sz w:val="20"/>
          <w:szCs w:val="20"/>
          <w:vertAlign w:val="subscript"/>
        </w:rPr>
        <w:t>4</w:t>
      </w:r>
      <w:r w:rsidRPr="00D81C55">
        <w:rPr>
          <w:sz w:val="20"/>
          <w:szCs w:val="20"/>
        </w:rPr>
        <w:t>·4H</w:t>
      </w:r>
      <w:r w:rsidRPr="00D81C55">
        <w:rPr>
          <w:sz w:val="20"/>
          <w:szCs w:val="20"/>
          <w:vertAlign w:val="subscript"/>
        </w:rPr>
        <w:t>2</w:t>
      </w:r>
      <w:r w:rsidRPr="00D81C55">
        <w:rPr>
          <w:sz w:val="20"/>
          <w:szCs w:val="20"/>
        </w:rPr>
        <w:t>O = beryllium sulfate tetrahydrate; CuBe = copper beryllium; MWF = metal working fluid; PS = pickling solution (acidic or caustic).</w:t>
      </w:r>
    </w:p>
    <w:p w:rsidR="009705BD" w:rsidRPr="00D81C55" w:rsidRDefault="009705BD" w:rsidP="009705BD">
      <w:pPr>
        <w:spacing w:line="276" w:lineRule="auto"/>
        <w:ind w:left="-180" w:hanging="180"/>
        <w:rPr>
          <w:sz w:val="20"/>
          <w:szCs w:val="20"/>
        </w:rPr>
      </w:pPr>
      <w:r>
        <w:rPr>
          <w:sz w:val="20"/>
          <w:szCs w:val="20"/>
          <w:vertAlign w:val="superscript"/>
        </w:rPr>
        <w:t>A</w:t>
      </w:r>
      <w:r w:rsidRPr="00D81C55">
        <w:rPr>
          <w:sz w:val="20"/>
          <w:szCs w:val="20"/>
          <w:vertAlign w:val="superscript"/>
        </w:rPr>
        <w:t xml:space="preserve"> </w:t>
      </w:r>
      <w:r w:rsidRPr="00D81C55">
        <w:rPr>
          <w:sz w:val="20"/>
          <w:szCs w:val="20"/>
        </w:rPr>
        <w:t>White and Burke (1955); Stonehouse et al. (1992); Stonehouse and Emly (1992).</w:t>
      </w:r>
    </w:p>
    <w:p w:rsidR="009705BD" w:rsidRDefault="009705BD" w:rsidP="009705BD">
      <w:pPr>
        <w:spacing w:line="276" w:lineRule="auto"/>
        <w:ind w:left="-180" w:hanging="180"/>
        <w:rPr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 w:rsidRPr="00D81C55">
        <w:rPr>
          <w:sz w:val="20"/>
          <w:szCs w:val="20"/>
        </w:rPr>
        <w:t xml:space="preserve"> Denotes compound solubility (lung and sweat) determined by </w:t>
      </w:r>
      <w:r w:rsidRPr="00D81C55">
        <w:rPr>
          <w:sz w:val="20"/>
          <w:szCs w:val="20"/>
          <w:lang w:val="es-ES"/>
        </w:rPr>
        <w:t xml:space="preserve">Finch et al. (1988), Day et al. (2005), Stefaniak et al. </w:t>
      </w:r>
      <w:r w:rsidRPr="00D81C55">
        <w:rPr>
          <w:sz w:val="20"/>
          <w:szCs w:val="20"/>
        </w:rPr>
        <w:t>(2006, 2011a, 2011b, 2012).</w:t>
      </w:r>
    </w:p>
    <w:p w:rsidR="009705BD" w:rsidRPr="00A55294" w:rsidRDefault="009705BD" w:rsidP="009705BD">
      <w:pPr>
        <w:spacing w:line="276" w:lineRule="auto"/>
        <w:ind w:left="-180" w:hanging="18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C   </w:t>
      </w:r>
      <w:r>
        <w:rPr>
          <w:sz w:val="20"/>
          <w:szCs w:val="20"/>
        </w:rPr>
        <w:t>These processes were not in operation at the time of data collection for this study.</w:t>
      </w:r>
    </w:p>
    <w:p w:rsidR="009705BD" w:rsidRDefault="009705BD" w:rsidP="009705BD">
      <w:pPr>
        <w:spacing w:line="276" w:lineRule="auto"/>
        <w:ind w:left="-180" w:hanging="180"/>
        <w:rPr>
          <w:sz w:val="20"/>
          <w:szCs w:val="20"/>
        </w:rPr>
      </w:pPr>
      <w:r>
        <w:rPr>
          <w:sz w:val="20"/>
          <w:szCs w:val="20"/>
          <w:vertAlign w:val="superscript"/>
        </w:rPr>
        <w:t>D</w:t>
      </w:r>
      <w:r w:rsidRPr="00D81C55">
        <w:rPr>
          <w:sz w:val="20"/>
          <w:szCs w:val="20"/>
        </w:rPr>
        <w:t xml:space="preserve"> Inferred from chemical form.</w:t>
      </w:r>
    </w:p>
    <w:p w:rsidR="00BA42AA" w:rsidRDefault="00BA42AA"/>
    <w:sectPr w:rsidR="00BA42AA" w:rsidSect="00BA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BD"/>
    <w:rsid w:val="009705BD"/>
    <w:rsid w:val="00985823"/>
    <w:rsid w:val="00B7470F"/>
    <w:rsid w:val="00BA42AA"/>
    <w:rsid w:val="00D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21529-15D6-4991-A780-C74392FD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4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Darigo</dc:creator>
  <cp:lastModifiedBy>Boyce, Kathy J. (CDC/NIOSH/DRDS)</cp:lastModifiedBy>
  <cp:revision>2</cp:revision>
  <dcterms:created xsi:type="dcterms:W3CDTF">2016-08-22T16:20:00Z</dcterms:created>
  <dcterms:modified xsi:type="dcterms:W3CDTF">2016-08-22T16:20:00Z</dcterms:modified>
</cp:coreProperties>
</file>