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740" w:rsidRPr="0005207A" w:rsidRDefault="00F927A9" w:rsidP="00185DB5">
      <w:pPr>
        <w:spacing w:after="200" w:line="276" w:lineRule="auto"/>
        <w:rPr>
          <w:rFonts w:ascii="Times New Roman" w:hAnsi="Times New Roman" w:cs="Times New Roman"/>
          <w:b/>
        </w:rPr>
      </w:pPr>
      <w:bookmarkStart w:id="0" w:name="Table1"/>
      <w:r w:rsidRPr="0005207A">
        <w:rPr>
          <w:rFonts w:ascii="Times New Roman" w:eastAsia="Calibri" w:hAnsi="Times New Roman" w:cs="Times New Roman"/>
          <w:b/>
          <w:noProof/>
          <w:sz w:val="20"/>
          <w:szCs w:val="20"/>
        </w:rPr>
        <mc:AlternateContent>
          <mc:Choice Requires="wps">
            <w:drawing>
              <wp:anchor distT="0" distB="0" distL="114300" distR="114300" simplePos="0" relativeHeight="251659264" behindDoc="0" locked="0" layoutInCell="1" allowOverlap="1" wp14:anchorId="4E6C3A35" wp14:editId="2901E244">
                <wp:simplePos x="0" y="0"/>
                <wp:positionH relativeFrom="column">
                  <wp:posOffset>-19050</wp:posOffset>
                </wp:positionH>
                <wp:positionV relativeFrom="paragraph">
                  <wp:posOffset>495300</wp:posOffset>
                </wp:positionV>
                <wp:extent cx="6562725" cy="5991225"/>
                <wp:effectExtent l="0" t="0" r="28575" b="28575"/>
                <wp:wrapSquare wrapText="bothSides"/>
                <wp:docPr id="4" name="Rectangle 4"/>
                <wp:cNvGraphicFramePr/>
                <a:graphic xmlns:a="http://schemas.openxmlformats.org/drawingml/2006/main">
                  <a:graphicData uri="http://schemas.microsoft.com/office/word/2010/wordprocessingShape">
                    <wps:wsp>
                      <wps:cNvSpPr/>
                      <wps:spPr>
                        <a:xfrm>
                          <a:off x="0" y="0"/>
                          <a:ext cx="6562725" cy="5991225"/>
                        </a:xfrm>
                        <a:prstGeom prst="rect">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1740" w:rsidRPr="0016109A" w:rsidRDefault="00C01740" w:rsidP="0016109A">
                            <w:pPr>
                              <w:spacing w:line="276" w:lineRule="auto"/>
                              <w:rPr>
                                <w:rFonts w:eastAsia="Calibri" w:cstheme="minorHAnsi"/>
                                <w:color w:val="000000" w:themeColor="text1"/>
                                <w:sz w:val="20"/>
                                <w:szCs w:val="20"/>
                              </w:rPr>
                            </w:pPr>
                            <w:r w:rsidRPr="0016109A">
                              <w:rPr>
                                <w:rFonts w:eastAsia="Calibri" w:cstheme="minorHAnsi"/>
                                <w:b/>
                                <w:color w:val="000000" w:themeColor="text1"/>
                                <w:sz w:val="20"/>
                                <w:szCs w:val="20"/>
                              </w:rPr>
                              <w:t>Gender:</w:t>
                            </w:r>
                            <w:r w:rsidRPr="0016109A">
                              <w:rPr>
                                <w:rFonts w:eastAsia="Calibri" w:cstheme="minorHAnsi"/>
                                <w:color w:val="000000" w:themeColor="text1"/>
                                <w:sz w:val="20"/>
                                <w:szCs w:val="20"/>
                              </w:rPr>
                              <w:t xml:space="preserve"> Based on patient self-report. </w:t>
                            </w:r>
                          </w:p>
                          <w:p w:rsidR="00C01740" w:rsidRPr="008373B1" w:rsidRDefault="00C01740" w:rsidP="0016109A">
                            <w:pPr>
                              <w:spacing w:line="276" w:lineRule="auto"/>
                              <w:rPr>
                                <w:rFonts w:eastAsia="Calibri" w:cstheme="minorHAnsi"/>
                                <w:b/>
                                <w:color w:val="000000" w:themeColor="text1"/>
                                <w:sz w:val="8"/>
                                <w:szCs w:val="8"/>
                              </w:rPr>
                            </w:pPr>
                          </w:p>
                          <w:p w:rsidR="00C01740" w:rsidRPr="0016109A" w:rsidRDefault="00C01740" w:rsidP="0016109A">
                            <w:pPr>
                              <w:spacing w:line="276" w:lineRule="auto"/>
                              <w:rPr>
                                <w:rFonts w:eastAsia="Calibri" w:cstheme="minorHAnsi"/>
                                <w:color w:val="000000" w:themeColor="text1"/>
                                <w:sz w:val="20"/>
                                <w:szCs w:val="20"/>
                              </w:rPr>
                            </w:pPr>
                            <w:r w:rsidRPr="0016109A">
                              <w:rPr>
                                <w:rFonts w:eastAsia="Calibri" w:cstheme="minorHAnsi"/>
                                <w:b/>
                                <w:color w:val="000000" w:themeColor="text1"/>
                                <w:sz w:val="20"/>
                                <w:szCs w:val="20"/>
                              </w:rPr>
                              <w:t>Age:</w:t>
                            </w:r>
                            <w:r w:rsidRPr="0016109A">
                              <w:rPr>
                                <w:rFonts w:eastAsia="Calibri" w:cstheme="minorHAnsi"/>
                                <w:color w:val="000000" w:themeColor="text1"/>
                                <w:sz w:val="20"/>
                                <w:szCs w:val="20"/>
                              </w:rPr>
                              <w:t xml:space="preserve"> Based on patient self-report. </w:t>
                            </w:r>
                          </w:p>
                          <w:p w:rsidR="00C01740" w:rsidRPr="0016109A" w:rsidRDefault="00C01740" w:rsidP="0016109A">
                            <w:pPr>
                              <w:spacing w:line="276" w:lineRule="auto"/>
                              <w:ind w:firstLine="720"/>
                              <w:rPr>
                                <w:rFonts w:eastAsia="Calibri" w:cstheme="minorHAnsi"/>
                                <w:b/>
                                <w:color w:val="000000" w:themeColor="text1"/>
                                <w:sz w:val="8"/>
                                <w:szCs w:val="8"/>
                              </w:rPr>
                            </w:pPr>
                          </w:p>
                          <w:p w:rsidR="00C01740" w:rsidRPr="0016109A" w:rsidRDefault="00C01740" w:rsidP="0016109A">
                            <w:pPr>
                              <w:spacing w:line="276" w:lineRule="auto"/>
                              <w:rPr>
                                <w:color w:val="000000" w:themeColor="text1"/>
                                <w:sz w:val="20"/>
                                <w:szCs w:val="20"/>
                              </w:rPr>
                            </w:pPr>
                            <w:r w:rsidRPr="0016109A">
                              <w:rPr>
                                <w:rFonts w:eastAsia="Calibri" w:cstheme="minorHAnsi"/>
                                <w:b/>
                                <w:color w:val="000000" w:themeColor="text1"/>
                                <w:sz w:val="20"/>
                                <w:szCs w:val="20"/>
                              </w:rPr>
                              <w:t>Race-ethnicity:</w:t>
                            </w:r>
                            <w:r>
                              <w:rPr>
                                <w:rFonts w:eastAsia="Calibri" w:cstheme="minorHAnsi"/>
                                <w:color w:val="000000" w:themeColor="text1"/>
                                <w:sz w:val="20"/>
                                <w:szCs w:val="20"/>
                              </w:rPr>
                              <w:t xml:space="preserve"> In alignment with the U</w:t>
                            </w:r>
                            <w:r w:rsidRPr="0016109A">
                              <w:rPr>
                                <w:rFonts w:eastAsia="Calibri" w:cstheme="minorHAnsi"/>
                                <w:color w:val="000000" w:themeColor="text1"/>
                                <w:sz w:val="20"/>
                                <w:szCs w:val="20"/>
                              </w:rPr>
                              <w:t xml:space="preserve">S </w:t>
                            </w:r>
                            <w:r w:rsidRPr="0016109A">
                              <w:rPr>
                                <w:color w:val="000000" w:themeColor="text1"/>
                                <w:sz w:val="20"/>
                                <w:szCs w:val="20"/>
                              </w:rPr>
                              <w:t>Office of Management and Budget (OBM) race-ethnicity</w:t>
                            </w:r>
                            <w:r w:rsidRPr="0016109A">
                              <w:rPr>
                                <w:rFonts w:eastAsia="Calibri" w:cstheme="minorHAnsi"/>
                                <w:color w:val="000000" w:themeColor="text1"/>
                                <w:sz w:val="20"/>
                                <w:szCs w:val="20"/>
                              </w:rPr>
                              <w:t xml:space="preserve"> standards</w:t>
                            </w:r>
                            <w:r w:rsidRPr="008373B1">
                              <w:rPr>
                                <w:rFonts w:eastAsia="Calibri" w:cstheme="minorHAnsi"/>
                                <w:noProof/>
                                <w:color w:val="000000" w:themeColor="text1"/>
                                <w:sz w:val="20"/>
                                <w:szCs w:val="20"/>
                                <w:vertAlign w:val="superscript"/>
                              </w:rPr>
                              <w:t>1</w:t>
                            </w:r>
                            <w:r w:rsidRPr="0016109A">
                              <w:rPr>
                                <w:rFonts w:eastAsia="Calibri" w:cstheme="minorHAnsi"/>
                                <w:color w:val="000000" w:themeColor="text1"/>
                                <w:sz w:val="20"/>
                                <w:szCs w:val="20"/>
                              </w:rPr>
                              <w:t xml:space="preserve">, report the number of </w:t>
                            </w:r>
                            <w:r w:rsidRPr="0016109A">
                              <w:rPr>
                                <w:color w:val="000000" w:themeColor="text1"/>
                                <w:sz w:val="20"/>
                                <w:szCs w:val="20"/>
                              </w:rPr>
                              <w:t>patients in each of the collapsed race-ethnicity groups (Non-Hispanic white, non-Hispanic black, Hispanic, non-Hispanic other). Most health systems should be collecting race-ethnicity using the OMB standards to be in alignment with Meaningful Use reporting standards.</w:t>
                            </w:r>
                          </w:p>
                          <w:p w:rsidR="00C01740" w:rsidRPr="0016109A" w:rsidRDefault="00C01740" w:rsidP="0016109A">
                            <w:pPr>
                              <w:spacing w:line="276" w:lineRule="auto"/>
                              <w:rPr>
                                <w:b/>
                                <w:color w:val="000000" w:themeColor="text1"/>
                                <w:sz w:val="8"/>
                                <w:szCs w:val="8"/>
                              </w:rPr>
                            </w:pPr>
                          </w:p>
                          <w:p w:rsidR="00C01740" w:rsidRPr="0016109A" w:rsidRDefault="00C01740" w:rsidP="0016109A">
                            <w:pPr>
                              <w:spacing w:line="276" w:lineRule="auto"/>
                              <w:rPr>
                                <w:color w:val="000000" w:themeColor="text1"/>
                                <w:sz w:val="20"/>
                                <w:szCs w:val="20"/>
                              </w:rPr>
                            </w:pPr>
                            <w:r w:rsidRPr="0016109A">
                              <w:rPr>
                                <w:b/>
                                <w:color w:val="000000" w:themeColor="text1"/>
                                <w:sz w:val="20"/>
                                <w:szCs w:val="20"/>
                              </w:rPr>
                              <w:t>Obesity:</w:t>
                            </w:r>
                            <w:r>
                              <w:rPr>
                                <w:color w:val="000000" w:themeColor="text1"/>
                                <w:sz w:val="20"/>
                                <w:szCs w:val="20"/>
                              </w:rPr>
                              <w:t xml:space="preserve"> Having a body mass index</w:t>
                            </w:r>
                            <w:r w:rsidRPr="0016109A">
                              <w:rPr>
                                <w:color w:val="000000" w:themeColor="text1"/>
                                <w:sz w:val="20"/>
                                <w:szCs w:val="20"/>
                              </w:rPr>
                              <w:t>—calculated as weight in kilograms over height in meters squared (kg/m</w:t>
                            </w:r>
                            <w:r w:rsidRPr="008373B1">
                              <w:rPr>
                                <w:color w:val="000000" w:themeColor="text1"/>
                                <w:sz w:val="20"/>
                                <w:szCs w:val="20"/>
                                <w:vertAlign w:val="superscript"/>
                              </w:rPr>
                              <w:t>2</w:t>
                            </w:r>
                            <w:r w:rsidRPr="0016109A">
                              <w:rPr>
                                <w:color w:val="000000" w:themeColor="text1"/>
                                <w:sz w:val="20"/>
                                <w:szCs w:val="20"/>
                              </w:rPr>
                              <w:t>)—of 30 kg/m</w:t>
                            </w:r>
                            <w:r w:rsidRPr="008373B1">
                              <w:rPr>
                                <w:color w:val="000000" w:themeColor="text1"/>
                                <w:sz w:val="20"/>
                                <w:szCs w:val="20"/>
                                <w:vertAlign w:val="superscript"/>
                              </w:rPr>
                              <w:t>2</w:t>
                            </w:r>
                            <w:r w:rsidRPr="0016109A">
                              <w:rPr>
                                <w:color w:val="000000" w:themeColor="text1"/>
                                <w:sz w:val="20"/>
                                <w:szCs w:val="20"/>
                              </w:rPr>
                              <w:t xml:space="preserve"> or greater. </w:t>
                            </w:r>
                          </w:p>
                          <w:p w:rsidR="00C01740" w:rsidRPr="008373B1" w:rsidRDefault="00C01740" w:rsidP="0016109A">
                            <w:pPr>
                              <w:tabs>
                                <w:tab w:val="left" w:pos="967"/>
                              </w:tabs>
                              <w:spacing w:line="276" w:lineRule="auto"/>
                              <w:rPr>
                                <w:b/>
                                <w:color w:val="000000" w:themeColor="text1"/>
                                <w:sz w:val="8"/>
                                <w:szCs w:val="8"/>
                              </w:rPr>
                            </w:pPr>
                            <w:r w:rsidRPr="008373B1">
                              <w:rPr>
                                <w:b/>
                                <w:color w:val="000000" w:themeColor="text1"/>
                                <w:sz w:val="8"/>
                                <w:szCs w:val="8"/>
                              </w:rPr>
                              <w:tab/>
                            </w:r>
                          </w:p>
                          <w:p w:rsidR="00C01740" w:rsidRPr="00DE37F4" w:rsidRDefault="00C01740" w:rsidP="00DE37F4">
                            <w:pPr>
                              <w:spacing w:line="276" w:lineRule="auto"/>
                              <w:rPr>
                                <w:color w:val="000000" w:themeColor="text1"/>
                                <w:sz w:val="20"/>
                                <w:szCs w:val="20"/>
                              </w:rPr>
                            </w:pPr>
                            <w:r w:rsidRPr="0016109A">
                              <w:rPr>
                                <w:b/>
                                <w:color w:val="000000" w:themeColor="text1"/>
                                <w:sz w:val="20"/>
                                <w:szCs w:val="20"/>
                              </w:rPr>
                              <w:t>Diabetes:</w:t>
                            </w:r>
                            <w:r w:rsidRPr="0016109A">
                              <w:rPr>
                                <w:color w:val="000000" w:themeColor="text1"/>
                                <w:sz w:val="20"/>
                                <w:szCs w:val="20"/>
                              </w:rPr>
                              <w:t xml:space="preserve"> Determined by health care documentation, applying clinical diagnostic criteria, and/or querying administrative claims data (e.g., diabetes defined using </w:t>
                            </w:r>
                            <w:r>
                              <w:rPr>
                                <w:color w:val="000000" w:themeColor="text1"/>
                                <w:sz w:val="20"/>
                                <w:szCs w:val="20"/>
                              </w:rPr>
                              <w:t xml:space="preserve">International Classification of Disease, Ninth Revision, </w:t>
                            </w:r>
                            <w:proofErr w:type="gramStart"/>
                            <w:r>
                              <w:rPr>
                                <w:color w:val="000000" w:themeColor="text1"/>
                                <w:sz w:val="20"/>
                                <w:szCs w:val="20"/>
                              </w:rPr>
                              <w:t>Clinical</w:t>
                            </w:r>
                            <w:proofErr w:type="gramEnd"/>
                            <w:r>
                              <w:rPr>
                                <w:color w:val="000000" w:themeColor="text1"/>
                                <w:sz w:val="20"/>
                                <w:szCs w:val="20"/>
                              </w:rPr>
                              <w:t xml:space="preserve"> Modification (</w:t>
                            </w:r>
                            <w:r w:rsidRPr="0016109A">
                              <w:rPr>
                                <w:color w:val="000000" w:themeColor="text1"/>
                                <w:sz w:val="20"/>
                                <w:szCs w:val="20"/>
                              </w:rPr>
                              <w:t>ICD-9-CM</w:t>
                            </w:r>
                            <w:r>
                              <w:rPr>
                                <w:color w:val="000000" w:themeColor="text1"/>
                                <w:sz w:val="20"/>
                                <w:szCs w:val="20"/>
                              </w:rPr>
                              <w:t>)</w:t>
                            </w:r>
                            <w:r w:rsidRPr="0016109A">
                              <w:rPr>
                                <w:color w:val="000000" w:themeColor="text1"/>
                                <w:sz w:val="20"/>
                                <w:szCs w:val="20"/>
                              </w:rPr>
                              <w:t xml:space="preserve"> code of 250 and/or prescriptions for insulin or oral </w:t>
                            </w:r>
                            <w:r w:rsidRPr="00DE37F4">
                              <w:rPr>
                                <w:color w:val="000000" w:themeColor="text1"/>
                                <w:sz w:val="20"/>
                                <w:szCs w:val="20"/>
                              </w:rPr>
                              <w:t>antidiabetic medications); look-back period may differ based on health system. Ideally, the health syste</w:t>
                            </w:r>
                            <w:bookmarkStart w:id="1" w:name="_GoBack"/>
                            <w:bookmarkEnd w:id="1"/>
                            <w:r w:rsidRPr="00DE37F4">
                              <w:rPr>
                                <w:color w:val="000000" w:themeColor="text1"/>
                                <w:sz w:val="20"/>
                                <w:szCs w:val="20"/>
                              </w:rPr>
                              <w:t>m uses the American Diabetes Association's current clinical definition for diagnosing diabetes.</w:t>
                            </w:r>
                            <w:r w:rsidRPr="008373B1">
                              <w:rPr>
                                <w:b/>
                                <w:noProof/>
                                <w:color w:val="000000" w:themeColor="text1"/>
                                <w:sz w:val="20"/>
                                <w:szCs w:val="20"/>
                                <w:vertAlign w:val="superscript"/>
                              </w:rPr>
                              <w:t>2</w:t>
                            </w:r>
                            <w:r w:rsidRPr="00DE37F4">
                              <w:rPr>
                                <w:color w:val="000000" w:themeColor="text1"/>
                                <w:sz w:val="20"/>
                                <w:szCs w:val="20"/>
                              </w:rPr>
                              <w:t xml:space="preserve">  </w:t>
                            </w:r>
                          </w:p>
                          <w:p w:rsidR="00C01740" w:rsidRPr="008373B1" w:rsidRDefault="00C01740" w:rsidP="00DE37F4">
                            <w:pPr>
                              <w:spacing w:line="276" w:lineRule="auto"/>
                              <w:ind w:firstLine="720"/>
                              <w:rPr>
                                <w:b/>
                                <w:color w:val="000000" w:themeColor="text1"/>
                                <w:sz w:val="8"/>
                                <w:szCs w:val="8"/>
                              </w:rPr>
                            </w:pPr>
                          </w:p>
                          <w:p w:rsidR="00C01740" w:rsidRDefault="00C01740" w:rsidP="00DE37F4">
                            <w:pPr>
                              <w:spacing w:line="276" w:lineRule="auto"/>
                              <w:rPr>
                                <w:color w:val="000000" w:themeColor="text1"/>
                                <w:sz w:val="20"/>
                                <w:szCs w:val="20"/>
                              </w:rPr>
                            </w:pPr>
                            <w:r w:rsidRPr="00DE37F4">
                              <w:rPr>
                                <w:b/>
                                <w:color w:val="000000" w:themeColor="text1"/>
                                <w:sz w:val="20"/>
                                <w:szCs w:val="20"/>
                              </w:rPr>
                              <w:t>Chronic kidney disease (CKD):</w:t>
                            </w:r>
                            <w:r w:rsidRPr="00DE37F4">
                              <w:rPr>
                                <w:color w:val="000000" w:themeColor="text1"/>
                                <w:sz w:val="20"/>
                                <w:szCs w:val="20"/>
                              </w:rPr>
                              <w:t xml:space="preserve"> Determined by health care documentation, applying clinical diagnostic criteria, and/or querying administrative claims data (e.g., CKD defined using ICD-9-CM codes of 403, 404, and 585); look-back period may differ based on health system. The definition used in development of this tool included: 1) having an estimated glomerular filtration rate of &lt;60 mL/min per 1.73 m2 using the </w:t>
                            </w:r>
                            <w:r w:rsidRPr="00DE37F4">
                              <w:rPr>
                                <w:rFonts w:cs="Arial"/>
                                <w:color w:val="000000" w:themeColor="text1"/>
                                <w:sz w:val="20"/>
                                <w:szCs w:val="20"/>
                              </w:rPr>
                              <w:t xml:space="preserve">Chronic Kidney Disease </w:t>
                            </w:r>
                            <w:r w:rsidRPr="00DE37F4">
                              <w:rPr>
                                <w:rStyle w:val="highlight2"/>
                                <w:rFonts w:cs="Arial"/>
                                <w:color w:val="000000" w:themeColor="text1"/>
                                <w:sz w:val="20"/>
                                <w:szCs w:val="20"/>
                              </w:rPr>
                              <w:t>Epidemiology</w:t>
                            </w:r>
                            <w:r w:rsidRPr="00DE37F4">
                              <w:rPr>
                                <w:rFonts w:cs="Arial"/>
                                <w:color w:val="000000" w:themeColor="text1"/>
                                <w:sz w:val="20"/>
                                <w:szCs w:val="20"/>
                              </w:rPr>
                              <w:t xml:space="preserve"> Collaboration equation</w:t>
                            </w:r>
                            <w:r w:rsidRPr="008373B1">
                              <w:rPr>
                                <w:rFonts w:cs="Arial"/>
                                <w:noProof/>
                                <w:color w:val="000000" w:themeColor="text1"/>
                                <w:sz w:val="20"/>
                                <w:szCs w:val="20"/>
                                <w:vertAlign w:val="superscript"/>
                              </w:rPr>
                              <w:t>3</w:t>
                            </w:r>
                            <w:r w:rsidRPr="00DE37F4">
                              <w:rPr>
                                <w:rFonts w:cs="Arial"/>
                                <w:color w:val="000000" w:themeColor="text1"/>
                                <w:sz w:val="20"/>
                                <w:szCs w:val="20"/>
                              </w:rPr>
                              <w:t xml:space="preserve"> </w:t>
                            </w:r>
                            <w:r w:rsidRPr="00DE37F4">
                              <w:rPr>
                                <w:color w:val="000000" w:themeColor="text1"/>
                                <w:sz w:val="20"/>
                                <w:szCs w:val="20"/>
                              </w:rPr>
                              <w:t xml:space="preserve">or 2) the presence of albuminuria (albumin-to-creatinine ratio of ≥30 mg/g).  </w:t>
                            </w:r>
                          </w:p>
                          <w:p w:rsidR="00C01740" w:rsidRPr="008373B1" w:rsidRDefault="00C01740" w:rsidP="00DE37F4">
                            <w:pPr>
                              <w:spacing w:line="276" w:lineRule="auto"/>
                              <w:rPr>
                                <w:b/>
                                <w:color w:val="000000" w:themeColor="text1"/>
                                <w:sz w:val="8"/>
                                <w:szCs w:val="8"/>
                              </w:rPr>
                            </w:pPr>
                            <w:r w:rsidRPr="008373B1">
                              <w:rPr>
                                <w:b/>
                                <w:color w:val="000000" w:themeColor="text1"/>
                                <w:sz w:val="8"/>
                                <w:szCs w:val="8"/>
                              </w:rPr>
                              <w:tab/>
                            </w:r>
                          </w:p>
                          <w:p w:rsidR="00C01740" w:rsidRPr="00DE37F4" w:rsidRDefault="00C01740" w:rsidP="00DE37F4">
                            <w:pPr>
                              <w:spacing w:line="276" w:lineRule="auto"/>
                              <w:rPr>
                                <w:rFonts w:eastAsia="Calibri" w:cstheme="minorHAnsi"/>
                                <w:sz w:val="20"/>
                                <w:szCs w:val="20"/>
                              </w:rPr>
                            </w:pPr>
                            <w:r w:rsidRPr="00DE37F4">
                              <w:rPr>
                                <w:b/>
                                <w:color w:val="000000" w:themeColor="text1"/>
                                <w:sz w:val="20"/>
                                <w:szCs w:val="20"/>
                              </w:rPr>
                              <w:t>Hypertension:</w:t>
                            </w:r>
                            <w:r w:rsidRPr="00DE37F4">
                              <w:rPr>
                                <w:color w:val="000000" w:themeColor="text1"/>
                                <w:sz w:val="20"/>
                                <w:szCs w:val="20"/>
                              </w:rPr>
                              <w:t xml:space="preserve"> </w:t>
                            </w:r>
                            <w:r w:rsidRPr="00DE37F4">
                              <w:rPr>
                                <w:rFonts w:eastAsia="Calibri" w:cstheme="minorHAnsi"/>
                                <w:color w:val="000000" w:themeColor="text1"/>
                                <w:sz w:val="20"/>
                                <w:szCs w:val="20"/>
                              </w:rPr>
                              <w:t>Ideally, health systems use</w:t>
                            </w:r>
                            <w:r w:rsidRPr="0016109A">
                              <w:rPr>
                                <w:rFonts w:eastAsia="Calibri" w:cstheme="minorHAnsi"/>
                                <w:color w:val="000000" w:themeColor="text1"/>
                                <w:sz w:val="20"/>
                                <w:szCs w:val="20"/>
                              </w:rPr>
                              <w:t xml:space="preserve"> the two or more </w:t>
                            </w:r>
                            <w:r>
                              <w:rPr>
                                <w:rFonts w:eastAsia="Calibri" w:cstheme="minorHAnsi"/>
                                <w:color w:val="000000" w:themeColor="text1"/>
                                <w:sz w:val="20"/>
                                <w:szCs w:val="20"/>
                              </w:rPr>
                              <w:t xml:space="preserve">elevated blood pressure </w:t>
                            </w:r>
                            <w:r w:rsidRPr="0016109A">
                              <w:rPr>
                                <w:rFonts w:eastAsia="Calibri" w:cstheme="minorHAnsi"/>
                                <w:color w:val="000000" w:themeColor="text1"/>
                                <w:sz w:val="20"/>
                                <w:szCs w:val="20"/>
                              </w:rPr>
                              <w:t>measures at two or more outpatient office visits criteria to diagnosis their hypertensive patients.</w:t>
                            </w:r>
                            <w:r w:rsidRPr="008373B1">
                              <w:rPr>
                                <w:rFonts w:eastAsia="Calibri" w:cstheme="minorHAnsi"/>
                                <w:noProof/>
                                <w:color w:val="000000" w:themeColor="text1"/>
                                <w:sz w:val="20"/>
                                <w:szCs w:val="20"/>
                                <w:vertAlign w:val="superscript"/>
                              </w:rPr>
                              <w:t>4</w:t>
                            </w:r>
                            <w:r w:rsidRPr="0016109A">
                              <w:rPr>
                                <w:color w:val="000000" w:themeColor="text1"/>
                                <w:sz w:val="20"/>
                                <w:szCs w:val="20"/>
                              </w:rPr>
                              <w:t xml:space="preserve"> </w:t>
                            </w:r>
                            <w:r w:rsidRPr="0016109A">
                              <w:rPr>
                                <w:rFonts w:eastAsia="Calibri" w:cstheme="minorHAnsi"/>
                                <w:color w:val="000000" w:themeColor="text1"/>
                                <w:sz w:val="20"/>
                                <w:szCs w:val="20"/>
                              </w:rPr>
                              <w:t>All health systems are encouraged to use devices which passed the validation protocol from the U.S. Association for the Advancement o</w:t>
                            </w:r>
                            <w:r>
                              <w:rPr>
                                <w:rFonts w:eastAsia="Calibri" w:cstheme="minorHAnsi"/>
                                <w:color w:val="000000" w:themeColor="text1"/>
                                <w:sz w:val="20"/>
                                <w:szCs w:val="20"/>
                              </w:rPr>
                              <w:t>f Medical Instrumentation</w:t>
                            </w:r>
                            <w:r w:rsidRPr="0016109A">
                              <w:rPr>
                                <w:rFonts w:eastAsia="Calibri" w:cstheme="minorHAnsi"/>
                                <w:color w:val="000000" w:themeColor="text1"/>
                                <w:sz w:val="20"/>
                                <w:szCs w:val="20"/>
                              </w:rPr>
                              <w:t>, Br</w:t>
                            </w:r>
                            <w:r>
                              <w:rPr>
                                <w:rFonts w:eastAsia="Calibri" w:cstheme="minorHAnsi"/>
                                <w:color w:val="000000" w:themeColor="text1"/>
                                <w:sz w:val="20"/>
                                <w:szCs w:val="20"/>
                              </w:rPr>
                              <w:t>itish Hypertension Society</w:t>
                            </w:r>
                            <w:r w:rsidRPr="0016109A">
                              <w:rPr>
                                <w:rFonts w:eastAsia="Calibri" w:cstheme="minorHAnsi"/>
                                <w:color w:val="000000" w:themeColor="text1"/>
                                <w:sz w:val="20"/>
                                <w:szCs w:val="20"/>
                              </w:rPr>
                              <w:t>, or European Society of Hypertension</w:t>
                            </w:r>
                            <w:r>
                              <w:rPr>
                                <w:rFonts w:eastAsia="Calibri" w:cstheme="minorHAnsi"/>
                                <w:color w:val="000000" w:themeColor="text1"/>
                                <w:sz w:val="20"/>
                                <w:szCs w:val="20"/>
                              </w:rPr>
                              <w:t>.</w:t>
                            </w:r>
                            <w:r w:rsidRPr="008373B1">
                              <w:rPr>
                                <w:rFonts w:eastAsia="Calibri" w:cstheme="minorHAnsi"/>
                                <w:noProof/>
                                <w:color w:val="000000" w:themeColor="text1"/>
                                <w:sz w:val="20"/>
                                <w:szCs w:val="20"/>
                                <w:vertAlign w:val="superscript"/>
                              </w:rPr>
                              <w:t>5</w:t>
                            </w:r>
                            <w:r>
                              <w:rPr>
                                <w:rFonts w:eastAsia="Calibri" w:cstheme="minorHAnsi"/>
                                <w:color w:val="000000" w:themeColor="text1"/>
                                <w:sz w:val="20"/>
                                <w:szCs w:val="20"/>
                              </w:rPr>
                              <w:t xml:space="preserve"> </w:t>
                            </w:r>
                            <w:r w:rsidRPr="0016109A">
                              <w:rPr>
                                <w:rFonts w:eastAsia="Calibri" w:cstheme="minorHAnsi"/>
                                <w:color w:val="000000" w:themeColor="text1"/>
                                <w:sz w:val="20"/>
                                <w:szCs w:val="20"/>
                              </w:rPr>
                              <w:t xml:space="preserve">Health systems are asked to use only outpatient medical records to identify their hypertensive population and to exclude women with gestational hypertension from their prevalence calculations. There are likely multiple ways health systems can use their patient medical records to identify their hypertensive population. This could include using administrative claims documentation (e.g., </w:t>
                            </w:r>
                            <w:r>
                              <w:rPr>
                                <w:rFonts w:eastAsia="Calibri" w:cstheme="minorHAnsi"/>
                                <w:color w:val="000000" w:themeColor="text1"/>
                                <w:sz w:val="20"/>
                                <w:szCs w:val="20"/>
                              </w:rPr>
                              <w:t>ICD-9-CM</w:t>
                            </w:r>
                            <w:r w:rsidRPr="0016109A">
                              <w:rPr>
                                <w:rFonts w:eastAsia="Calibri" w:cstheme="minorHAnsi"/>
                                <w:color w:val="000000" w:themeColor="text1"/>
                                <w:sz w:val="20"/>
                                <w:szCs w:val="20"/>
                              </w:rPr>
                              <w:t xml:space="preserve"> codes for essential hypertension (401), hypertensive heart and/or chronic kidney disease (402–404), and/or secondary hypertension (405)</w:t>
                            </w:r>
                            <w:r>
                              <w:rPr>
                                <w:rFonts w:eastAsia="Calibri" w:cstheme="minorHAnsi"/>
                                <w:color w:val="000000" w:themeColor="text1"/>
                                <w:sz w:val="20"/>
                                <w:szCs w:val="20"/>
                              </w:rPr>
                              <w:t>)</w:t>
                            </w:r>
                            <w:r w:rsidRPr="0016109A">
                              <w:rPr>
                                <w:rFonts w:eastAsia="Calibri" w:cstheme="minorHAnsi"/>
                                <w:color w:val="000000" w:themeColor="text1"/>
                                <w:sz w:val="20"/>
                                <w:szCs w:val="20"/>
                              </w:rPr>
                              <w:t>. Ideally, if administrative claims data are being used, a hypertensive patient would be identified using ICD-9-CM codes 401–404 and exclude secondary hypertension cases. If the health system report</w:t>
                            </w:r>
                            <w:r>
                              <w:rPr>
                                <w:rFonts w:eastAsia="Calibri" w:cstheme="minorHAnsi"/>
                                <w:color w:val="000000" w:themeColor="text1"/>
                                <w:sz w:val="20"/>
                                <w:szCs w:val="20"/>
                              </w:rPr>
                              <w:t>s</w:t>
                            </w:r>
                            <w:r w:rsidRPr="0016109A">
                              <w:rPr>
                                <w:rFonts w:eastAsia="Calibri" w:cstheme="minorHAnsi"/>
                                <w:color w:val="000000" w:themeColor="text1"/>
                                <w:sz w:val="20"/>
                                <w:szCs w:val="20"/>
                              </w:rPr>
                              <w:t xml:space="preserve"> on the National Committe</w:t>
                            </w:r>
                            <w:r>
                              <w:rPr>
                                <w:rFonts w:eastAsia="Calibri" w:cstheme="minorHAnsi"/>
                                <w:color w:val="000000" w:themeColor="text1"/>
                                <w:sz w:val="20"/>
                                <w:szCs w:val="20"/>
                              </w:rPr>
                              <w:t xml:space="preserve">e on Quality Assurance’s </w:t>
                            </w:r>
                            <w:r w:rsidRPr="0016109A">
                              <w:rPr>
                                <w:rFonts w:eastAsia="Calibri" w:cstheme="minorHAnsi"/>
                                <w:color w:val="000000" w:themeColor="text1"/>
                                <w:sz w:val="20"/>
                                <w:szCs w:val="20"/>
                              </w:rPr>
                              <w:t>Healthcare Effectiveness D</w:t>
                            </w:r>
                            <w:r>
                              <w:rPr>
                                <w:rFonts w:eastAsia="Calibri" w:cstheme="minorHAnsi"/>
                                <w:color w:val="000000" w:themeColor="text1"/>
                                <w:sz w:val="20"/>
                                <w:szCs w:val="20"/>
                              </w:rPr>
                              <w:t xml:space="preserve">ata and Information Set </w:t>
                            </w:r>
                            <w:r w:rsidRPr="0016109A">
                              <w:rPr>
                                <w:rFonts w:eastAsia="Calibri" w:cstheme="minorHAnsi"/>
                                <w:color w:val="000000" w:themeColor="text1"/>
                                <w:sz w:val="20"/>
                                <w:szCs w:val="20"/>
                              </w:rPr>
                              <w:t xml:space="preserve">Controlling High Blood Pressure measure, they may only use ICD-9-CM code 401 to identify their hypertension patient population and possibly exclude those patients with document end-stage renal disease (ICD-9-CM codes of: 585.5, 585.6, V42.0, or V45.1).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C3A35" id="Rectangle 4" o:spid="_x0000_s1026" style="position:absolute;margin-left:-1.5pt;margin-top:39pt;width:516.75pt;height:4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U0hqgIAAN0FAAAOAAAAZHJzL2Uyb0RvYy54bWysVE1v2zAMvQ/YfxB0X20HSdcEdYqgRYcB&#10;XVu0HXpWZCk2IImapMTOfv0o2XE/FmzAsItMSuQj+Uzy/KLTiuyE8w2YkhYnOSXCcKgasynp96fr&#10;T2eU+MBMxRQYUdK98PRi+fHDeWsXYgI1qEo4giDGL1pb0joEu8gyz2uhmT8BKww+SnCaBVTdJqsc&#10;axFdq2yS56dZC66yDrjwHm+v+ke6TPhSCh7upPQiEFVSzC2k06VzHc9sec4WG8ds3fAhDfYPWWjW&#10;GAw6Ql2xwMjWNb9B6YY78CDDCQedgZQNF6kGrKbI31XzWDMrUi1IjrcjTf7/wfLb3b0jTVXSKSWG&#10;afxFD0gaMxslyDTS01q/QKtHe+8GzaMYa+2k0/GLVZAuUbofKRVdIBwvT2enk8+TGSUc32bzeTFB&#10;BXGyF3frfPgiQJMolNRh+EQl29340JseTGI0D6qprhulkhL7RFwqR3YM//B6UyRXtdXfoOrvzmZ5&#10;nv4zhkxtFc1TAm+QlCFtSeczTO9vUUJXDCW8QkB0ZRA20tUTlKSwVyLiKfMgJPKMlEz6AG8zZ5wL&#10;E/rsfc0q0Scfcz+efAKMyBKpGLEHgOPYPZeDfXQVaUBG5/xPifXOo0eKDCaMzrox4I4BKKxqiNzb&#10;H0jqqYkshW7doUkU11DtsSEd9JPqLb9usC1umA/3zOFo4hDjugl3eEgF+MtgkCipwf08dh/tcWLw&#10;lZIWR72k/seWOUGJ+mpwlubFdBp3Q1JQcK9v14dbs9WXgD1W4EKzPInRNqiDKB3oZ9xGqxgNn5jh&#10;GLOkPLiDchn61YP7jIvVKpnhHrAs3JhHyyN4JDa2+1P3zJwdZiLgON3CYR2wxbvR6G2jp4HVNoBs&#10;0ty88DlQjjskNf6w7+KSeq0nq5etvPwFAAD//wMAUEsDBBQABgAIAAAAIQCazRVl3gAAAAsBAAAP&#10;AAAAZHJzL2Rvd25yZXYueG1sTI/NbsIwEITvlfoO1iL1BjahUJTGQVUlLhUXfh7AiZckwl6ntgnp&#10;29c5tafd1Yxmvyl2ozVsQB86RxKWCwEMqXa6o0bC5byfb4GFqEgr4wgl/GCAXfn8VKhcuwcdcTjF&#10;hqUQCrmS0MbY55yHukWrwsL1SEm7Om9VTKdvuPbqkcKt4ZkQG25VR+lDq3r8bLG+ne5WwoDXcBiq&#10;1+OXP+yz6mLs+L2xUr7Mxo93YBHH+GeGCT+hQ5mYKncnHZiRMF+lKlHC2zbNSRcrsQZWTVu2XAMv&#10;C/6/Q/kLAAD//wMAUEsBAi0AFAAGAAgAAAAhALaDOJL+AAAA4QEAABMAAAAAAAAAAAAAAAAAAAAA&#10;AFtDb250ZW50X1R5cGVzXS54bWxQSwECLQAUAAYACAAAACEAOP0h/9YAAACUAQAACwAAAAAAAAAA&#10;AAAAAAAvAQAAX3JlbHMvLnJlbHNQSwECLQAUAAYACAAAACEAKeVNIaoCAADdBQAADgAAAAAAAAAA&#10;AAAAAAAuAgAAZHJzL2Uyb0RvYy54bWxQSwECLQAUAAYACAAAACEAms0VZd4AAAALAQAADwAAAAAA&#10;AAAAAAAAAAAEBQAAZHJzL2Rvd25yZXYueG1sUEsFBgAAAAAEAAQA8wAAAA8GAAAAAA==&#10;" fillcolor="#d8d8d8 [2732]" strokecolor="black [3213]">
                <v:textbox inset=",0,,0">
                  <w:txbxContent>
                    <w:p w:rsidR="00C01740" w:rsidRPr="0016109A" w:rsidRDefault="00C01740" w:rsidP="0016109A">
                      <w:pPr>
                        <w:spacing w:line="276" w:lineRule="auto"/>
                        <w:rPr>
                          <w:rFonts w:eastAsia="Calibri" w:cstheme="minorHAnsi"/>
                          <w:color w:val="000000" w:themeColor="text1"/>
                          <w:sz w:val="20"/>
                          <w:szCs w:val="20"/>
                        </w:rPr>
                      </w:pPr>
                      <w:r w:rsidRPr="0016109A">
                        <w:rPr>
                          <w:rFonts w:eastAsia="Calibri" w:cstheme="minorHAnsi"/>
                          <w:b/>
                          <w:color w:val="000000" w:themeColor="text1"/>
                          <w:sz w:val="20"/>
                          <w:szCs w:val="20"/>
                        </w:rPr>
                        <w:t>Gender:</w:t>
                      </w:r>
                      <w:r w:rsidRPr="0016109A">
                        <w:rPr>
                          <w:rFonts w:eastAsia="Calibri" w:cstheme="minorHAnsi"/>
                          <w:color w:val="000000" w:themeColor="text1"/>
                          <w:sz w:val="20"/>
                          <w:szCs w:val="20"/>
                        </w:rPr>
                        <w:t xml:space="preserve"> Based on patient self-report. </w:t>
                      </w:r>
                    </w:p>
                    <w:p w:rsidR="00C01740" w:rsidRPr="008373B1" w:rsidRDefault="00C01740" w:rsidP="0016109A">
                      <w:pPr>
                        <w:spacing w:line="276" w:lineRule="auto"/>
                        <w:rPr>
                          <w:rFonts w:eastAsia="Calibri" w:cstheme="minorHAnsi"/>
                          <w:b/>
                          <w:color w:val="000000" w:themeColor="text1"/>
                          <w:sz w:val="8"/>
                          <w:szCs w:val="8"/>
                        </w:rPr>
                      </w:pPr>
                    </w:p>
                    <w:p w:rsidR="00C01740" w:rsidRPr="0016109A" w:rsidRDefault="00C01740" w:rsidP="0016109A">
                      <w:pPr>
                        <w:spacing w:line="276" w:lineRule="auto"/>
                        <w:rPr>
                          <w:rFonts w:eastAsia="Calibri" w:cstheme="minorHAnsi"/>
                          <w:color w:val="000000" w:themeColor="text1"/>
                          <w:sz w:val="20"/>
                          <w:szCs w:val="20"/>
                        </w:rPr>
                      </w:pPr>
                      <w:r w:rsidRPr="0016109A">
                        <w:rPr>
                          <w:rFonts w:eastAsia="Calibri" w:cstheme="minorHAnsi"/>
                          <w:b/>
                          <w:color w:val="000000" w:themeColor="text1"/>
                          <w:sz w:val="20"/>
                          <w:szCs w:val="20"/>
                        </w:rPr>
                        <w:t>Age:</w:t>
                      </w:r>
                      <w:r w:rsidRPr="0016109A">
                        <w:rPr>
                          <w:rFonts w:eastAsia="Calibri" w:cstheme="minorHAnsi"/>
                          <w:color w:val="000000" w:themeColor="text1"/>
                          <w:sz w:val="20"/>
                          <w:szCs w:val="20"/>
                        </w:rPr>
                        <w:t xml:space="preserve"> Based on patient self-report. </w:t>
                      </w:r>
                    </w:p>
                    <w:p w:rsidR="00C01740" w:rsidRPr="0016109A" w:rsidRDefault="00C01740" w:rsidP="0016109A">
                      <w:pPr>
                        <w:spacing w:line="276" w:lineRule="auto"/>
                        <w:ind w:firstLine="720"/>
                        <w:rPr>
                          <w:rFonts w:eastAsia="Calibri" w:cstheme="minorHAnsi"/>
                          <w:b/>
                          <w:color w:val="000000" w:themeColor="text1"/>
                          <w:sz w:val="8"/>
                          <w:szCs w:val="8"/>
                        </w:rPr>
                      </w:pPr>
                    </w:p>
                    <w:p w:rsidR="00C01740" w:rsidRPr="0016109A" w:rsidRDefault="00C01740" w:rsidP="0016109A">
                      <w:pPr>
                        <w:spacing w:line="276" w:lineRule="auto"/>
                        <w:rPr>
                          <w:color w:val="000000" w:themeColor="text1"/>
                          <w:sz w:val="20"/>
                          <w:szCs w:val="20"/>
                        </w:rPr>
                      </w:pPr>
                      <w:r w:rsidRPr="0016109A">
                        <w:rPr>
                          <w:rFonts w:eastAsia="Calibri" w:cstheme="minorHAnsi"/>
                          <w:b/>
                          <w:color w:val="000000" w:themeColor="text1"/>
                          <w:sz w:val="20"/>
                          <w:szCs w:val="20"/>
                        </w:rPr>
                        <w:t>Race-ethnicity:</w:t>
                      </w:r>
                      <w:r>
                        <w:rPr>
                          <w:rFonts w:eastAsia="Calibri" w:cstheme="minorHAnsi"/>
                          <w:color w:val="000000" w:themeColor="text1"/>
                          <w:sz w:val="20"/>
                          <w:szCs w:val="20"/>
                        </w:rPr>
                        <w:t xml:space="preserve"> In alignment with the U</w:t>
                      </w:r>
                      <w:r w:rsidRPr="0016109A">
                        <w:rPr>
                          <w:rFonts w:eastAsia="Calibri" w:cstheme="minorHAnsi"/>
                          <w:color w:val="000000" w:themeColor="text1"/>
                          <w:sz w:val="20"/>
                          <w:szCs w:val="20"/>
                        </w:rPr>
                        <w:t xml:space="preserve">S </w:t>
                      </w:r>
                      <w:r w:rsidRPr="0016109A">
                        <w:rPr>
                          <w:color w:val="000000" w:themeColor="text1"/>
                          <w:sz w:val="20"/>
                          <w:szCs w:val="20"/>
                        </w:rPr>
                        <w:t>Office of Management and Budget (OBM) race-ethnicity</w:t>
                      </w:r>
                      <w:r w:rsidRPr="0016109A">
                        <w:rPr>
                          <w:rFonts w:eastAsia="Calibri" w:cstheme="minorHAnsi"/>
                          <w:color w:val="000000" w:themeColor="text1"/>
                          <w:sz w:val="20"/>
                          <w:szCs w:val="20"/>
                        </w:rPr>
                        <w:t xml:space="preserve"> standards</w:t>
                      </w:r>
                      <w:r w:rsidRPr="008373B1">
                        <w:rPr>
                          <w:rFonts w:eastAsia="Calibri" w:cstheme="minorHAnsi"/>
                          <w:noProof/>
                          <w:color w:val="000000" w:themeColor="text1"/>
                          <w:sz w:val="20"/>
                          <w:szCs w:val="20"/>
                          <w:vertAlign w:val="superscript"/>
                        </w:rPr>
                        <w:t>1</w:t>
                      </w:r>
                      <w:r w:rsidRPr="0016109A">
                        <w:rPr>
                          <w:rFonts w:eastAsia="Calibri" w:cstheme="minorHAnsi"/>
                          <w:color w:val="000000" w:themeColor="text1"/>
                          <w:sz w:val="20"/>
                          <w:szCs w:val="20"/>
                        </w:rPr>
                        <w:t xml:space="preserve">, report the number of </w:t>
                      </w:r>
                      <w:r w:rsidRPr="0016109A">
                        <w:rPr>
                          <w:color w:val="000000" w:themeColor="text1"/>
                          <w:sz w:val="20"/>
                          <w:szCs w:val="20"/>
                        </w:rPr>
                        <w:t>patients in each of the collapsed race-ethnicity groups (Non-Hispanic white, non-Hispanic black, Hispanic, non-Hispanic other). Most health systems should be collecting race-ethnicity using the OMB standards to be in alignment with Meaningful Use reporting standards.</w:t>
                      </w:r>
                    </w:p>
                    <w:p w:rsidR="00C01740" w:rsidRPr="0016109A" w:rsidRDefault="00C01740" w:rsidP="0016109A">
                      <w:pPr>
                        <w:spacing w:line="276" w:lineRule="auto"/>
                        <w:rPr>
                          <w:b/>
                          <w:color w:val="000000" w:themeColor="text1"/>
                          <w:sz w:val="8"/>
                          <w:szCs w:val="8"/>
                        </w:rPr>
                      </w:pPr>
                    </w:p>
                    <w:p w:rsidR="00C01740" w:rsidRPr="0016109A" w:rsidRDefault="00C01740" w:rsidP="0016109A">
                      <w:pPr>
                        <w:spacing w:line="276" w:lineRule="auto"/>
                        <w:rPr>
                          <w:color w:val="000000" w:themeColor="text1"/>
                          <w:sz w:val="20"/>
                          <w:szCs w:val="20"/>
                        </w:rPr>
                      </w:pPr>
                      <w:r w:rsidRPr="0016109A">
                        <w:rPr>
                          <w:b/>
                          <w:color w:val="000000" w:themeColor="text1"/>
                          <w:sz w:val="20"/>
                          <w:szCs w:val="20"/>
                        </w:rPr>
                        <w:t>Obesity:</w:t>
                      </w:r>
                      <w:r>
                        <w:rPr>
                          <w:color w:val="000000" w:themeColor="text1"/>
                          <w:sz w:val="20"/>
                          <w:szCs w:val="20"/>
                        </w:rPr>
                        <w:t xml:space="preserve"> Having a body mass index</w:t>
                      </w:r>
                      <w:r w:rsidRPr="0016109A">
                        <w:rPr>
                          <w:color w:val="000000" w:themeColor="text1"/>
                          <w:sz w:val="20"/>
                          <w:szCs w:val="20"/>
                        </w:rPr>
                        <w:t>—calculated as weight in kilograms over height in meters squared (kg/m</w:t>
                      </w:r>
                      <w:r w:rsidRPr="008373B1">
                        <w:rPr>
                          <w:color w:val="000000" w:themeColor="text1"/>
                          <w:sz w:val="20"/>
                          <w:szCs w:val="20"/>
                          <w:vertAlign w:val="superscript"/>
                        </w:rPr>
                        <w:t>2</w:t>
                      </w:r>
                      <w:r w:rsidRPr="0016109A">
                        <w:rPr>
                          <w:color w:val="000000" w:themeColor="text1"/>
                          <w:sz w:val="20"/>
                          <w:szCs w:val="20"/>
                        </w:rPr>
                        <w:t>)—of 30 kg/m</w:t>
                      </w:r>
                      <w:r w:rsidRPr="008373B1">
                        <w:rPr>
                          <w:color w:val="000000" w:themeColor="text1"/>
                          <w:sz w:val="20"/>
                          <w:szCs w:val="20"/>
                          <w:vertAlign w:val="superscript"/>
                        </w:rPr>
                        <w:t>2</w:t>
                      </w:r>
                      <w:r w:rsidRPr="0016109A">
                        <w:rPr>
                          <w:color w:val="000000" w:themeColor="text1"/>
                          <w:sz w:val="20"/>
                          <w:szCs w:val="20"/>
                        </w:rPr>
                        <w:t xml:space="preserve"> or greater. </w:t>
                      </w:r>
                    </w:p>
                    <w:p w:rsidR="00C01740" w:rsidRPr="008373B1" w:rsidRDefault="00C01740" w:rsidP="0016109A">
                      <w:pPr>
                        <w:tabs>
                          <w:tab w:val="left" w:pos="967"/>
                        </w:tabs>
                        <w:spacing w:line="276" w:lineRule="auto"/>
                        <w:rPr>
                          <w:b/>
                          <w:color w:val="000000" w:themeColor="text1"/>
                          <w:sz w:val="8"/>
                          <w:szCs w:val="8"/>
                        </w:rPr>
                      </w:pPr>
                      <w:r w:rsidRPr="008373B1">
                        <w:rPr>
                          <w:b/>
                          <w:color w:val="000000" w:themeColor="text1"/>
                          <w:sz w:val="8"/>
                          <w:szCs w:val="8"/>
                        </w:rPr>
                        <w:tab/>
                      </w:r>
                    </w:p>
                    <w:p w:rsidR="00C01740" w:rsidRPr="00DE37F4" w:rsidRDefault="00C01740" w:rsidP="00DE37F4">
                      <w:pPr>
                        <w:spacing w:line="276" w:lineRule="auto"/>
                        <w:rPr>
                          <w:color w:val="000000" w:themeColor="text1"/>
                          <w:sz w:val="20"/>
                          <w:szCs w:val="20"/>
                        </w:rPr>
                      </w:pPr>
                      <w:r w:rsidRPr="0016109A">
                        <w:rPr>
                          <w:b/>
                          <w:color w:val="000000" w:themeColor="text1"/>
                          <w:sz w:val="20"/>
                          <w:szCs w:val="20"/>
                        </w:rPr>
                        <w:t>Diabetes:</w:t>
                      </w:r>
                      <w:r w:rsidRPr="0016109A">
                        <w:rPr>
                          <w:color w:val="000000" w:themeColor="text1"/>
                          <w:sz w:val="20"/>
                          <w:szCs w:val="20"/>
                        </w:rPr>
                        <w:t xml:space="preserve"> Determined by health care documentation, applying clinical diagnostic criteria, and/or querying administrative claims data (e.g., diabetes defined using </w:t>
                      </w:r>
                      <w:r>
                        <w:rPr>
                          <w:color w:val="000000" w:themeColor="text1"/>
                          <w:sz w:val="20"/>
                          <w:szCs w:val="20"/>
                        </w:rPr>
                        <w:t xml:space="preserve">International Classification of Disease, Ninth Revision, </w:t>
                      </w:r>
                      <w:proofErr w:type="gramStart"/>
                      <w:r>
                        <w:rPr>
                          <w:color w:val="000000" w:themeColor="text1"/>
                          <w:sz w:val="20"/>
                          <w:szCs w:val="20"/>
                        </w:rPr>
                        <w:t>Clinical</w:t>
                      </w:r>
                      <w:proofErr w:type="gramEnd"/>
                      <w:r>
                        <w:rPr>
                          <w:color w:val="000000" w:themeColor="text1"/>
                          <w:sz w:val="20"/>
                          <w:szCs w:val="20"/>
                        </w:rPr>
                        <w:t xml:space="preserve"> Modification (</w:t>
                      </w:r>
                      <w:r w:rsidRPr="0016109A">
                        <w:rPr>
                          <w:color w:val="000000" w:themeColor="text1"/>
                          <w:sz w:val="20"/>
                          <w:szCs w:val="20"/>
                        </w:rPr>
                        <w:t>ICD-9-CM</w:t>
                      </w:r>
                      <w:r>
                        <w:rPr>
                          <w:color w:val="000000" w:themeColor="text1"/>
                          <w:sz w:val="20"/>
                          <w:szCs w:val="20"/>
                        </w:rPr>
                        <w:t>)</w:t>
                      </w:r>
                      <w:r w:rsidRPr="0016109A">
                        <w:rPr>
                          <w:color w:val="000000" w:themeColor="text1"/>
                          <w:sz w:val="20"/>
                          <w:szCs w:val="20"/>
                        </w:rPr>
                        <w:t xml:space="preserve"> code of 250 and/or prescriptions for insulin or oral </w:t>
                      </w:r>
                      <w:r w:rsidRPr="00DE37F4">
                        <w:rPr>
                          <w:color w:val="000000" w:themeColor="text1"/>
                          <w:sz w:val="20"/>
                          <w:szCs w:val="20"/>
                        </w:rPr>
                        <w:t>antidiabetic medications); look-back period may differ based on health system. Ideally, the health syste</w:t>
                      </w:r>
                      <w:bookmarkStart w:id="2" w:name="_GoBack"/>
                      <w:bookmarkEnd w:id="2"/>
                      <w:r w:rsidRPr="00DE37F4">
                        <w:rPr>
                          <w:color w:val="000000" w:themeColor="text1"/>
                          <w:sz w:val="20"/>
                          <w:szCs w:val="20"/>
                        </w:rPr>
                        <w:t>m uses the American Diabetes Association's current clinical definition for diagnosing diabetes.</w:t>
                      </w:r>
                      <w:r w:rsidRPr="008373B1">
                        <w:rPr>
                          <w:b/>
                          <w:noProof/>
                          <w:color w:val="000000" w:themeColor="text1"/>
                          <w:sz w:val="20"/>
                          <w:szCs w:val="20"/>
                          <w:vertAlign w:val="superscript"/>
                        </w:rPr>
                        <w:t>2</w:t>
                      </w:r>
                      <w:r w:rsidRPr="00DE37F4">
                        <w:rPr>
                          <w:color w:val="000000" w:themeColor="text1"/>
                          <w:sz w:val="20"/>
                          <w:szCs w:val="20"/>
                        </w:rPr>
                        <w:t xml:space="preserve">  </w:t>
                      </w:r>
                    </w:p>
                    <w:p w:rsidR="00C01740" w:rsidRPr="008373B1" w:rsidRDefault="00C01740" w:rsidP="00DE37F4">
                      <w:pPr>
                        <w:spacing w:line="276" w:lineRule="auto"/>
                        <w:ind w:firstLine="720"/>
                        <w:rPr>
                          <w:b/>
                          <w:color w:val="000000" w:themeColor="text1"/>
                          <w:sz w:val="8"/>
                          <w:szCs w:val="8"/>
                        </w:rPr>
                      </w:pPr>
                    </w:p>
                    <w:p w:rsidR="00C01740" w:rsidRDefault="00C01740" w:rsidP="00DE37F4">
                      <w:pPr>
                        <w:spacing w:line="276" w:lineRule="auto"/>
                        <w:rPr>
                          <w:color w:val="000000" w:themeColor="text1"/>
                          <w:sz w:val="20"/>
                          <w:szCs w:val="20"/>
                        </w:rPr>
                      </w:pPr>
                      <w:r w:rsidRPr="00DE37F4">
                        <w:rPr>
                          <w:b/>
                          <w:color w:val="000000" w:themeColor="text1"/>
                          <w:sz w:val="20"/>
                          <w:szCs w:val="20"/>
                        </w:rPr>
                        <w:t>Chronic kidney disease (CKD):</w:t>
                      </w:r>
                      <w:r w:rsidRPr="00DE37F4">
                        <w:rPr>
                          <w:color w:val="000000" w:themeColor="text1"/>
                          <w:sz w:val="20"/>
                          <w:szCs w:val="20"/>
                        </w:rPr>
                        <w:t xml:space="preserve"> Determined by health care documentation, applying clinical diagnostic criteria, and/or querying administrative claims data (e.g., CKD defined using ICD-9-CM codes of 403, 404, and 585); look-back period may differ based on health system. The definition used in development of this tool included: 1) having an estimated glomerular filtration rate of &lt;60 mL/min per 1.73 m2 using the </w:t>
                      </w:r>
                      <w:r w:rsidRPr="00DE37F4">
                        <w:rPr>
                          <w:rFonts w:cs="Arial"/>
                          <w:color w:val="000000" w:themeColor="text1"/>
                          <w:sz w:val="20"/>
                          <w:szCs w:val="20"/>
                        </w:rPr>
                        <w:t xml:space="preserve">Chronic Kidney Disease </w:t>
                      </w:r>
                      <w:r w:rsidRPr="00DE37F4">
                        <w:rPr>
                          <w:rStyle w:val="highlight2"/>
                          <w:rFonts w:cs="Arial"/>
                          <w:color w:val="000000" w:themeColor="text1"/>
                          <w:sz w:val="20"/>
                          <w:szCs w:val="20"/>
                        </w:rPr>
                        <w:t>Epidemiology</w:t>
                      </w:r>
                      <w:r w:rsidRPr="00DE37F4">
                        <w:rPr>
                          <w:rFonts w:cs="Arial"/>
                          <w:color w:val="000000" w:themeColor="text1"/>
                          <w:sz w:val="20"/>
                          <w:szCs w:val="20"/>
                        </w:rPr>
                        <w:t xml:space="preserve"> Collaboration equation</w:t>
                      </w:r>
                      <w:r w:rsidRPr="008373B1">
                        <w:rPr>
                          <w:rFonts w:cs="Arial"/>
                          <w:noProof/>
                          <w:color w:val="000000" w:themeColor="text1"/>
                          <w:sz w:val="20"/>
                          <w:szCs w:val="20"/>
                          <w:vertAlign w:val="superscript"/>
                        </w:rPr>
                        <w:t>3</w:t>
                      </w:r>
                      <w:r w:rsidRPr="00DE37F4">
                        <w:rPr>
                          <w:rFonts w:cs="Arial"/>
                          <w:color w:val="000000" w:themeColor="text1"/>
                          <w:sz w:val="20"/>
                          <w:szCs w:val="20"/>
                        </w:rPr>
                        <w:t xml:space="preserve"> </w:t>
                      </w:r>
                      <w:r w:rsidRPr="00DE37F4">
                        <w:rPr>
                          <w:color w:val="000000" w:themeColor="text1"/>
                          <w:sz w:val="20"/>
                          <w:szCs w:val="20"/>
                        </w:rPr>
                        <w:t xml:space="preserve">or 2) the presence of albuminuria (albumin-to-creatinine ratio of ≥30 mg/g).  </w:t>
                      </w:r>
                    </w:p>
                    <w:p w:rsidR="00C01740" w:rsidRPr="008373B1" w:rsidRDefault="00C01740" w:rsidP="00DE37F4">
                      <w:pPr>
                        <w:spacing w:line="276" w:lineRule="auto"/>
                        <w:rPr>
                          <w:b/>
                          <w:color w:val="000000" w:themeColor="text1"/>
                          <w:sz w:val="8"/>
                          <w:szCs w:val="8"/>
                        </w:rPr>
                      </w:pPr>
                      <w:r w:rsidRPr="008373B1">
                        <w:rPr>
                          <w:b/>
                          <w:color w:val="000000" w:themeColor="text1"/>
                          <w:sz w:val="8"/>
                          <w:szCs w:val="8"/>
                        </w:rPr>
                        <w:tab/>
                      </w:r>
                    </w:p>
                    <w:p w:rsidR="00C01740" w:rsidRPr="00DE37F4" w:rsidRDefault="00C01740" w:rsidP="00DE37F4">
                      <w:pPr>
                        <w:spacing w:line="276" w:lineRule="auto"/>
                        <w:rPr>
                          <w:rFonts w:eastAsia="Calibri" w:cstheme="minorHAnsi"/>
                          <w:sz w:val="20"/>
                          <w:szCs w:val="20"/>
                        </w:rPr>
                      </w:pPr>
                      <w:r w:rsidRPr="00DE37F4">
                        <w:rPr>
                          <w:b/>
                          <w:color w:val="000000" w:themeColor="text1"/>
                          <w:sz w:val="20"/>
                          <w:szCs w:val="20"/>
                        </w:rPr>
                        <w:t>Hypertension:</w:t>
                      </w:r>
                      <w:r w:rsidRPr="00DE37F4">
                        <w:rPr>
                          <w:color w:val="000000" w:themeColor="text1"/>
                          <w:sz w:val="20"/>
                          <w:szCs w:val="20"/>
                        </w:rPr>
                        <w:t xml:space="preserve"> </w:t>
                      </w:r>
                      <w:r w:rsidRPr="00DE37F4">
                        <w:rPr>
                          <w:rFonts w:eastAsia="Calibri" w:cstheme="minorHAnsi"/>
                          <w:color w:val="000000" w:themeColor="text1"/>
                          <w:sz w:val="20"/>
                          <w:szCs w:val="20"/>
                        </w:rPr>
                        <w:t>Ideally, health systems use</w:t>
                      </w:r>
                      <w:r w:rsidRPr="0016109A">
                        <w:rPr>
                          <w:rFonts w:eastAsia="Calibri" w:cstheme="minorHAnsi"/>
                          <w:color w:val="000000" w:themeColor="text1"/>
                          <w:sz w:val="20"/>
                          <w:szCs w:val="20"/>
                        </w:rPr>
                        <w:t xml:space="preserve"> the two or more </w:t>
                      </w:r>
                      <w:r>
                        <w:rPr>
                          <w:rFonts w:eastAsia="Calibri" w:cstheme="minorHAnsi"/>
                          <w:color w:val="000000" w:themeColor="text1"/>
                          <w:sz w:val="20"/>
                          <w:szCs w:val="20"/>
                        </w:rPr>
                        <w:t xml:space="preserve">elevated blood pressure </w:t>
                      </w:r>
                      <w:r w:rsidRPr="0016109A">
                        <w:rPr>
                          <w:rFonts w:eastAsia="Calibri" w:cstheme="minorHAnsi"/>
                          <w:color w:val="000000" w:themeColor="text1"/>
                          <w:sz w:val="20"/>
                          <w:szCs w:val="20"/>
                        </w:rPr>
                        <w:t>measures at two or more outpatient office visits criteria to diagnosis their hypertensive patients.</w:t>
                      </w:r>
                      <w:r w:rsidRPr="008373B1">
                        <w:rPr>
                          <w:rFonts w:eastAsia="Calibri" w:cstheme="minorHAnsi"/>
                          <w:noProof/>
                          <w:color w:val="000000" w:themeColor="text1"/>
                          <w:sz w:val="20"/>
                          <w:szCs w:val="20"/>
                          <w:vertAlign w:val="superscript"/>
                        </w:rPr>
                        <w:t>4</w:t>
                      </w:r>
                      <w:r w:rsidRPr="0016109A">
                        <w:rPr>
                          <w:color w:val="000000" w:themeColor="text1"/>
                          <w:sz w:val="20"/>
                          <w:szCs w:val="20"/>
                        </w:rPr>
                        <w:t xml:space="preserve"> </w:t>
                      </w:r>
                      <w:r w:rsidRPr="0016109A">
                        <w:rPr>
                          <w:rFonts w:eastAsia="Calibri" w:cstheme="minorHAnsi"/>
                          <w:color w:val="000000" w:themeColor="text1"/>
                          <w:sz w:val="20"/>
                          <w:szCs w:val="20"/>
                        </w:rPr>
                        <w:t>All health systems are encouraged to use devices which passed the validation protocol from the U.S. Association for the Advancement o</w:t>
                      </w:r>
                      <w:r>
                        <w:rPr>
                          <w:rFonts w:eastAsia="Calibri" w:cstheme="minorHAnsi"/>
                          <w:color w:val="000000" w:themeColor="text1"/>
                          <w:sz w:val="20"/>
                          <w:szCs w:val="20"/>
                        </w:rPr>
                        <w:t>f Medical Instrumentation</w:t>
                      </w:r>
                      <w:r w:rsidRPr="0016109A">
                        <w:rPr>
                          <w:rFonts w:eastAsia="Calibri" w:cstheme="minorHAnsi"/>
                          <w:color w:val="000000" w:themeColor="text1"/>
                          <w:sz w:val="20"/>
                          <w:szCs w:val="20"/>
                        </w:rPr>
                        <w:t>, Br</w:t>
                      </w:r>
                      <w:r>
                        <w:rPr>
                          <w:rFonts w:eastAsia="Calibri" w:cstheme="minorHAnsi"/>
                          <w:color w:val="000000" w:themeColor="text1"/>
                          <w:sz w:val="20"/>
                          <w:szCs w:val="20"/>
                        </w:rPr>
                        <w:t>itish Hypertension Society</w:t>
                      </w:r>
                      <w:r w:rsidRPr="0016109A">
                        <w:rPr>
                          <w:rFonts w:eastAsia="Calibri" w:cstheme="minorHAnsi"/>
                          <w:color w:val="000000" w:themeColor="text1"/>
                          <w:sz w:val="20"/>
                          <w:szCs w:val="20"/>
                        </w:rPr>
                        <w:t>, or European Society of Hypertension</w:t>
                      </w:r>
                      <w:r>
                        <w:rPr>
                          <w:rFonts w:eastAsia="Calibri" w:cstheme="minorHAnsi"/>
                          <w:color w:val="000000" w:themeColor="text1"/>
                          <w:sz w:val="20"/>
                          <w:szCs w:val="20"/>
                        </w:rPr>
                        <w:t>.</w:t>
                      </w:r>
                      <w:r w:rsidRPr="008373B1">
                        <w:rPr>
                          <w:rFonts w:eastAsia="Calibri" w:cstheme="minorHAnsi"/>
                          <w:noProof/>
                          <w:color w:val="000000" w:themeColor="text1"/>
                          <w:sz w:val="20"/>
                          <w:szCs w:val="20"/>
                          <w:vertAlign w:val="superscript"/>
                        </w:rPr>
                        <w:t>5</w:t>
                      </w:r>
                      <w:r>
                        <w:rPr>
                          <w:rFonts w:eastAsia="Calibri" w:cstheme="minorHAnsi"/>
                          <w:color w:val="000000" w:themeColor="text1"/>
                          <w:sz w:val="20"/>
                          <w:szCs w:val="20"/>
                        </w:rPr>
                        <w:t xml:space="preserve"> </w:t>
                      </w:r>
                      <w:r w:rsidRPr="0016109A">
                        <w:rPr>
                          <w:rFonts w:eastAsia="Calibri" w:cstheme="minorHAnsi"/>
                          <w:color w:val="000000" w:themeColor="text1"/>
                          <w:sz w:val="20"/>
                          <w:szCs w:val="20"/>
                        </w:rPr>
                        <w:t xml:space="preserve">Health systems are asked to use only outpatient medical records to identify their hypertensive population and to exclude women with gestational hypertension from their prevalence calculations. There are likely multiple ways health systems can use their patient medical records to identify their hypertensive population. This could include using administrative claims documentation (e.g., </w:t>
                      </w:r>
                      <w:r>
                        <w:rPr>
                          <w:rFonts w:eastAsia="Calibri" w:cstheme="minorHAnsi"/>
                          <w:color w:val="000000" w:themeColor="text1"/>
                          <w:sz w:val="20"/>
                          <w:szCs w:val="20"/>
                        </w:rPr>
                        <w:t>ICD-9-CM</w:t>
                      </w:r>
                      <w:r w:rsidRPr="0016109A">
                        <w:rPr>
                          <w:rFonts w:eastAsia="Calibri" w:cstheme="minorHAnsi"/>
                          <w:color w:val="000000" w:themeColor="text1"/>
                          <w:sz w:val="20"/>
                          <w:szCs w:val="20"/>
                        </w:rPr>
                        <w:t xml:space="preserve"> codes for essential hypertension (401), hypertensive heart and/or chronic kidney disease (402–404), and/or secondary hypertension (405)</w:t>
                      </w:r>
                      <w:r>
                        <w:rPr>
                          <w:rFonts w:eastAsia="Calibri" w:cstheme="minorHAnsi"/>
                          <w:color w:val="000000" w:themeColor="text1"/>
                          <w:sz w:val="20"/>
                          <w:szCs w:val="20"/>
                        </w:rPr>
                        <w:t>)</w:t>
                      </w:r>
                      <w:r w:rsidRPr="0016109A">
                        <w:rPr>
                          <w:rFonts w:eastAsia="Calibri" w:cstheme="minorHAnsi"/>
                          <w:color w:val="000000" w:themeColor="text1"/>
                          <w:sz w:val="20"/>
                          <w:szCs w:val="20"/>
                        </w:rPr>
                        <w:t>. Ideally, if administrative claims data are being used, a hypertensive patient would be identified using ICD-9-CM codes 401–404 and exclude secondary hypertension cases. If the health system report</w:t>
                      </w:r>
                      <w:r>
                        <w:rPr>
                          <w:rFonts w:eastAsia="Calibri" w:cstheme="minorHAnsi"/>
                          <w:color w:val="000000" w:themeColor="text1"/>
                          <w:sz w:val="20"/>
                          <w:szCs w:val="20"/>
                        </w:rPr>
                        <w:t>s</w:t>
                      </w:r>
                      <w:r w:rsidRPr="0016109A">
                        <w:rPr>
                          <w:rFonts w:eastAsia="Calibri" w:cstheme="minorHAnsi"/>
                          <w:color w:val="000000" w:themeColor="text1"/>
                          <w:sz w:val="20"/>
                          <w:szCs w:val="20"/>
                        </w:rPr>
                        <w:t xml:space="preserve"> on the National Committe</w:t>
                      </w:r>
                      <w:r>
                        <w:rPr>
                          <w:rFonts w:eastAsia="Calibri" w:cstheme="minorHAnsi"/>
                          <w:color w:val="000000" w:themeColor="text1"/>
                          <w:sz w:val="20"/>
                          <w:szCs w:val="20"/>
                        </w:rPr>
                        <w:t xml:space="preserve">e on Quality Assurance’s </w:t>
                      </w:r>
                      <w:r w:rsidRPr="0016109A">
                        <w:rPr>
                          <w:rFonts w:eastAsia="Calibri" w:cstheme="minorHAnsi"/>
                          <w:color w:val="000000" w:themeColor="text1"/>
                          <w:sz w:val="20"/>
                          <w:szCs w:val="20"/>
                        </w:rPr>
                        <w:t>Healthcare Effectiveness D</w:t>
                      </w:r>
                      <w:r>
                        <w:rPr>
                          <w:rFonts w:eastAsia="Calibri" w:cstheme="minorHAnsi"/>
                          <w:color w:val="000000" w:themeColor="text1"/>
                          <w:sz w:val="20"/>
                          <w:szCs w:val="20"/>
                        </w:rPr>
                        <w:t xml:space="preserve">ata and Information Set </w:t>
                      </w:r>
                      <w:r w:rsidRPr="0016109A">
                        <w:rPr>
                          <w:rFonts w:eastAsia="Calibri" w:cstheme="minorHAnsi"/>
                          <w:color w:val="000000" w:themeColor="text1"/>
                          <w:sz w:val="20"/>
                          <w:szCs w:val="20"/>
                        </w:rPr>
                        <w:t xml:space="preserve">Controlling High Blood Pressure measure, they may only use ICD-9-CM code 401 to identify their hypertension patient population and possibly exclude those patients with document end-stage renal disease (ICD-9-CM codes of: 585.5, 585.6, V42.0, or V45.1). </w:t>
                      </w:r>
                    </w:p>
                  </w:txbxContent>
                </v:textbox>
                <w10:wrap type="square"/>
              </v:rect>
            </w:pict>
          </mc:Fallback>
        </mc:AlternateContent>
      </w:r>
      <w:proofErr w:type="gramStart"/>
      <w:r w:rsidR="00C01740" w:rsidRPr="0005207A">
        <w:rPr>
          <w:rFonts w:ascii="Times New Roman" w:hAnsi="Times New Roman" w:cs="Times New Roman"/>
          <w:b/>
        </w:rPr>
        <w:t>e-Figure</w:t>
      </w:r>
      <w:proofErr w:type="gramEnd"/>
      <w:r w:rsidR="00C01740" w:rsidRPr="0005207A">
        <w:rPr>
          <w:rFonts w:ascii="Times New Roman" w:hAnsi="Times New Roman" w:cs="Times New Roman"/>
          <w:b/>
        </w:rPr>
        <w:t xml:space="preserve"> 1. Clinical definitions health systems are encouraged to use to best align with currently endorsed guidelines and the methods used to develop the Hypertension Prevalence Estimator Tool</w:t>
      </w:r>
    </w:p>
    <w:bookmarkEnd w:id="0"/>
    <w:p w:rsidR="00F927A9" w:rsidRPr="00F927A9" w:rsidRDefault="00F927A9" w:rsidP="00F927A9">
      <w:pPr>
        <w:spacing w:line="276" w:lineRule="auto"/>
        <w:rPr>
          <w:rFonts w:ascii="Times New Roman" w:hAnsi="Times New Roman" w:cs="Times New Roman"/>
          <w:b/>
          <w:sz w:val="12"/>
        </w:rPr>
      </w:pPr>
    </w:p>
    <w:p w:rsidR="00C01740" w:rsidRPr="0005207A" w:rsidRDefault="00C01740" w:rsidP="00F927A9">
      <w:pPr>
        <w:spacing w:line="276" w:lineRule="auto"/>
        <w:rPr>
          <w:rFonts w:ascii="Times New Roman" w:hAnsi="Times New Roman" w:cs="Times New Roman"/>
          <w:b/>
          <w:sz w:val="20"/>
        </w:rPr>
      </w:pPr>
      <w:r w:rsidRPr="0005207A">
        <w:rPr>
          <w:rFonts w:ascii="Times New Roman" w:hAnsi="Times New Roman" w:cs="Times New Roman"/>
          <w:b/>
          <w:sz w:val="20"/>
        </w:rPr>
        <w:t>References</w:t>
      </w:r>
    </w:p>
    <w:p w:rsidR="00C01740" w:rsidRPr="00C01740" w:rsidRDefault="00C01740" w:rsidP="00F927A9">
      <w:pPr>
        <w:ind w:left="360" w:hanging="360"/>
        <w:rPr>
          <w:rFonts w:ascii="Times New Roman" w:hAnsi="Times New Roman" w:cs="Times New Roman"/>
          <w:noProof/>
          <w:sz w:val="20"/>
          <w:szCs w:val="20"/>
        </w:rPr>
      </w:pPr>
      <w:bookmarkStart w:id="3" w:name="_ENREF_1"/>
      <w:r w:rsidRPr="00C01740">
        <w:rPr>
          <w:rFonts w:ascii="Times New Roman" w:hAnsi="Times New Roman" w:cs="Times New Roman"/>
          <w:noProof/>
          <w:sz w:val="20"/>
          <w:szCs w:val="20"/>
        </w:rPr>
        <w:t>1.</w:t>
      </w:r>
      <w:r w:rsidRPr="00C01740">
        <w:rPr>
          <w:rFonts w:ascii="Times New Roman" w:hAnsi="Times New Roman" w:cs="Times New Roman"/>
          <w:noProof/>
          <w:sz w:val="20"/>
          <w:szCs w:val="20"/>
        </w:rPr>
        <w:tab/>
        <w:t xml:space="preserve">Revisions to the </w:t>
      </w:r>
      <w:r>
        <w:rPr>
          <w:rFonts w:ascii="Times New Roman" w:hAnsi="Times New Roman" w:cs="Times New Roman"/>
          <w:noProof/>
          <w:sz w:val="20"/>
          <w:szCs w:val="20"/>
        </w:rPr>
        <w:t>s</w:t>
      </w:r>
      <w:r w:rsidRPr="00C01740">
        <w:rPr>
          <w:rFonts w:ascii="Times New Roman" w:hAnsi="Times New Roman" w:cs="Times New Roman"/>
          <w:noProof/>
          <w:sz w:val="20"/>
          <w:szCs w:val="20"/>
        </w:rPr>
        <w:t xml:space="preserve">tandards for the </w:t>
      </w:r>
      <w:r>
        <w:rPr>
          <w:rFonts w:ascii="Times New Roman" w:hAnsi="Times New Roman" w:cs="Times New Roman"/>
          <w:noProof/>
          <w:sz w:val="20"/>
          <w:szCs w:val="20"/>
        </w:rPr>
        <w:t>c</w:t>
      </w:r>
      <w:r w:rsidRPr="00C01740">
        <w:rPr>
          <w:rFonts w:ascii="Times New Roman" w:hAnsi="Times New Roman" w:cs="Times New Roman"/>
          <w:noProof/>
          <w:sz w:val="20"/>
          <w:szCs w:val="20"/>
        </w:rPr>
        <w:t xml:space="preserve">lassification of </w:t>
      </w:r>
      <w:r>
        <w:rPr>
          <w:rFonts w:ascii="Times New Roman" w:hAnsi="Times New Roman" w:cs="Times New Roman"/>
          <w:noProof/>
          <w:sz w:val="20"/>
          <w:szCs w:val="20"/>
        </w:rPr>
        <w:t>f</w:t>
      </w:r>
      <w:r w:rsidRPr="00C01740">
        <w:rPr>
          <w:rFonts w:ascii="Times New Roman" w:hAnsi="Times New Roman" w:cs="Times New Roman"/>
          <w:noProof/>
          <w:sz w:val="20"/>
          <w:szCs w:val="20"/>
        </w:rPr>
        <w:t xml:space="preserve">ederal </w:t>
      </w:r>
      <w:r>
        <w:rPr>
          <w:rFonts w:ascii="Times New Roman" w:hAnsi="Times New Roman" w:cs="Times New Roman"/>
          <w:noProof/>
          <w:sz w:val="20"/>
          <w:szCs w:val="20"/>
        </w:rPr>
        <w:t>d</w:t>
      </w:r>
      <w:r w:rsidRPr="00C01740">
        <w:rPr>
          <w:rFonts w:ascii="Times New Roman" w:hAnsi="Times New Roman" w:cs="Times New Roman"/>
          <w:noProof/>
          <w:sz w:val="20"/>
          <w:szCs w:val="20"/>
        </w:rPr>
        <w:t xml:space="preserve">ata on </w:t>
      </w:r>
      <w:r>
        <w:rPr>
          <w:rFonts w:ascii="Times New Roman" w:hAnsi="Times New Roman" w:cs="Times New Roman"/>
          <w:noProof/>
          <w:sz w:val="20"/>
          <w:szCs w:val="20"/>
        </w:rPr>
        <w:t>r</w:t>
      </w:r>
      <w:r w:rsidRPr="00C01740">
        <w:rPr>
          <w:rFonts w:ascii="Times New Roman" w:hAnsi="Times New Roman" w:cs="Times New Roman"/>
          <w:noProof/>
          <w:sz w:val="20"/>
          <w:szCs w:val="20"/>
        </w:rPr>
        <w:t xml:space="preserve">ace and </w:t>
      </w:r>
      <w:r>
        <w:rPr>
          <w:rFonts w:ascii="Times New Roman" w:hAnsi="Times New Roman" w:cs="Times New Roman"/>
          <w:noProof/>
          <w:sz w:val="20"/>
          <w:szCs w:val="20"/>
        </w:rPr>
        <w:t>e</w:t>
      </w:r>
      <w:r w:rsidRPr="00C01740">
        <w:rPr>
          <w:rFonts w:ascii="Times New Roman" w:hAnsi="Times New Roman" w:cs="Times New Roman"/>
          <w:noProof/>
          <w:sz w:val="20"/>
          <w:szCs w:val="20"/>
        </w:rPr>
        <w:t xml:space="preserve">thnicity. Notice of </w:t>
      </w:r>
      <w:r>
        <w:rPr>
          <w:rFonts w:ascii="Times New Roman" w:hAnsi="Times New Roman" w:cs="Times New Roman"/>
          <w:noProof/>
          <w:sz w:val="20"/>
          <w:szCs w:val="20"/>
        </w:rPr>
        <w:t>d</w:t>
      </w:r>
      <w:r w:rsidRPr="00C01740">
        <w:rPr>
          <w:rFonts w:ascii="Times New Roman" w:hAnsi="Times New Roman" w:cs="Times New Roman"/>
          <w:noProof/>
          <w:sz w:val="20"/>
          <w:szCs w:val="20"/>
        </w:rPr>
        <w:t>ecision. Statistical Policy Directive No. 15. Oct 30</w:t>
      </w:r>
      <w:bookmarkEnd w:id="3"/>
      <w:r w:rsidRPr="00C01740">
        <w:rPr>
          <w:rFonts w:ascii="Times New Roman" w:hAnsi="Times New Roman" w:cs="Times New Roman"/>
          <w:noProof/>
          <w:sz w:val="20"/>
          <w:szCs w:val="20"/>
        </w:rPr>
        <w:t xml:space="preserve">, 1997. Available at </w:t>
      </w:r>
      <w:hyperlink r:id="rId8" w:history="1">
        <w:r w:rsidRPr="00C01740">
          <w:rPr>
            <w:rStyle w:val="Hyperlink"/>
            <w:rFonts w:ascii="Times New Roman" w:hAnsi="Times New Roman" w:cs="Times New Roman"/>
            <w:noProof/>
            <w:sz w:val="20"/>
            <w:szCs w:val="20"/>
          </w:rPr>
          <w:t>https://www.whitehouse.gov/omb/fedreg_1997standards</w:t>
        </w:r>
      </w:hyperlink>
      <w:r w:rsidRPr="00C01740">
        <w:rPr>
          <w:rFonts w:ascii="Times New Roman" w:hAnsi="Times New Roman" w:cs="Times New Roman"/>
          <w:noProof/>
          <w:sz w:val="20"/>
          <w:szCs w:val="20"/>
        </w:rPr>
        <w:t xml:space="preserve">. Accessed August 4, 2015. </w:t>
      </w:r>
    </w:p>
    <w:p w:rsidR="00C01740" w:rsidRPr="00C01740" w:rsidRDefault="00C01740" w:rsidP="00F927A9">
      <w:pPr>
        <w:ind w:left="360" w:hanging="360"/>
        <w:rPr>
          <w:rFonts w:ascii="Times New Roman" w:hAnsi="Times New Roman" w:cs="Times New Roman"/>
          <w:noProof/>
          <w:sz w:val="20"/>
          <w:szCs w:val="20"/>
        </w:rPr>
      </w:pPr>
      <w:bookmarkStart w:id="4" w:name="_ENREF_2"/>
      <w:r w:rsidRPr="00C01740">
        <w:rPr>
          <w:rFonts w:ascii="Times New Roman" w:hAnsi="Times New Roman" w:cs="Times New Roman"/>
          <w:noProof/>
          <w:sz w:val="20"/>
          <w:szCs w:val="20"/>
        </w:rPr>
        <w:t>2.</w:t>
      </w:r>
      <w:r w:rsidRPr="00C01740">
        <w:rPr>
          <w:rFonts w:ascii="Times New Roman" w:hAnsi="Times New Roman" w:cs="Times New Roman"/>
          <w:noProof/>
          <w:sz w:val="20"/>
          <w:szCs w:val="20"/>
        </w:rPr>
        <w:tab/>
        <w:t xml:space="preserve">American Diabetes Association. Diagnosis and classification of diabetes mellitus. </w:t>
      </w:r>
      <w:r w:rsidRPr="00C01740">
        <w:rPr>
          <w:rFonts w:ascii="Times New Roman" w:hAnsi="Times New Roman" w:cs="Times New Roman"/>
          <w:i/>
          <w:noProof/>
          <w:sz w:val="20"/>
          <w:szCs w:val="20"/>
        </w:rPr>
        <w:t xml:space="preserve">Diabetes Care. </w:t>
      </w:r>
      <w:r w:rsidRPr="00C01740">
        <w:rPr>
          <w:rFonts w:ascii="Times New Roman" w:hAnsi="Times New Roman" w:cs="Times New Roman"/>
          <w:noProof/>
          <w:sz w:val="20"/>
          <w:szCs w:val="20"/>
        </w:rPr>
        <w:t>2014;37 Suppl 1:S81-90.</w:t>
      </w:r>
      <w:bookmarkEnd w:id="4"/>
    </w:p>
    <w:p w:rsidR="00C01740" w:rsidRPr="00C01740" w:rsidRDefault="00C01740" w:rsidP="00F927A9">
      <w:pPr>
        <w:ind w:left="360" w:hanging="360"/>
        <w:rPr>
          <w:rFonts w:ascii="Times New Roman" w:hAnsi="Times New Roman" w:cs="Times New Roman"/>
          <w:noProof/>
          <w:sz w:val="20"/>
          <w:szCs w:val="20"/>
        </w:rPr>
      </w:pPr>
      <w:bookmarkStart w:id="5" w:name="_ENREF_3"/>
      <w:r w:rsidRPr="00C01740">
        <w:rPr>
          <w:rFonts w:ascii="Times New Roman" w:hAnsi="Times New Roman" w:cs="Times New Roman"/>
          <w:noProof/>
          <w:sz w:val="20"/>
          <w:szCs w:val="20"/>
        </w:rPr>
        <w:t>3.</w:t>
      </w:r>
      <w:r w:rsidRPr="00C01740">
        <w:rPr>
          <w:rFonts w:ascii="Times New Roman" w:hAnsi="Times New Roman" w:cs="Times New Roman"/>
          <w:noProof/>
          <w:sz w:val="20"/>
          <w:szCs w:val="20"/>
        </w:rPr>
        <w:tab/>
      </w:r>
      <w:bookmarkEnd w:id="5"/>
      <w:r w:rsidRPr="00C01740">
        <w:rPr>
          <w:rFonts w:ascii="Times New Roman" w:hAnsi="Times New Roman" w:cs="Times New Roman"/>
          <w:noProof/>
          <w:sz w:val="20"/>
          <w:szCs w:val="20"/>
        </w:rPr>
        <w:t xml:space="preserve">Levey AS, Stevens LA, Schmid CH, et al. A new equation to estimate glomerular filtration rate. </w:t>
      </w:r>
      <w:r w:rsidRPr="00C01740">
        <w:rPr>
          <w:rFonts w:ascii="Times New Roman" w:hAnsi="Times New Roman" w:cs="Times New Roman"/>
          <w:i/>
          <w:noProof/>
          <w:sz w:val="20"/>
          <w:szCs w:val="20"/>
        </w:rPr>
        <w:t xml:space="preserve">Ann Intern Med. </w:t>
      </w:r>
      <w:r w:rsidRPr="00C01740">
        <w:rPr>
          <w:rFonts w:ascii="Times New Roman" w:hAnsi="Times New Roman" w:cs="Times New Roman"/>
          <w:noProof/>
          <w:sz w:val="20"/>
          <w:szCs w:val="20"/>
        </w:rPr>
        <w:t>2009;150(9):604-612.</w:t>
      </w:r>
    </w:p>
    <w:p w:rsidR="00C01740" w:rsidRPr="00C01740" w:rsidRDefault="00C01740" w:rsidP="00F927A9">
      <w:pPr>
        <w:ind w:left="360" w:hanging="360"/>
        <w:rPr>
          <w:rFonts w:ascii="Times New Roman" w:hAnsi="Times New Roman" w:cs="Times New Roman"/>
          <w:noProof/>
          <w:sz w:val="20"/>
          <w:szCs w:val="20"/>
        </w:rPr>
      </w:pPr>
      <w:bookmarkStart w:id="6" w:name="_ENREF_4"/>
      <w:r w:rsidRPr="00C01740">
        <w:rPr>
          <w:rFonts w:ascii="Times New Roman" w:hAnsi="Times New Roman" w:cs="Times New Roman"/>
          <w:noProof/>
          <w:sz w:val="20"/>
          <w:szCs w:val="20"/>
        </w:rPr>
        <w:t>4.</w:t>
      </w:r>
      <w:r w:rsidRPr="00C01740">
        <w:rPr>
          <w:rFonts w:ascii="Times New Roman" w:hAnsi="Times New Roman" w:cs="Times New Roman"/>
          <w:noProof/>
          <w:sz w:val="20"/>
          <w:szCs w:val="20"/>
        </w:rPr>
        <w:tab/>
      </w:r>
      <w:bookmarkEnd w:id="6"/>
      <w:r w:rsidRPr="00C01740">
        <w:rPr>
          <w:rFonts w:ascii="Times New Roman" w:hAnsi="Times New Roman" w:cs="Times New Roman"/>
          <w:noProof/>
          <w:sz w:val="20"/>
          <w:szCs w:val="20"/>
        </w:rPr>
        <w:t xml:space="preserve">Chobanian AV, Bakris GL, Black HR, et al. Seventh report of the Joint National Committee on prevention, detection, evaluation, and treatment of high blood pressure. </w:t>
      </w:r>
      <w:r w:rsidRPr="00C01740">
        <w:rPr>
          <w:rFonts w:ascii="Times New Roman" w:hAnsi="Times New Roman" w:cs="Times New Roman"/>
          <w:i/>
          <w:noProof/>
          <w:sz w:val="20"/>
          <w:szCs w:val="20"/>
        </w:rPr>
        <w:t xml:space="preserve">Hypertension. </w:t>
      </w:r>
      <w:r w:rsidRPr="00C01740">
        <w:rPr>
          <w:rFonts w:ascii="Times New Roman" w:hAnsi="Times New Roman" w:cs="Times New Roman"/>
          <w:noProof/>
          <w:sz w:val="20"/>
          <w:szCs w:val="20"/>
        </w:rPr>
        <w:t>2003;42(6):1206-1252.</w:t>
      </w:r>
    </w:p>
    <w:p w:rsidR="00C01740" w:rsidRPr="00C01740" w:rsidRDefault="00C01740" w:rsidP="00F927A9">
      <w:pPr>
        <w:ind w:left="360" w:hanging="360"/>
        <w:rPr>
          <w:rFonts w:ascii="Times New Roman" w:hAnsi="Times New Roman" w:cs="Times New Roman"/>
          <w:noProof/>
          <w:sz w:val="20"/>
          <w:szCs w:val="20"/>
        </w:rPr>
      </w:pPr>
      <w:bookmarkStart w:id="7" w:name="_ENREF_5"/>
      <w:r w:rsidRPr="00C01740">
        <w:rPr>
          <w:rFonts w:ascii="Times New Roman" w:hAnsi="Times New Roman" w:cs="Times New Roman"/>
          <w:noProof/>
          <w:sz w:val="20"/>
          <w:szCs w:val="20"/>
        </w:rPr>
        <w:t>5.</w:t>
      </w:r>
      <w:r w:rsidRPr="00C01740">
        <w:rPr>
          <w:rFonts w:ascii="Times New Roman" w:hAnsi="Times New Roman" w:cs="Times New Roman"/>
          <w:noProof/>
          <w:sz w:val="20"/>
          <w:szCs w:val="20"/>
        </w:rPr>
        <w:tab/>
        <w:t xml:space="preserve">Pickering TG, Hall JE, Appel LJ, et al. Recommendations for blood pressure measurement in humans and experimental animals: part 1: blood pressure measurement in humans: a statement for professionals from the Subcommittee of Professional and Public Education of the American Heart Association Council on High Blood Pressure Research. </w:t>
      </w:r>
      <w:r w:rsidRPr="00C01740">
        <w:rPr>
          <w:rFonts w:ascii="Times New Roman" w:hAnsi="Times New Roman" w:cs="Times New Roman"/>
          <w:i/>
          <w:noProof/>
          <w:sz w:val="20"/>
          <w:szCs w:val="20"/>
        </w:rPr>
        <w:t xml:space="preserve">Circulation. </w:t>
      </w:r>
      <w:r w:rsidRPr="00C01740">
        <w:rPr>
          <w:rFonts w:ascii="Times New Roman" w:hAnsi="Times New Roman" w:cs="Times New Roman"/>
          <w:noProof/>
          <w:sz w:val="20"/>
          <w:szCs w:val="20"/>
        </w:rPr>
        <w:t>2005;111(5):697-716.</w:t>
      </w:r>
      <w:bookmarkEnd w:id="7"/>
    </w:p>
    <w:p w:rsidR="00C01740" w:rsidRPr="0005207A" w:rsidRDefault="00C01740" w:rsidP="00142902">
      <w:pPr>
        <w:spacing w:line="276" w:lineRule="auto"/>
        <w:rPr>
          <w:rFonts w:ascii="Times New Roman" w:hAnsi="Times New Roman" w:cs="Times New Roman"/>
          <w:b/>
        </w:rPr>
      </w:pPr>
      <w:proofErr w:type="gramStart"/>
      <w:r w:rsidRPr="0005207A">
        <w:rPr>
          <w:rFonts w:ascii="Times New Roman" w:hAnsi="Times New Roman" w:cs="Times New Roman"/>
          <w:b/>
        </w:rPr>
        <w:lastRenderedPageBreak/>
        <w:t>e-Table</w:t>
      </w:r>
      <w:proofErr w:type="gramEnd"/>
      <w:r w:rsidRPr="0005207A">
        <w:rPr>
          <w:rFonts w:ascii="Times New Roman" w:hAnsi="Times New Roman" w:cs="Times New Roman"/>
          <w:b/>
        </w:rPr>
        <w:t xml:space="preserve"> 1. </w:t>
      </w:r>
      <w:proofErr w:type="spellStart"/>
      <w:r w:rsidRPr="0005207A">
        <w:rPr>
          <w:rFonts w:ascii="Times New Roman" w:hAnsi="Times New Roman" w:cs="Times New Roman"/>
          <w:b/>
        </w:rPr>
        <w:t>Comorbidity</w:t>
      </w:r>
      <w:r w:rsidRPr="0005207A">
        <w:rPr>
          <w:rFonts w:ascii="Times New Roman" w:hAnsi="Times New Roman" w:cs="Times New Roman"/>
          <w:b/>
          <w:sz w:val="20"/>
          <w:vertAlign w:val="superscript"/>
        </w:rPr>
        <w:t>a</w:t>
      </w:r>
      <w:proofErr w:type="spellEnd"/>
      <w:r w:rsidRPr="0005207A">
        <w:rPr>
          <w:rFonts w:ascii="Times New Roman" w:hAnsi="Times New Roman" w:cs="Times New Roman"/>
          <w:b/>
        </w:rPr>
        <w:t xml:space="preserve"> prevalence, by gender, age, and race-ethnicity, NHANES, 2005–2012</w:t>
      </w:r>
      <w:r w:rsidRPr="0005207A">
        <w:rPr>
          <w:rFonts w:ascii="Times New Roman" w:hAnsi="Times New Roman" w:cs="Times New Roman"/>
          <w:b/>
          <w:vertAlign w:val="superscript"/>
        </w:rPr>
        <w:t>b</w:t>
      </w:r>
      <w:r w:rsidRPr="0005207A">
        <w:rPr>
          <w:rFonts w:ascii="Times New Roman" w:hAnsi="Times New Roman" w:cs="Times New Roman"/>
          <w:b/>
        </w:rPr>
        <w:t xml:space="preserve"> </w:t>
      </w:r>
    </w:p>
    <w:tbl>
      <w:tblPr>
        <w:tblpPr w:leftFromText="180" w:rightFromText="180" w:vertAnchor="text" w:tblpY="1"/>
        <w:tblOverlap w:val="never"/>
        <w:tblW w:w="9827" w:type="dxa"/>
        <w:tblLook w:val="04A0" w:firstRow="1" w:lastRow="0" w:firstColumn="1" w:lastColumn="0" w:noHBand="0" w:noVBand="1"/>
      </w:tblPr>
      <w:tblGrid>
        <w:gridCol w:w="1723"/>
        <w:gridCol w:w="2496"/>
        <w:gridCol w:w="2026"/>
        <w:gridCol w:w="1791"/>
        <w:gridCol w:w="1791"/>
      </w:tblGrid>
      <w:tr w:rsidR="00C01740" w:rsidRPr="00C01740" w:rsidTr="00332015">
        <w:trPr>
          <w:trHeight w:val="494"/>
        </w:trPr>
        <w:tc>
          <w:tcPr>
            <w:tcW w:w="1723" w:type="dxa"/>
            <w:tcBorders>
              <w:top w:val="single" w:sz="4" w:space="0" w:color="auto"/>
              <w:bottom w:val="single" w:sz="4" w:space="0" w:color="auto"/>
            </w:tcBorders>
            <w:shd w:val="clear" w:color="auto" w:fill="auto"/>
            <w:noWrap/>
            <w:vAlign w:val="center"/>
            <w:hideMark/>
          </w:tcPr>
          <w:p w:rsidR="00C01740" w:rsidRPr="00C01740" w:rsidRDefault="00C01740" w:rsidP="00142902">
            <w:pPr>
              <w:spacing w:line="216" w:lineRule="auto"/>
              <w:jc w:val="center"/>
              <w:rPr>
                <w:rFonts w:ascii="Times New Roman" w:eastAsia="Times New Roman" w:hAnsi="Times New Roman" w:cs="Times New Roman"/>
                <w:b/>
                <w:bCs/>
                <w:color w:val="000000"/>
                <w:sz w:val="20"/>
                <w:szCs w:val="20"/>
              </w:rPr>
            </w:pPr>
            <w:r w:rsidRPr="00C01740">
              <w:rPr>
                <w:rFonts w:ascii="Times New Roman" w:eastAsia="Times New Roman" w:hAnsi="Times New Roman" w:cs="Times New Roman"/>
                <w:b/>
                <w:bCs/>
                <w:color w:val="000000"/>
                <w:sz w:val="20"/>
                <w:szCs w:val="20"/>
              </w:rPr>
              <w:t>Age (years)</w:t>
            </w:r>
          </w:p>
        </w:tc>
        <w:tc>
          <w:tcPr>
            <w:tcW w:w="2496" w:type="dxa"/>
            <w:tcBorders>
              <w:top w:val="single" w:sz="4" w:space="0" w:color="auto"/>
              <w:bottom w:val="single" w:sz="4" w:space="0" w:color="auto"/>
            </w:tcBorders>
            <w:shd w:val="clear" w:color="auto" w:fill="auto"/>
            <w:noWrap/>
            <w:vAlign w:val="center"/>
            <w:hideMark/>
          </w:tcPr>
          <w:p w:rsidR="00C01740" w:rsidRPr="00C01740" w:rsidRDefault="00C01740" w:rsidP="00142902">
            <w:pPr>
              <w:spacing w:line="216" w:lineRule="auto"/>
              <w:jc w:val="center"/>
              <w:rPr>
                <w:rFonts w:ascii="Times New Roman" w:eastAsia="Times New Roman" w:hAnsi="Times New Roman" w:cs="Times New Roman"/>
                <w:b/>
                <w:bCs/>
                <w:color w:val="000000"/>
                <w:sz w:val="20"/>
                <w:szCs w:val="20"/>
              </w:rPr>
            </w:pPr>
            <w:r w:rsidRPr="00C01740">
              <w:rPr>
                <w:rFonts w:ascii="Times New Roman" w:eastAsia="Times New Roman" w:hAnsi="Times New Roman" w:cs="Times New Roman"/>
                <w:b/>
                <w:bCs/>
                <w:color w:val="000000"/>
                <w:sz w:val="20"/>
                <w:szCs w:val="20"/>
              </w:rPr>
              <w:t>Race/ethnicity</w:t>
            </w:r>
          </w:p>
        </w:tc>
        <w:tc>
          <w:tcPr>
            <w:tcW w:w="2026" w:type="dxa"/>
            <w:tcBorders>
              <w:top w:val="single" w:sz="4" w:space="0" w:color="auto"/>
              <w:bottom w:val="single" w:sz="4" w:space="0" w:color="auto"/>
            </w:tcBorders>
            <w:shd w:val="clear" w:color="auto" w:fill="auto"/>
            <w:noWrap/>
            <w:vAlign w:val="center"/>
            <w:hideMark/>
          </w:tcPr>
          <w:p w:rsidR="00C01740" w:rsidRPr="00C01740" w:rsidRDefault="00C01740" w:rsidP="00142902">
            <w:pPr>
              <w:spacing w:line="216" w:lineRule="auto"/>
              <w:jc w:val="center"/>
              <w:rPr>
                <w:rFonts w:ascii="Times New Roman" w:eastAsia="Times New Roman" w:hAnsi="Times New Roman" w:cs="Times New Roman"/>
                <w:b/>
                <w:bCs/>
                <w:color w:val="000000"/>
                <w:sz w:val="20"/>
                <w:szCs w:val="20"/>
              </w:rPr>
            </w:pPr>
            <w:r w:rsidRPr="00C01740">
              <w:rPr>
                <w:rFonts w:ascii="Times New Roman" w:eastAsia="Times New Roman" w:hAnsi="Times New Roman" w:cs="Times New Roman"/>
                <w:b/>
                <w:bCs/>
                <w:color w:val="000000"/>
                <w:sz w:val="20"/>
                <w:szCs w:val="20"/>
              </w:rPr>
              <w:t>Number of comorbidities</w:t>
            </w:r>
          </w:p>
        </w:tc>
        <w:tc>
          <w:tcPr>
            <w:tcW w:w="1791" w:type="dxa"/>
            <w:tcBorders>
              <w:top w:val="single" w:sz="4" w:space="0" w:color="auto"/>
              <w:bottom w:val="single" w:sz="4" w:space="0" w:color="auto"/>
            </w:tcBorders>
            <w:vAlign w:val="center"/>
          </w:tcPr>
          <w:p w:rsidR="00C01740" w:rsidRPr="00C01740" w:rsidRDefault="00C01740" w:rsidP="00142902">
            <w:pPr>
              <w:spacing w:line="216" w:lineRule="auto"/>
              <w:jc w:val="center"/>
              <w:rPr>
                <w:rFonts w:ascii="Times New Roman" w:eastAsia="Times New Roman" w:hAnsi="Times New Roman" w:cs="Times New Roman"/>
                <w:b/>
                <w:bCs/>
                <w:color w:val="000000"/>
                <w:sz w:val="20"/>
                <w:szCs w:val="20"/>
              </w:rPr>
            </w:pPr>
            <w:r w:rsidRPr="00C01740">
              <w:rPr>
                <w:rFonts w:ascii="Times New Roman" w:eastAsia="Times New Roman" w:hAnsi="Times New Roman" w:cs="Times New Roman"/>
                <w:b/>
                <w:bCs/>
                <w:color w:val="000000"/>
                <w:sz w:val="20"/>
                <w:szCs w:val="20"/>
              </w:rPr>
              <w:t>Prevalence among men (95% CI)</w:t>
            </w:r>
          </w:p>
        </w:tc>
        <w:tc>
          <w:tcPr>
            <w:tcW w:w="1791" w:type="dxa"/>
            <w:tcBorders>
              <w:top w:val="single" w:sz="4" w:space="0" w:color="auto"/>
              <w:bottom w:val="single" w:sz="4" w:space="0" w:color="auto"/>
            </w:tcBorders>
            <w:vAlign w:val="center"/>
          </w:tcPr>
          <w:p w:rsidR="00C01740" w:rsidRPr="00C01740" w:rsidRDefault="00C01740" w:rsidP="00142902">
            <w:pPr>
              <w:spacing w:line="216" w:lineRule="auto"/>
              <w:jc w:val="center"/>
              <w:rPr>
                <w:rFonts w:ascii="Times New Roman" w:eastAsia="Times New Roman" w:hAnsi="Times New Roman" w:cs="Times New Roman"/>
                <w:b/>
                <w:bCs/>
                <w:color w:val="000000"/>
                <w:sz w:val="20"/>
                <w:szCs w:val="20"/>
              </w:rPr>
            </w:pPr>
            <w:r w:rsidRPr="00C01740">
              <w:rPr>
                <w:rFonts w:ascii="Times New Roman" w:eastAsia="Times New Roman" w:hAnsi="Times New Roman" w:cs="Times New Roman"/>
                <w:b/>
                <w:bCs/>
                <w:color w:val="000000"/>
                <w:sz w:val="20"/>
                <w:szCs w:val="20"/>
              </w:rPr>
              <w:t>Prevalence among women (95% CI)</w:t>
            </w:r>
          </w:p>
        </w:tc>
      </w:tr>
      <w:tr w:rsidR="00C01740" w:rsidRPr="00C01740" w:rsidTr="00332015">
        <w:trPr>
          <w:trHeight w:val="123"/>
        </w:trPr>
        <w:tc>
          <w:tcPr>
            <w:tcW w:w="1723" w:type="dxa"/>
            <w:vMerge w:val="restart"/>
            <w:tcBorders>
              <w:top w:val="single" w:sz="4" w:space="0" w:color="auto"/>
            </w:tcBorders>
            <w:shd w:val="clear" w:color="auto" w:fill="auto"/>
            <w:noWrap/>
            <w:vAlign w:val="center"/>
            <w:hideMark/>
          </w:tcPr>
          <w:p w:rsidR="00C01740" w:rsidRPr="00C01740" w:rsidRDefault="00C01740" w:rsidP="002F7D04">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18-44</w:t>
            </w:r>
          </w:p>
        </w:tc>
        <w:tc>
          <w:tcPr>
            <w:tcW w:w="2496" w:type="dxa"/>
            <w:vMerge w:val="restart"/>
            <w:tcBorders>
              <w:top w:val="single" w:sz="4" w:space="0" w:color="auto"/>
            </w:tcBorders>
            <w:shd w:val="clear" w:color="auto" w:fill="auto"/>
            <w:noWrap/>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Non-Hispanic white</w:t>
            </w:r>
          </w:p>
        </w:tc>
        <w:tc>
          <w:tcPr>
            <w:tcW w:w="2026" w:type="dxa"/>
            <w:tcBorders>
              <w:top w:val="single" w:sz="4" w:space="0" w:color="auto"/>
            </w:tcBorders>
            <w:shd w:val="clear" w:color="auto" w:fill="auto"/>
            <w:noWrap/>
            <w:vAlign w:val="bottom"/>
            <w:hideMark/>
          </w:tcPr>
          <w:p w:rsidR="00C01740" w:rsidRPr="00C01740" w:rsidRDefault="00C01740" w:rsidP="00142902">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0</w:t>
            </w:r>
          </w:p>
        </w:tc>
        <w:tc>
          <w:tcPr>
            <w:tcW w:w="1791" w:type="dxa"/>
            <w:tcBorders>
              <w:top w:val="single" w:sz="4" w:space="0" w:color="auto"/>
            </w:tcBorders>
            <w:vAlign w:val="center"/>
          </w:tcPr>
          <w:p w:rsidR="00C01740" w:rsidRPr="00C01740" w:rsidRDefault="00C01740" w:rsidP="0020782B">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67.1 (63.7-70.3)</w:t>
            </w:r>
          </w:p>
        </w:tc>
        <w:tc>
          <w:tcPr>
            <w:tcW w:w="1791" w:type="dxa"/>
            <w:tcBorders>
              <w:top w:val="single" w:sz="4" w:space="0" w:color="auto"/>
            </w:tcBorders>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66.5 (63.2-69.7)</w:t>
            </w:r>
          </w:p>
        </w:tc>
      </w:tr>
      <w:tr w:rsidR="00C01740" w:rsidRPr="00C01740" w:rsidTr="00332015">
        <w:trPr>
          <w:trHeight w:val="123"/>
        </w:trPr>
        <w:tc>
          <w:tcPr>
            <w:tcW w:w="1723" w:type="dxa"/>
            <w:vMerge/>
            <w:vAlign w:val="center"/>
            <w:hideMark/>
          </w:tcPr>
          <w:p w:rsidR="00C01740" w:rsidRPr="00C01740" w:rsidRDefault="00C01740" w:rsidP="002F7D04">
            <w:pPr>
              <w:spacing w:line="216" w:lineRule="auto"/>
              <w:jc w:val="center"/>
              <w:rPr>
                <w:rFonts w:ascii="Times New Roman" w:eastAsia="Times New Roman" w:hAnsi="Times New Roman" w:cs="Times New Roman"/>
                <w:color w:val="000000"/>
                <w:sz w:val="20"/>
                <w:szCs w:val="20"/>
              </w:rPr>
            </w:pPr>
          </w:p>
        </w:tc>
        <w:tc>
          <w:tcPr>
            <w:tcW w:w="2496" w:type="dxa"/>
            <w:vMerge/>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p>
        </w:tc>
        <w:tc>
          <w:tcPr>
            <w:tcW w:w="2026" w:type="dxa"/>
            <w:shd w:val="clear" w:color="auto" w:fill="auto"/>
            <w:noWrap/>
            <w:vAlign w:val="bottom"/>
            <w:hideMark/>
          </w:tcPr>
          <w:p w:rsidR="00C01740" w:rsidRPr="00C01740" w:rsidRDefault="00C01740" w:rsidP="00142902">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1</w:t>
            </w:r>
          </w:p>
        </w:tc>
        <w:tc>
          <w:tcPr>
            <w:tcW w:w="1791" w:type="dxa"/>
            <w:vAlign w:val="center"/>
          </w:tcPr>
          <w:p w:rsidR="00C01740" w:rsidRPr="00C01740" w:rsidRDefault="00C01740" w:rsidP="0020782B">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30.0 (26.8-33.4)</w:t>
            </w:r>
          </w:p>
        </w:tc>
        <w:tc>
          <w:tcPr>
            <w:tcW w:w="1791" w:type="dxa"/>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29.1 (25.9-32.4)</w:t>
            </w:r>
          </w:p>
        </w:tc>
      </w:tr>
      <w:tr w:rsidR="00C01740" w:rsidRPr="00C01740" w:rsidTr="00332015">
        <w:trPr>
          <w:trHeight w:val="123"/>
        </w:trPr>
        <w:tc>
          <w:tcPr>
            <w:tcW w:w="1723" w:type="dxa"/>
            <w:vMerge/>
            <w:vAlign w:val="center"/>
            <w:hideMark/>
          </w:tcPr>
          <w:p w:rsidR="00C01740" w:rsidRPr="00C01740" w:rsidRDefault="00C01740" w:rsidP="002F7D04">
            <w:pPr>
              <w:spacing w:line="216" w:lineRule="auto"/>
              <w:jc w:val="center"/>
              <w:rPr>
                <w:rFonts w:ascii="Times New Roman" w:eastAsia="Times New Roman" w:hAnsi="Times New Roman" w:cs="Times New Roman"/>
                <w:color w:val="000000"/>
                <w:sz w:val="20"/>
                <w:szCs w:val="20"/>
              </w:rPr>
            </w:pPr>
          </w:p>
        </w:tc>
        <w:tc>
          <w:tcPr>
            <w:tcW w:w="2496" w:type="dxa"/>
            <w:vMerge/>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p>
        </w:tc>
        <w:tc>
          <w:tcPr>
            <w:tcW w:w="2026" w:type="dxa"/>
            <w:shd w:val="clear" w:color="auto" w:fill="auto"/>
            <w:noWrap/>
            <w:vAlign w:val="bottom"/>
            <w:hideMark/>
          </w:tcPr>
          <w:p w:rsidR="00C01740" w:rsidRPr="00C01740" w:rsidRDefault="00C01740" w:rsidP="00142902">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2-3</w:t>
            </w:r>
          </w:p>
        </w:tc>
        <w:tc>
          <w:tcPr>
            <w:tcW w:w="1791" w:type="dxa"/>
            <w:vAlign w:val="center"/>
          </w:tcPr>
          <w:p w:rsidR="00C01740" w:rsidRPr="00C01740" w:rsidRDefault="00C01740" w:rsidP="0020782B">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2.9 (2.0-4.2)</w:t>
            </w:r>
          </w:p>
        </w:tc>
        <w:tc>
          <w:tcPr>
            <w:tcW w:w="1791" w:type="dxa"/>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4.4 (3.2-6.0)</w:t>
            </w:r>
          </w:p>
        </w:tc>
      </w:tr>
      <w:tr w:rsidR="00C01740" w:rsidRPr="00C01740" w:rsidTr="00332015">
        <w:trPr>
          <w:trHeight w:val="123"/>
        </w:trPr>
        <w:tc>
          <w:tcPr>
            <w:tcW w:w="1723" w:type="dxa"/>
            <w:vMerge/>
            <w:vAlign w:val="center"/>
            <w:hideMark/>
          </w:tcPr>
          <w:p w:rsidR="00C01740" w:rsidRPr="00C01740" w:rsidRDefault="00C01740" w:rsidP="002F7D04">
            <w:pPr>
              <w:spacing w:line="216" w:lineRule="auto"/>
              <w:jc w:val="center"/>
              <w:rPr>
                <w:rFonts w:ascii="Times New Roman" w:eastAsia="Times New Roman" w:hAnsi="Times New Roman" w:cs="Times New Roman"/>
                <w:color w:val="000000"/>
                <w:sz w:val="20"/>
                <w:szCs w:val="20"/>
              </w:rPr>
            </w:pPr>
          </w:p>
        </w:tc>
        <w:tc>
          <w:tcPr>
            <w:tcW w:w="2496" w:type="dxa"/>
            <w:vMerge w:val="restart"/>
            <w:shd w:val="clear" w:color="auto" w:fill="D9D9D9" w:themeFill="background1" w:themeFillShade="D9"/>
            <w:noWrap/>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Non-Hispanic black</w:t>
            </w:r>
          </w:p>
        </w:tc>
        <w:tc>
          <w:tcPr>
            <w:tcW w:w="2026" w:type="dxa"/>
            <w:shd w:val="clear" w:color="auto" w:fill="D9D9D9" w:themeFill="background1" w:themeFillShade="D9"/>
            <w:noWrap/>
            <w:vAlign w:val="bottom"/>
            <w:hideMark/>
          </w:tcPr>
          <w:p w:rsidR="00C01740" w:rsidRPr="00C01740" w:rsidRDefault="00C01740" w:rsidP="00142902">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0</w:t>
            </w:r>
          </w:p>
        </w:tc>
        <w:tc>
          <w:tcPr>
            <w:tcW w:w="1791" w:type="dxa"/>
            <w:shd w:val="clear" w:color="auto" w:fill="D9D9D9" w:themeFill="background1" w:themeFillShade="D9"/>
            <w:vAlign w:val="center"/>
          </w:tcPr>
          <w:p w:rsidR="00C01740" w:rsidRPr="00C01740" w:rsidRDefault="00C01740" w:rsidP="0020782B">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55.5 (50.8-60.0)</w:t>
            </w:r>
          </w:p>
        </w:tc>
        <w:tc>
          <w:tcPr>
            <w:tcW w:w="1791" w:type="dxa"/>
            <w:shd w:val="clear" w:color="auto" w:fill="D9D9D9" w:themeFill="background1" w:themeFillShade="D9"/>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42.0 (39.1-45.0)</w:t>
            </w:r>
          </w:p>
        </w:tc>
      </w:tr>
      <w:tr w:rsidR="00C01740" w:rsidRPr="00C01740" w:rsidTr="00332015">
        <w:trPr>
          <w:trHeight w:val="123"/>
        </w:trPr>
        <w:tc>
          <w:tcPr>
            <w:tcW w:w="1723" w:type="dxa"/>
            <w:vMerge/>
            <w:vAlign w:val="center"/>
            <w:hideMark/>
          </w:tcPr>
          <w:p w:rsidR="00C01740" w:rsidRPr="00C01740" w:rsidRDefault="00C01740" w:rsidP="002F7D04">
            <w:pPr>
              <w:spacing w:line="216" w:lineRule="auto"/>
              <w:jc w:val="center"/>
              <w:rPr>
                <w:rFonts w:ascii="Times New Roman" w:eastAsia="Times New Roman" w:hAnsi="Times New Roman" w:cs="Times New Roman"/>
                <w:color w:val="000000"/>
                <w:sz w:val="20"/>
                <w:szCs w:val="20"/>
              </w:rPr>
            </w:pPr>
          </w:p>
        </w:tc>
        <w:tc>
          <w:tcPr>
            <w:tcW w:w="2496" w:type="dxa"/>
            <w:vMerge/>
            <w:shd w:val="clear" w:color="auto" w:fill="D9D9D9" w:themeFill="background1" w:themeFillShade="D9"/>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p>
        </w:tc>
        <w:tc>
          <w:tcPr>
            <w:tcW w:w="2026" w:type="dxa"/>
            <w:shd w:val="clear" w:color="auto" w:fill="D9D9D9" w:themeFill="background1" w:themeFillShade="D9"/>
            <w:noWrap/>
            <w:vAlign w:val="bottom"/>
            <w:hideMark/>
          </w:tcPr>
          <w:p w:rsidR="00C01740" w:rsidRPr="00C01740" w:rsidRDefault="00C01740" w:rsidP="00142902">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1</w:t>
            </w:r>
          </w:p>
        </w:tc>
        <w:tc>
          <w:tcPr>
            <w:tcW w:w="1791" w:type="dxa"/>
            <w:shd w:val="clear" w:color="auto" w:fill="D9D9D9" w:themeFill="background1" w:themeFillShade="D9"/>
            <w:vAlign w:val="center"/>
          </w:tcPr>
          <w:p w:rsidR="00C01740" w:rsidRPr="00C01740" w:rsidRDefault="00C01740" w:rsidP="0020782B">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37.4 (33.1-41.9)</w:t>
            </w:r>
          </w:p>
        </w:tc>
        <w:tc>
          <w:tcPr>
            <w:tcW w:w="1791" w:type="dxa"/>
            <w:shd w:val="clear" w:color="auto" w:fill="D9D9D9" w:themeFill="background1" w:themeFillShade="D9"/>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50.3 (47.1-53.4)</w:t>
            </w:r>
          </w:p>
        </w:tc>
      </w:tr>
      <w:tr w:rsidR="00C01740" w:rsidRPr="00C01740" w:rsidTr="00332015">
        <w:trPr>
          <w:trHeight w:val="123"/>
        </w:trPr>
        <w:tc>
          <w:tcPr>
            <w:tcW w:w="1723" w:type="dxa"/>
            <w:vMerge/>
            <w:vAlign w:val="center"/>
            <w:hideMark/>
          </w:tcPr>
          <w:p w:rsidR="00C01740" w:rsidRPr="00C01740" w:rsidRDefault="00C01740" w:rsidP="002F7D04">
            <w:pPr>
              <w:spacing w:line="216" w:lineRule="auto"/>
              <w:jc w:val="center"/>
              <w:rPr>
                <w:rFonts w:ascii="Times New Roman" w:eastAsia="Times New Roman" w:hAnsi="Times New Roman" w:cs="Times New Roman"/>
                <w:color w:val="000000"/>
                <w:sz w:val="20"/>
                <w:szCs w:val="20"/>
              </w:rPr>
            </w:pPr>
          </w:p>
        </w:tc>
        <w:tc>
          <w:tcPr>
            <w:tcW w:w="2496" w:type="dxa"/>
            <w:vMerge/>
            <w:shd w:val="clear" w:color="auto" w:fill="D9D9D9" w:themeFill="background1" w:themeFillShade="D9"/>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p>
        </w:tc>
        <w:tc>
          <w:tcPr>
            <w:tcW w:w="2026" w:type="dxa"/>
            <w:shd w:val="clear" w:color="auto" w:fill="D9D9D9" w:themeFill="background1" w:themeFillShade="D9"/>
            <w:noWrap/>
            <w:vAlign w:val="bottom"/>
            <w:hideMark/>
          </w:tcPr>
          <w:p w:rsidR="00C01740" w:rsidRPr="00C01740" w:rsidRDefault="00C01740" w:rsidP="00142902">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2-3</w:t>
            </w:r>
          </w:p>
        </w:tc>
        <w:tc>
          <w:tcPr>
            <w:tcW w:w="1791" w:type="dxa"/>
            <w:shd w:val="clear" w:color="auto" w:fill="D9D9D9" w:themeFill="background1" w:themeFillShade="D9"/>
            <w:vAlign w:val="center"/>
          </w:tcPr>
          <w:p w:rsidR="00C01740" w:rsidRPr="00C01740" w:rsidRDefault="00C01740" w:rsidP="0020782B">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7.2 (5.7-9.0)</w:t>
            </w:r>
          </w:p>
        </w:tc>
        <w:tc>
          <w:tcPr>
            <w:tcW w:w="1791" w:type="dxa"/>
            <w:shd w:val="clear" w:color="auto" w:fill="D9D9D9" w:themeFill="background1" w:themeFillShade="D9"/>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7.7 (5.7-10.2)</w:t>
            </w:r>
          </w:p>
        </w:tc>
      </w:tr>
      <w:tr w:rsidR="00C01740" w:rsidRPr="00C01740" w:rsidTr="00332015">
        <w:trPr>
          <w:trHeight w:val="123"/>
        </w:trPr>
        <w:tc>
          <w:tcPr>
            <w:tcW w:w="1723" w:type="dxa"/>
            <w:vMerge/>
            <w:vAlign w:val="center"/>
            <w:hideMark/>
          </w:tcPr>
          <w:p w:rsidR="00C01740" w:rsidRPr="00C01740" w:rsidRDefault="00C01740" w:rsidP="002F7D04">
            <w:pPr>
              <w:spacing w:line="216" w:lineRule="auto"/>
              <w:jc w:val="center"/>
              <w:rPr>
                <w:rFonts w:ascii="Times New Roman" w:eastAsia="Times New Roman" w:hAnsi="Times New Roman" w:cs="Times New Roman"/>
                <w:color w:val="000000"/>
                <w:sz w:val="20"/>
                <w:szCs w:val="20"/>
              </w:rPr>
            </w:pPr>
          </w:p>
        </w:tc>
        <w:tc>
          <w:tcPr>
            <w:tcW w:w="2496" w:type="dxa"/>
            <w:vMerge w:val="restart"/>
            <w:shd w:val="clear" w:color="auto" w:fill="auto"/>
            <w:noWrap/>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Hispanic</w:t>
            </w:r>
          </w:p>
        </w:tc>
        <w:tc>
          <w:tcPr>
            <w:tcW w:w="2026" w:type="dxa"/>
            <w:shd w:val="clear" w:color="auto" w:fill="auto"/>
            <w:noWrap/>
            <w:vAlign w:val="bottom"/>
            <w:hideMark/>
          </w:tcPr>
          <w:p w:rsidR="00C01740" w:rsidRPr="00C01740" w:rsidRDefault="00C01740" w:rsidP="00142902">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0</w:t>
            </w:r>
          </w:p>
        </w:tc>
        <w:tc>
          <w:tcPr>
            <w:tcW w:w="1791" w:type="dxa"/>
            <w:vAlign w:val="center"/>
          </w:tcPr>
          <w:p w:rsidR="00C01740" w:rsidRPr="00C01740" w:rsidRDefault="00C01740" w:rsidP="0020782B">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59.0 (53.7-64.0)</w:t>
            </w:r>
          </w:p>
        </w:tc>
        <w:tc>
          <w:tcPr>
            <w:tcW w:w="1791" w:type="dxa"/>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56.0 (53.1-58.8)</w:t>
            </w:r>
          </w:p>
        </w:tc>
      </w:tr>
      <w:tr w:rsidR="00C01740" w:rsidRPr="00C01740" w:rsidTr="00332015">
        <w:trPr>
          <w:trHeight w:val="123"/>
        </w:trPr>
        <w:tc>
          <w:tcPr>
            <w:tcW w:w="1723" w:type="dxa"/>
            <w:vMerge/>
            <w:vAlign w:val="center"/>
            <w:hideMark/>
          </w:tcPr>
          <w:p w:rsidR="00C01740" w:rsidRPr="00C01740" w:rsidRDefault="00C01740" w:rsidP="002F7D04">
            <w:pPr>
              <w:spacing w:line="216" w:lineRule="auto"/>
              <w:jc w:val="center"/>
              <w:rPr>
                <w:rFonts w:ascii="Times New Roman" w:eastAsia="Times New Roman" w:hAnsi="Times New Roman" w:cs="Times New Roman"/>
                <w:color w:val="000000"/>
                <w:sz w:val="20"/>
                <w:szCs w:val="20"/>
              </w:rPr>
            </w:pPr>
          </w:p>
        </w:tc>
        <w:tc>
          <w:tcPr>
            <w:tcW w:w="2496" w:type="dxa"/>
            <w:vMerge/>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p>
        </w:tc>
        <w:tc>
          <w:tcPr>
            <w:tcW w:w="2026" w:type="dxa"/>
            <w:shd w:val="clear" w:color="auto" w:fill="auto"/>
            <w:noWrap/>
            <w:vAlign w:val="bottom"/>
            <w:hideMark/>
          </w:tcPr>
          <w:p w:rsidR="00C01740" w:rsidRPr="00C01740" w:rsidRDefault="00C01740" w:rsidP="00142902">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1</w:t>
            </w:r>
          </w:p>
        </w:tc>
        <w:tc>
          <w:tcPr>
            <w:tcW w:w="1791" w:type="dxa"/>
            <w:vAlign w:val="center"/>
          </w:tcPr>
          <w:p w:rsidR="00C01740" w:rsidRPr="00C01740" w:rsidRDefault="00C01740" w:rsidP="0020782B">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34.0 (29.4-39.0)</w:t>
            </w:r>
          </w:p>
        </w:tc>
        <w:tc>
          <w:tcPr>
            <w:tcW w:w="1791" w:type="dxa"/>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37.2 (34.3-40.1)</w:t>
            </w:r>
          </w:p>
        </w:tc>
      </w:tr>
      <w:tr w:rsidR="00C01740" w:rsidRPr="00C01740" w:rsidTr="00332015">
        <w:trPr>
          <w:trHeight w:val="123"/>
        </w:trPr>
        <w:tc>
          <w:tcPr>
            <w:tcW w:w="1723" w:type="dxa"/>
            <w:vMerge/>
            <w:vAlign w:val="center"/>
            <w:hideMark/>
          </w:tcPr>
          <w:p w:rsidR="00C01740" w:rsidRPr="00C01740" w:rsidRDefault="00C01740" w:rsidP="002F7D04">
            <w:pPr>
              <w:spacing w:line="216" w:lineRule="auto"/>
              <w:jc w:val="center"/>
              <w:rPr>
                <w:rFonts w:ascii="Times New Roman" w:eastAsia="Times New Roman" w:hAnsi="Times New Roman" w:cs="Times New Roman"/>
                <w:color w:val="000000"/>
                <w:sz w:val="20"/>
                <w:szCs w:val="20"/>
              </w:rPr>
            </w:pPr>
          </w:p>
        </w:tc>
        <w:tc>
          <w:tcPr>
            <w:tcW w:w="2496" w:type="dxa"/>
            <w:vMerge/>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p>
        </w:tc>
        <w:tc>
          <w:tcPr>
            <w:tcW w:w="2026" w:type="dxa"/>
            <w:shd w:val="clear" w:color="auto" w:fill="auto"/>
            <w:noWrap/>
            <w:vAlign w:val="bottom"/>
            <w:hideMark/>
          </w:tcPr>
          <w:p w:rsidR="00C01740" w:rsidRPr="00C01740" w:rsidRDefault="00C01740" w:rsidP="00142902">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2-3</w:t>
            </w:r>
          </w:p>
        </w:tc>
        <w:tc>
          <w:tcPr>
            <w:tcW w:w="1791" w:type="dxa"/>
            <w:vAlign w:val="center"/>
          </w:tcPr>
          <w:p w:rsidR="00C01740" w:rsidRPr="00C01740" w:rsidRDefault="00C01740" w:rsidP="0020782B">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7.0 (5.2-9.4)</w:t>
            </w:r>
          </w:p>
        </w:tc>
        <w:tc>
          <w:tcPr>
            <w:tcW w:w="1791" w:type="dxa"/>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6.9 (5.3-8.9)</w:t>
            </w:r>
          </w:p>
        </w:tc>
      </w:tr>
      <w:tr w:rsidR="00C01740" w:rsidRPr="00C01740" w:rsidTr="00332015">
        <w:trPr>
          <w:trHeight w:val="123"/>
        </w:trPr>
        <w:tc>
          <w:tcPr>
            <w:tcW w:w="1723" w:type="dxa"/>
            <w:vMerge/>
            <w:vAlign w:val="center"/>
            <w:hideMark/>
          </w:tcPr>
          <w:p w:rsidR="00C01740" w:rsidRPr="00C01740" w:rsidRDefault="00C01740" w:rsidP="002F7D04">
            <w:pPr>
              <w:spacing w:line="216" w:lineRule="auto"/>
              <w:jc w:val="center"/>
              <w:rPr>
                <w:rFonts w:ascii="Times New Roman" w:eastAsia="Times New Roman" w:hAnsi="Times New Roman" w:cs="Times New Roman"/>
                <w:color w:val="000000"/>
                <w:sz w:val="20"/>
                <w:szCs w:val="20"/>
              </w:rPr>
            </w:pPr>
          </w:p>
        </w:tc>
        <w:tc>
          <w:tcPr>
            <w:tcW w:w="2496" w:type="dxa"/>
            <w:vMerge w:val="restart"/>
            <w:shd w:val="clear" w:color="auto" w:fill="D9D9D9" w:themeFill="background1" w:themeFillShade="D9"/>
            <w:noWrap/>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Other</w:t>
            </w:r>
          </w:p>
        </w:tc>
        <w:tc>
          <w:tcPr>
            <w:tcW w:w="2026" w:type="dxa"/>
            <w:shd w:val="clear" w:color="auto" w:fill="D9D9D9" w:themeFill="background1" w:themeFillShade="D9"/>
            <w:noWrap/>
            <w:vAlign w:val="bottom"/>
            <w:hideMark/>
          </w:tcPr>
          <w:p w:rsidR="00C01740" w:rsidRPr="00C01740" w:rsidRDefault="00C01740" w:rsidP="00142902">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0</w:t>
            </w:r>
          </w:p>
        </w:tc>
        <w:tc>
          <w:tcPr>
            <w:tcW w:w="1791" w:type="dxa"/>
            <w:shd w:val="clear" w:color="auto" w:fill="D9D9D9" w:themeFill="background1" w:themeFillShade="D9"/>
            <w:vAlign w:val="center"/>
          </w:tcPr>
          <w:p w:rsidR="00C01740" w:rsidRPr="00C01740" w:rsidRDefault="00C01740" w:rsidP="0020782B">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75.0 (68.1-80.9)</w:t>
            </w:r>
          </w:p>
        </w:tc>
        <w:tc>
          <w:tcPr>
            <w:tcW w:w="1791" w:type="dxa"/>
            <w:shd w:val="clear" w:color="auto" w:fill="D9D9D9" w:themeFill="background1" w:themeFillShade="D9"/>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72.4 (64.3-79.3)</w:t>
            </w:r>
          </w:p>
        </w:tc>
      </w:tr>
      <w:tr w:rsidR="00C01740" w:rsidRPr="00C01740" w:rsidTr="00332015">
        <w:trPr>
          <w:trHeight w:val="123"/>
        </w:trPr>
        <w:tc>
          <w:tcPr>
            <w:tcW w:w="1723" w:type="dxa"/>
            <w:vMerge/>
            <w:vAlign w:val="center"/>
            <w:hideMark/>
          </w:tcPr>
          <w:p w:rsidR="00C01740" w:rsidRPr="00C01740" w:rsidRDefault="00C01740" w:rsidP="002F7D04">
            <w:pPr>
              <w:spacing w:line="216" w:lineRule="auto"/>
              <w:jc w:val="center"/>
              <w:rPr>
                <w:rFonts w:ascii="Times New Roman" w:eastAsia="Times New Roman" w:hAnsi="Times New Roman" w:cs="Times New Roman"/>
                <w:color w:val="000000"/>
                <w:sz w:val="20"/>
                <w:szCs w:val="20"/>
              </w:rPr>
            </w:pPr>
          </w:p>
        </w:tc>
        <w:tc>
          <w:tcPr>
            <w:tcW w:w="2496" w:type="dxa"/>
            <w:vMerge/>
            <w:shd w:val="clear" w:color="auto" w:fill="D9D9D9" w:themeFill="background1" w:themeFillShade="D9"/>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p>
        </w:tc>
        <w:tc>
          <w:tcPr>
            <w:tcW w:w="2026" w:type="dxa"/>
            <w:shd w:val="clear" w:color="auto" w:fill="D9D9D9" w:themeFill="background1" w:themeFillShade="D9"/>
            <w:noWrap/>
            <w:vAlign w:val="bottom"/>
            <w:hideMark/>
          </w:tcPr>
          <w:p w:rsidR="00C01740" w:rsidRPr="00C01740" w:rsidRDefault="00C01740" w:rsidP="00142902">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1</w:t>
            </w:r>
          </w:p>
        </w:tc>
        <w:tc>
          <w:tcPr>
            <w:tcW w:w="1791" w:type="dxa"/>
            <w:shd w:val="clear" w:color="auto" w:fill="D9D9D9" w:themeFill="background1" w:themeFillShade="D9"/>
            <w:vAlign w:val="center"/>
          </w:tcPr>
          <w:p w:rsidR="00C01740" w:rsidRPr="00C01740" w:rsidRDefault="00C01740" w:rsidP="0020782B">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21.6 (16.3-28.0)</w:t>
            </w:r>
          </w:p>
        </w:tc>
        <w:tc>
          <w:tcPr>
            <w:tcW w:w="1791" w:type="dxa"/>
            <w:shd w:val="clear" w:color="auto" w:fill="D9D9D9" w:themeFill="background1" w:themeFillShade="D9"/>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24.4 (18.0-32.1)</w:t>
            </w:r>
          </w:p>
        </w:tc>
      </w:tr>
      <w:tr w:rsidR="00C01740" w:rsidRPr="00C01740" w:rsidTr="00332015">
        <w:trPr>
          <w:trHeight w:val="123"/>
        </w:trPr>
        <w:tc>
          <w:tcPr>
            <w:tcW w:w="1723" w:type="dxa"/>
            <w:vMerge/>
            <w:vAlign w:val="center"/>
            <w:hideMark/>
          </w:tcPr>
          <w:p w:rsidR="00C01740" w:rsidRPr="00C01740" w:rsidRDefault="00C01740" w:rsidP="002F7D04">
            <w:pPr>
              <w:spacing w:line="216" w:lineRule="auto"/>
              <w:jc w:val="center"/>
              <w:rPr>
                <w:rFonts w:ascii="Times New Roman" w:eastAsia="Times New Roman" w:hAnsi="Times New Roman" w:cs="Times New Roman"/>
                <w:color w:val="000000"/>
                <w:sz w:val="20"/>
                <w:szCs w:val="20"/>
              </w:rPr>
            </w:pPr>
          </w:p>
        </w:tc>
        <w:tc>
          <w:tcPr>
            <w:tcW w:w="2496" w:type="dxa"/>
            <w:vMerge/>
            <w:shd w:val="clear" w:color="auto" w:fill="D9D9D9" w:themeFill="background1" w:themeFillShade="D9"/>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p>
        </w:tc>
        <w:tc>
          <w:tcPr>
            <w:tcW w:w="2026" w:type="dxa"/>
            <w:shd w:val="clear" w:color="auto" w:fill="D9D9D9" w:themeFill="background1" w:themeFillShade="D9"/>
            <w:noWrap/>
            <w:vAlign w:val="bottom"/>
            <w:hideMark/>
          </w:tcPr>
          <w:p w:rsidR="00C01740" w:rsidRPr="00C01740" w:rsidRDefault="00C01740" w:rsidP="00142902">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2-3</w:t>
            </w:r>
          </w:p>
        </w:tc>
        <w:tc>
          <w:tcPr>
            <w:tcW w:w="1791" w:type="dxa"/>
            <w:shd w:val="clear" w:color="auto" w:fill="D9D9D9" w:themeFill="background1" w:themeFillShade="D9"/>
            <w:vAlign w:val="center"/>
          </w:tcPr>
          <w:p w:rsidR="00C01740" w:rsidRPr="00C01740" w:rsidRDefault="00C01740" w:rsidP="0020782B">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3.4 (1.5-7.2)</w:t>
            </w:r>
          </w:p>
        </w:tc>
        <w:tc>
          <w:tcPr>
            <w:tcW w:w="1791" w:type="dxa"/>
            <w:shd w:val="clear" w:color="auto" w:fill="D9D9D9" w:themeFill="background1" w:themeFillShade="D9"/>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3.2 (1.6-6.4)</w:t>
            </w:r>
          </w:p>
        </w:tc>
      </w:tr>
      <w:tr w:rsidR="00C01740" w:rsidRPr="00C01740" w:rsidTr="00332015">
        <w:trPr>
          <w:trHeight w:val="123"/>
        </w:trPr>
        <w:tc>
          <w:tcPr>
            <w:tcW w:w="1723" w:type="dxa"/>
            <w:vMerge/>
            <w:vAlign w:val="center"/>
            <w:hideMark/>
          </w:tcPr>
          <w:p w:rsidR="00C01740" w:rsidRPr="00C01740" w:rsidRDefault="00C01740" w:rsidP="002F7D04">
            <w:pPr>
              <w:spacing w:line="216" w:lineRule="auto"/>
              <w:jc w:val="center"/>
              <w:rPr>
                <w:rFonts w:ascii="Times New Roman" w:eastAsia="Times New Roman" w:hAnsi="Times New Roman" w:cs="Times New Roman"/>
                <w:color w:val="000000"/>
                <w:sz w:val="20"/>
                <w:szCs w:val="20"/>
              </w:rPr>
            </w:pPr>
          </w:p>
        </w:tc>
        <w:tc>
          <w:tcPr>
            <w:tcW w:w="2496" w:type="dxa"/>
            <w:vMerge w:val="restart"/>
            <w:shd w:val="clear" w:color="auto" w:fill="auto"/>
            <w:noWrap/>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Total</w:t>
            </w:r>
          </w:p>
        </w:tc>
        <w:tc>
          <w:tcPr>
            <w:tcW w:w="2026" w:type="dxa"/>
            <w:shd w:val="clear" w:color="auto" w:fill="auto"/>
            <w:noWrap/>
            <w:vAlign w:val="bottom"/>
            <w:hideMark/>
          </w:tcPr>
          <w:p w:rsidR="00C01740" w:rsidRPr="00C01740" w:rsidRDefault="00C01740" w:rsidP="00142902">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0</w:t>
            </w:r>
          </w:p>
        </w:tc>
        <w:tc>
          <w:tcPr>
            <w:tcW w:w="1791" w:type="dxa"/>
            <w:vAlign w:val="center"/>
          </w:tcPr>
          <w:p w:rsidR="00C01740" w:rsidRPr="00C01740" w:rsidRDefault="00C01740" w:rsidP="0020782B">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65.2 (62.5-67.8)</w:t>
            </w:r>
          </w:p>
        </w:tc>
        <w:tc>
          <w:tcPr>
            <w:tcW w:w="1791" w:type="dxa"/>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62.0 (59.8-64.2)</w:t>
            </w:r>
          </w:p>
        </w:tc>
      </w:tr>
      <w:tr w:rsidR="00C01740" w:rsidRPr="00C01740" w:rsidTr="00332015">
        <w:trPr>
          <w:trHeight w:val="123"/>
        </w:trPr>
        <w:tc>
          <w:tcPr>
            <w:tcW w:w="1723" w:type="dxa"/>
            <w:vMerge/>
            <w:vAlign w:val="center"/>
            <w:hideMark/>
          </w:tcPr>
          <w:p w:rsidR="00C01740" w:rsidRPr="00C01740" w:rsidRDefault="00C01740" w:rsidP="002F7D04">
            <w:pPr>
              <w:spacing w:line="216" w:lineRule="auto"/>
              <w:jc w:val="center"/>
              <w:rPr>
                <w:rFonts w:ascii="Times New Roman" w:eastAsia="Times New Roman" w:hAnsi="Times New Roman" w:cs="Times New Roman"/>
                <w:color w:val="000000"/>
                <w:sz w:val="20"/>
                <w:szCs w:val="20"/>
              </w:rPr>
            </w:pPr>
          </w:p>
        </w:tc>
        <w:tc>
          <w:tcPr>
            <w:tcW w:w="2496" w:type="dxa"/>
            <w:vMerge/>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p>
        </w:tc>
        <w:tc>
          <w:tcPr>
            <w:tcW w:w="2026" w:type="dxa"/>
            <w:shd w:val="clear" w:color="auto" w:fill="auto"/>
            <w:noWrap/>
            <w:vAlign w:val="bottom"/>
            <w:hideMark/>
          </w:tcPr>
          <w:p w:rsidR="00C01740" w:rsidRPr="00C01740" w:rsidRDefault="00C01740" w:rsidP="00142902">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1</w:t>
            </w:r>
          </w:p>
        </w:tc>
        <w:tc>
          <w:tcPr>
            <w:tcW w:w="1791" w:type="dxa"/>
            <w:vAlign w:val="center"/>
          </w:tcPr>
          <w:p w:rsidR="00C01740" w:rsidRPr="00C01740" w:rsidRDefault="00C01740" w:rsidP="0020782B">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30.8 (28.4-33.4)</w:t>
            </w:r>
          </w:p>
        </w:tc>
        <w:tc>
          <w:tcPr>
            <w:tcW w:w="1791" w:type="dxa"/>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32.8 (30.7-35.0)</w:t>
            </w:r>
          </w:p>
        </w:tc>
      </w:tr>
      <w:tr w:rsidR="00C01740" w:rsidRPr="00C01740" w:rsidTr="00332015">
        <w:trPr>
          <w:trHeight w:val="123"/>
        </w:trPr>
        <w:tc>
          <w:tcPr>
            <w:tcW w:w="1723" w:type="dxa"/>
            <w:vMerge/>
            <w:tcBorders>
              <w:bottom w:val="single" w:sz="4" w:space="0" w:color="auto"/>
            </w:tcBorders>
            <w:vAlign w:val="center"/>
            <w:hideMark/>
          </w:tcPr>
          <w:p w:rsidR="00C01740" w:rsidRPr="00C01740" w:rsidRDefault="00C01740" w:rsidP="002F7D04">
            <w:pPr>
              <w:spacing w:line="216" w:lineRule="auto"/>
              <w:jc w:val="center"/>
              <w:rPr>
                <w:rFonts w:ascii="Times New Roman" w:eastAsia="Times New Roman" w:hAnsi="Times New Roman" w:cs="Times New Roman"/>
                <w:color w:val="000000"/>
                <w:sz w:val="20"/>
                <w:szCs w:val="20"/>
              </w:rPr>
            </w:pPr>
          </w:p>
        </w:tc>
        <w:tc>
          <w:tcPr>
            <w:tcW w:w="2496" w:type="dxa"/>
            <w:vMerge/>
            <w:tcBorders>
              <w:bottom w:val="single" w:sz="4" w:space="0" w:color="auto"/>
            </w:tcBorders>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p>
        </w:tc>
        <w:tc>
          <w:tcPr>
            <w:tcW w:w="2026" w:type="dxa"/>
            <w:tcBorders>
              <w:bottom w:val="single" w:sz="4" w:space="0" w:color="auto"/>
            </w:tcBorders>
            <w:shd w:val="clear" w:color="auto" w:fill="auto"/>
            <w:noWrap/>
            <w:vAlign w:val="bottom"/>
            <w:hideMark/>
          </w:tcPr>
          <w:p w:rsidR="00C01740" w:rsidRPr="00C01740" w:rsidRDefault="00C01740" w:rsidP="00142902">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2-3</w:t>
            </w:r>
          </w:p>
        </w:tc>
        <w:tc>
          <w:tcPr>
            <w:tcW w:w="1791" w:type="dxa"/>
            <w:tcBorders>
              <w:bottom w:val="single" w:sz="4" w:space="0" w:color="auto"/>
            </w:tcBorders>
            <w:vAlign w:val="center"/>
          </w:tcPr>
          <w:p w:rsidR="00C01740" w:rsidRPr="00C01740" w:rsidRDefault="00C01740" w:rsidP="0020782B">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4.0 (3.2-5)</w:t>
            </w:r>
          </w:p>
        </w:tc>
        <w:tc>
          <w:tcPr>
            <w:tcW w:w="1791" w:type="dxa"/>
            <w:tcBorders>
              <w:bottom w:val="single" w:sz="4" w:space="0" w:color="auto"/>
            </w:tcBorders>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5.2 (4.2-6.3)</w:t>
            </w:r>
          </w:p>
        </w:tc>
      </w:tr>
      <w:tr w:rsidR="00C01740" w:rsidRPr="00C01740" w:rsidTr="00332015">
        <w:trPr>
          <w:trHeight w:val="123"/>
        </w:trPr>
        <w:tc>
          <w:tcPr>
            <w:tcW w:w="1723" w:type="dxa"/>
            <w:vMerge w:val="restart"/>
            <w:tcBorders>
              <w:top w:val="single" w:sz="4" w:space="0" w:color="auto"/>
            </w:tcBorders>
            <w:shd w:val="clear" w:color="auto" w:fill="auto"/>
            <w:noWrap/>
            <w:vAlign w:val="center"/>
            <w:hideMark/>
          </w:tcPr>
          <w:p w:rsidR="00C01740" w:rsidRPr="00C01740" w:rsidRDefault="00C01740" w:rsidP="002F7D04">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45-64</w:t>
            </w:r>
          </w:p>
        </w:tc>
        <w:tc>
          <w:tcPr>
            <w:tcW w:w="2496" w:type="dxa"/>
            <w:vMerge w:val="restart"/>
            <w:tcBorders>
              <w:top w:val="single" w:sz="4" w:space="0" w:color="auto"/>
            </w:tcBorders>
            <w:shd w:val="clear" w:color="auto" w:fill="auto"/>
            <w:noWrap/>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Non-Hispanic white</w:t>
            </w:r>
          </w:p>
        </w:tc>
        <w:tc>
          <w:tcPr>
            <w:tcW w:w="2026" w:type="dxa"/>
            <w:tcBorders>
              <w:top w:val="single" w:sz="4" w:space="0" w:color="auto"/>
            </w:tcBorders>
            <w:shd w:val="clear" w:color="auto" w:fill="auto"/>
            <w:noWrap/>
            <w:vAlign w:val="bottom"/>
            <w:hideMark/>
          </w:tcPr>
          <w:p w:rsidR="00C01740" w:rsidRPr="00C01740" w:rsidRDefault="00C01740" w:rsidP="00142902">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0</w:t>
            </w:r>
          </w:p>
        </w:tc>
        <w:tc>
          <w:tcPr>
            <w:tcW w:w="1791" w:type="dxa"/>
            <w:tcBorders>
              <w:top w:val="single" w:sz="4" w:space="0" w:color="auto"/>
            </w:tcBorders>
            <w:vAlign w:val="center"/>
          </w:tcPr>
          <w:p w:rsidR="00C01740" w:rsidRPr="00C01740" w:rsidRDefault="00C01740" w:rsidP="0020782B">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53.4 (49.9-56.8)</w:t>
            </w:r>
          </w:p>
        </w:tc>
        <w:tc>
          <w:tcPr>
            <w:tcW w:w="1791" w:type="dxa"/>
            <w:tcBorders>
              <w:top w:val="single" w:sz="4" w:space="0" w:color="auto"/>
            </w:tcBorders>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54.9 (51.2-58.4)</w:t>
            </w:r>
          </w:p>
        </w:tc>
      </w:tr>
      <w:tr w:rsidR="00C01740" w:rsidRPr="00C01740" w:rsidTr="00332015">
        <w:trPr>
          <w:trHeight w:val="123"/>
        </w:trPr>
        <w:tc>
          <w:tcPr>
            <w:tcW w:w="1723" w:type="dxa"/>
            <w:vMerge/>
            <w:vAlign w:val="center"/>
            <w:hideMark/>
          </w:tcPr>
          <w:p w:rsidR="00C01740" w:rsidRPr="00C01740" w:rsidRDefault="00C01740" w:rsidP="002F7D04">
            <w:pPr>
              <w:spacing w:line="216" w:lineRule="auto"/>
              <w:jc w:val="center"/>
              <w:rPr>
                <w:rFonts w:ascii="Times New Roman" w:eastAsia="Times New Roman" w:hAnsi="Times New Roman" w:cs="Times New Roman"/>
                <w:color w:val="000000"/>
                <w:sz w:val="20"/>
                <w:szCs w:val="20"/>
              </w:rPr>
            </w:pPr>
          </w:p>
        </w:tc>
        <w:tc>
          <w:tcPr>
            <w:tcW w:w="2496" w:type="dxa"/>
            <w:vMerge/>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p>
        </w:tc>
        <w:tc>
          <w:tcPr>
            <w:tcW w:w="2026" w:type="dxa"/>
            <w:shd w:val="clear" w:color="auto" w:fill="auto"/>
            <w:noWrap/>
            <w:vAlign w:val="bottom"/>
            <w:hideMark/>
          </w:tcPr>
          <w:p w:rsidR="00C01740" w:rsidRPr="00C01740" w:rsidRDefault="00C01740" w:rsidP="00142902">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1</w:t>
            </w:r>
          </w:p>
        </w:tc>
        <w:tc>
          <w:tcPr>
            <w:tcW w:w="1791" w:type="dxa"/>
            <w:vAlign w:val="center"/>
          </w:tcPr>
          <w:p w:rsidR="00C01740" w:rsidRPr="00C01740" w:rsidRDefault="00C01740" w:rsidP="0020782B">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34.6 (31.9-37.5)</w:t>
            </w:r>
          </w:p>
        </w:tc>
        <w:tc>
          <w:tcPr>
            <w:tcW w:w="1791" w:type="dxa"/>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34.7 (31.5-38.1)</w:t>
            </w:r>
          </w:p>
        </w:tc>
      </w:tr>
      <w:tr w:rsidR="00C01740" w:rsidRPr="00C01740" w:rsidTr="00332015">
        <w:trPr>
          <w:trHeight w:val="123"/>
        </w:trPr>
        <w:tc>
          <w:tcPr>
            <w:tcW w:w="1723" w:type="dxa"/>
            <w:vMerge/>
            <w:vAlign w:val="center"/>
            <w:hideMark/>
          </w:tcPr>
          <w:p w:rsidR="00C01740" w:rsidRPr="00C01740" w:rsidRDefault="00C01740" w:rsidP="002F7D04">
            <w:pPr>
              <w:spacing w:line="216" w:lineRule="auto"/>
              <w:jc w:val="center"/>
              <w:rPr>
                <w:rFonts w:ascii="Times New Roman" w:eastAsia="Times New Roman" w:hAnsi="Times New Roman" w:cs="Times New Roman"/>
                <w:color w:val="000000"/>
                <w:sz w:val="20"/>
                <w:szCs w:val="20"/>
              </w:rPr>
            </w:pPr>
          </w:p>
        </w:tc>
        <w:tc>
          <w:tcPr>
            <w:tcW w:w="2496" w:type="dxa"/>
            <w:vMerge/>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p>
        </w:tc>
        <w:tc>
          <w:tcPr>
            <w:tcW w:w="2026" w:type="dxa"/>
            <w:shd w:val="clear" w:color="auto" w:fill="auto"/>
            <w:noWrap/>
            <w:vAlign w:val="bottom"/>
            <w:hideMark/>
          </w:tcPr>
          <w:p w:rsidR="00C01740" w:rsidRPr="00C01740" w:rsidRDefault="00C01740" w:rsidP="00142902">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2-3</w:t>
            </w:r>
          </w:p>
        </w:tc>
        <w:tc>
          <w:tcPr>
            <w:tcW w:w="1791" w:type="dxa"/>
            <w:vAlign w:val="center"/>
          </w:tcPr>
          <w:p w:rsidR="00C01740" w:rsidRPr="00C01740" w:rsidRDefault="00C01740" w:rsidP="0020782B">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12.0 (10.0-14.3)</w:t>
            </w:r>
          </w:p>
        </w:tc>
        <w:tc>
          <w:tcPr>
            <w:tcW w:w="1791" w:type="dxa"/>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10.4 (8.8-12.3)</w:t>
            </w:r>
          </w:p>
        </w:tc>
      </w:tr>
      <w:tr w:rsidR="00C01740" w:rsidRPr="00C01740" w:rsidTr="00332015">
        <w:trPr>
          <w:trHeight w:val="123"/>
        </w:trPr>
        <w:tc>
          <w:tcPr>
            <w:tcW w:w="1723" w:type="dxa"/>
            <w:vMerge/>
            <w:vAlign w:val="center"/>
            <w:hideMark/>
          </w:tcPr>
          <w:p w:rsidR="00C01740" w:rsidRPr="00C01740" w:rsidRDefault="00C01740" w:rsidP="002F7D04">
            <w:pPr>
              <w:spacing w:line="216" w:lineRule="auto"/>
              <w:jc w:val="center"/>
              <w:rPr>
                <w:rFonts w:ascii="Times New Roman" w:eastAsia="Times New Roman" w:hAnsi="Times New Roman" w:cs="Times New Roman"/>
                <w:color w:val="000000"/>
                <w:sz w:val="20"/>
                <w:szCs w:val="20"/>
              </w:rPr>
            </w:pPr>
          </w:p>
        </w:tc>
        <w:tc>
          <w:tcPr>
            <w:tcW w:w="2496" w:type="dxa"/>
            <w:vMerge w:val="restart"/>
            <w:shd w:val="clear" w:color="auto" w:fill="D9D9D9" w:themeFill="background1" w:themeFillShade="D9"/>
            <w:noWrap/>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Non-Hispanic black</w:t>
            </w:r>
          </w:p>
        </w:tc>
        <w:tc>
          <w:tcPr>
            <w:tcW w:w="2026" w:type="dxa"/>
            <w:shd w:val="clear" w:color="auto" w:fill="D9D9D9" w:themeFill="background1" w:themeFillShade="D9"/>
            <w:noWrap/>
            <w:vAlign w:val="bottom"/>
            <w:hideMark/>
          </w:tcPr>
          <w:p w:rsidR="00C01740" w:rsidRPr="00C01740" w:rsidRDefault="00C01740" w:rsidP="00142902">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0</w:t>
            </w:r>
          </w:p>
        </w:tc>
        <w:tc>
          <w:tcPr>
            <w:tcW w:w="1791" w:type="dxa"/>
            <w:shd w:val="clear" w:color="auto" w:fill="D9D9D9" w:themeFill="background1" w:themeFillShade="D9"/>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41.7 (36.9-46.5)</w:t>
            </w:r>
          </w:p>
        </w:tc>
        <w:tc>
          <w:tcPr>
            <w:tcW w:w="1791" w:type="dxa"/>
            <w:shd w:val="clear" w:color="auto" w:fill="D9D9D9" w:themeFill="background1" w:themeFillShade="D9"/>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27.8 (24.6-31.3)</w:t>
            </w:r>
          </w:p>
        </w:tc>
      </w:tr>
      <w:tr w:rsidR="00C01740" w:rsidRPr="00C01740" w:rsidTr="00332015">
        <w:trPr>
          <w:trHeight w:val="123"/>
        </w:trPr>
        <w:tc>
          <w:tcPr>
            <w:tcW w:w="1723" w:type="dxa"/>
            <w:vMerge/>
            <w:vAlign w:val="center"/>
            <w:hideMark/>
          </w:tcPr>
          <w:p w:rsidR="00C01740" w:rsidRPr="00C01740" w:rsidRDefault="00C01740" w:rsidP="002F7D04">
            <w:pPr>
              <w:spacing w:line="216" w:lineRule="auto"/>
              <w:jc w:val="center"/>
              <w:rPr>
                <w:rFonts w:ascii="Times New Roman" w:eastAsia="Times New Roman" w:hAnsi="Times New Roman" w:cs="Times New Roman"/>
                <w:color w:val="000000"/>
                <w:sz w:val="20"/>
                <w:szCs w:val="20"/>
              </w:rPr>
            </w:pPr>
          </w:p>
        </w:tc>
        <w:tc>
          <w:tcPr>
            <w:tcW w:w="2496" w:type="dxa"/>
            <w:vMerge/>
            <w:shd w:val="clear" w:color="auto" w:fill="D9D9D9" w:themeFill="background1" w:themeFillShade="D9"/>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p>
        </w:tc>
        <w:tc>
          <w:tcPr>
            <w:tcW w:w="2026" w:type="dxa"/>
            <w:shd w:val="clear" w:color="auto" w:fill="D9D9D9" w:themeFill="background1" w:themeFillShade="D9"/>
            <w:noWrap/>
            <w:vAlign w:val="bottom"/>
            <w:hideMark/>
          </w:tcPr>
          <w:p w:rsidR="00C01740" w:rsidRPr="00C01740" w:rsidRDefault="00C01740" w:rsidP="00142902">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1</w:t>
            </w:r>
          </w:p>
        </w:tc>
        <w:tc>
          <w:tcPr>
            <w:tcW w:w="1791" w:type="dxa"/>
            <w:shd w:val="clear" w:color="auto" w:fill="D9D9D9" w:themeFill="background1" w:themeFillShade="D9"/>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37.5 (33.2-41.9)</w:t>
            </w:r>
          </w:p>
        </w:tc>
        <w:tc>
          <w:tcPr>
            <w:tcW w:w="1791" w:type="dxa"/>
            <w:shd w:val="clear" w:color="auto" w:fill="D9D9D9" w:themeFill="background1" w:themeFillShade="D9"/>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47.1 (43.5-50.7)</w:t>
            </w:r>
          </w:p>
        </w:tc>
      </w:tr>
      <w:tr w:rsidR="00C01740" w:rsidRPr="00C01740" w:rsidTr="00332015">
        <w:trPr>
          <w:trHeight w:val="123"/>
        </w:trPr>
        <w:tc>
          <w:tcPr>
            <w:tcW w:w="1723" w:type="dxa"/>
            <w:vMerge/>
            <w:vAlign w:val="center"/>
            <w:hideMark/>
          </w:tcPr>
          <w:p w:rsidR="00C01740" w:rsidRPr="00C01740" w:rsidRDefault="00C01740" w:rsidP="002F7D04">
            <w:pPr>
              <w:spacing w:line="216" w:lineRule="auto"/>
              <w:jc w:val="center"/>
              <w:rPr>
                <w:rFonts w:ascii="Times New Roman" w:eastAsia="Times New Roman" w:hAnsi="Times New Roman" w:cs="Times New Roman"/>
                <w:color w:val="000000"/>
                <w:sz w:val="20"/>
                <w:szCs w:val="20"/>
              </w:rPr>
            </w:pPr>
          </w:p>
        </w:tc>
        <w:tc>
          <w:tcPr>
            <w:tcW w:w="2496" w:type="dxa"/>
            <w:vMerge/>
            <w:shd w:val="clear" w:color="auto" w:fill="D9D9D9" w:themeFill="background1" w:themeFillShade="D9"/>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p>
        </w:tc>
        <w:tc>
          <w:tcPr>
            <w:tcW w:w="2026" w:type="dxa"/>
            <w:shd w:val="clear" w:color="auto" w:fill="D9D9D9" w:themeFill="background1" w:themeFillShade="D9"/>
            <w:noWrap/>
            <w:vAlign w:val="bottom"/>
            <w:hideMark/>
          </w:tcPr>
          <w:p w:rsidR="00C01740" w:rsidRPr="00C01740" w:rsidRDefault="00C01740" w:rsidP="00142902">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2-3</w:t>
            </w:r>
          </w:p>
        </w:tc>
        <w:tc>
          <w:tcPr>
            <w:tcW w:w="1791" w:type="dxa"/>
            <w:shd w:val="clear" w:color="auto" w:fill="D9D9D9" w:themeFill="background1" w:themeFillShade="D9"/>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20.9 (17.5-24.7)</w:t>
            </w:r>
          </w:p>
        </w:tc>
        <w:tc>
          <w:tcPr>
            <w:tcW w:w="1791" w:type="dxa"/>
            <w:shd w:val="clear" w:color="auto" w:fill="D9D9D9" w:themeFill="background1" w:themeFillShade="D9"/>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25.1 (21.8-28.6)</w:t>
            </w:r>
          </w:p>
        </w:tc>
      </w:tr>
      <w:tr w:rsidR="00C01740" w:rsidRPr="00C01740" w:rsidTr="00332015">
        <w:trPr>
          <w:trHeight w:val="123"/>
        </w:trPr>
        <w:tc>
          <w:tcPr>
            <w:tcW w:w="1723" w:type="dxa"/>
            <w:vMerge/>
            <w:vAlign w:val="center"/>
            <w:hideMark/>
          </w:tcPr>
          <w:p w:rsidR="00C01740" w:rsidRPr="00C01740" w:rsidRDefault="00C01740" w:rsidP="002F7D04">
            <w:pPr>
              <w:spacing w:line="216" w:lineRule="auto"/>
              <w:jc w:val="center"/>
              <w:rPr>
                <w:rFonts w:ascii="Times New Roman" w:eastAsia="Times New Roman" w:hAnsi="Times New Roman" w:cs="Times New Roman"/>
                <w:color w:val="000000"/>
                <w:sz w:val="20"/>
                <w:szCs w:val="20"/>
              </w:rPr>
            </w:pPr>
          </w:p>
        </w:tc>
        <w:tc>
          <w:tcPr>
            <w:tcW w:w="2496" w:type="dxa"/>
            <w:vMerge w:val="restart"/>
            <w:shd w:val="clear" w:color="auto" w:fill="auto"/>
            <w:noWrap/>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Hispanic</w:t>
            </w:r>
          </w:p>
        </w:tc>
        <w:tc>
          <w:tcPr>
            <w:tcW w:w="2026" w:type="dxa"/>
            <w:shd w:val="clear" w:color="auto" w:fill="auto"/>
            <w:noWrap/>
            <w:vAlign w:val="bottom"/>
            <w:hideMark/>
          </w:tcPr>
          <w:p w:rsidR="00C01740" w:rsidRPr="00C01740" w:rsidRDefault="00C01740" w:rsidP="00142902">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0</w:t>
            </w:r>
          </w:p>
        </w:tc>
        <w:tc>
          <w:tcPr>
            <w:tcW w:w="1791" w:type="dxa"/>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42.7 (37.7-47.8)</w:t>
            </w:r>
          </w:p>
        </w:tc>
        <w:tc>
          <w:tcPr>
            <w:tcW w:w="1791" w:type="dxa"/>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40.0 (35.7-44.4)</w:t>
            </w:r>
          </w:p>
        </w:tc>
      </w:tr>
      <w:tr w:rsidR="00C01740" w:rsidRPr="00C01740" w:rsidTr="00332015">
        <w:trPr>
          <w:trHeight w:val="123"/>
        </w:trPr>
        <w:tc>
          <w:tcPr>
            <w:tcW w:w="1723" w:type="dxa"/>
            <w:vMerge/>
            <w:vAlign w:val="center"/>
            <w:hideMark/>
          </w:tcPr>
          <w:p w:rsidR="00C01740" w:rsidRPr="00C01740" w:rsidRDefault="00C01740" w:rsidP="002F7D04">
            <w:pPr>
              <w:spacing w:line="216" w:lineRule="auto"/>
              <w:jc w:val="center"/>
              <w:rPr>
                <w:rFonts w:ascii="Times New Roman" w:eastAsia="Times New Roman" w:hAnsi="Times New Roman" w:cs="Times New Roman"/>
                <w:color w:val="000000"/>
                <w:sz w:val="20"/>
                <w:szCs w:val="20"/>
              </w:rPr>
            </w:pPr>
          </w:p>
        </w:tc>
        <w:tc>
          <w:tcPr>
            <w:tcW w:w="2496" w:type="dxa"/>
            <w:vMerge/>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p>
        </w:tc>
        <w:tc>
          <w:tcPr>
            <w:tcW w:w="2026" w:type="dxa"/>
            <w:shd w:val="clear" w:color="auto" w:fill="auto"/>
            <w:noWrap/>
            <w:vAlign w:val="bottom"/>
            <w:hideMark/>
          </w:tcPr>
          <w:p w:rsidR="00C01740" w:rsidRPr="00C01740" w:rsidRDefault="00C01740" w:rsidP="00142902">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1</w:t>
            </w:r>
          </w:p>
        </w:tc>
        <w:tc>
          <w:tcPr>
            <w:tcW w:w="1791" w:type="dxa"/>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35.4 (30.9-40.3)</w:t>
            </w:r>
          </w:p>
        </w:tc>
        <w:tc>
          <w:tcPr>
            <w:tcW w:w="1791" w:type="dxa"/>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38.1 (34.1-42.2)</w:t>
            </w:r>
          </w:p>
        </w:tc>
      </w:tr>
      <w:tr w:rsidR="00C01740" w:rsidRPr="00C01740" w:rsidTr="00332015">
        <w:trPr>
          <w:trHeight w:val="123"/>
        </w:trPr>
        <w:tc>
          <w:tcPr>
            <w:tcW w:w="1723" w:type="dxa"/>
            <w:vMerge/>
            <w:vAlign w:val="center"/>
            <w:hideMark/>
          </w:tcPr>
          <w:p w:rsidR="00C01740" w:rsidRPr="00C01740" w:rsidRDefault="00C01740" w:rsidP="002F7D04">
            <w:pPr>
              <w:spacing w:line="216" w:lineRule="auto"/>
              <w:jc w:val="center"/>
              <w:rPr>
                <w:rFonts w:ascii="Times New Roman" w:eastAsia="Times New Roman" w:hAnsi="Times New Roman" w:cs="Times New Roman"/>
                <w:color w:val="000000"/>
                <w:sz w:val="20"/>
                <w:szCs w:val="20"/>
              </w:rPr>
            </w:pPr>
          </w:p>
        </w:tc>
        <w:tc>
          <w:tcPr>
            <w:tcW w:w="2496" w:type="dxa"/>
            <w:vMerge/>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p>
        </w:tc>
        <w:tc>
          <w:tcPr>
            <w:tcW w:w="2026" w:type="dxa"/>
            <w:shd w:val="clear" w:color="auto" w:fill="auto"/>
            <w:noWrap/>
            <w:vAlign w:val="bottom"/>
            <w:hideMark/>
          </w:tcPr>
          <w:p w:rsidR="00C01740" w:rsidRPr="00C01740" w:rsidRDefault="00C01740" w:rsidP="00142902">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2-3</w:t>
            </w:r>
          </w:p>
        </w:tc>
        <w:tc>
          <w:tcPr>
            <w:tcW w:w="1791" w:type="dxa"/>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21.9 (17.8-26.7)</w:t>
            </w:r>
          </w:p>
        </w:tc>
        <w:tc>
          <w:tcPr>
            <w:tcW w:w="1791" w:type="dxa"/>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22.0 (18.2-26.3)</w:t>
            </w:r>
          </w:p>
        </w:tc>
      </w:tr>
      <w:tr w:rsidR="00C01740" w:rsidRPr="00C01740" w:rsidTr="00332015">
        <w:trPr>
          <w:trHeight w:val="123"/>
        </w:trPr>
        <w:tc>
          <w:tcPr>
            <w:tcW w:w="1723" w:type="dxa"/>
            <w:vMerge/>
            <w:vAlign w:val="center"/>
            <w:hideMark/>
          </w:tcPr>
          <w:p w:rsidR="00C01740" w:rsidRPr="00C01740" w:rsidRDefault="00C01740" w:rsidP="002F7D04">
            <w:pPr>
              <w:spacing w:line="216" w:lineRule="auto"/>
              <w:jc w:val="center"/>
              <w:rPr>
                <w:rFonts w:ascii="Times New Roman" w:eastAsia="Times New Roman" w:hAnsi="Times New Roman" w:cs="Times New Roman"/>
                <w:color w:val="000000"/>
                <w:sz w:val="20"/>
                <w:szCs w:val="20"/>
              </w:rPr>
            </w:pPr>
          </w:p>
        </w:tc>
        <w:tc>
          <w:tcPr>
            <w:tcW w:w="2496" w:type="dxa"/>
            <w:vMerge w:val="restart"/>
            <w:shd w:val="clear" w:color="auto" w:fill="D9D9D9" w:themeFill="background1" w:themeFillShade="D9"/>
            <w:noWrap/>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Other</w:t>
            </w:r>
          </w:p>
        </w:tc>
        <w:tc>
          <w:tcPr>
            <w:tcW w:w="2026" w:type="dxa"/>
            <w:shd w:val="clear" w:color="auto" w:fill="D9D9D9" w:themeFill="background1" w:themeFillShade="D9"/>
            <w:noWrap/>
            <w:vAlign w:val="bottom"/>
            <w:hideMark/>
          </w:tcPr>
          <w:p w:rsidR="00C01740" w:rsidRPr="00C01740" w:rsidRDefault="00C01740" w:rsidP="00142902">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0</w:t>
            </w:r>
          </w:p>
        </w:tc>
        <w:tc>
          <w:tcPr>
            <w:tcW w:w="1791" w:type="dxa"/>
            <w:shd w:val="clear" w:color="auto" w:fill="D9D9D9" w:themeFill="background1" w:themeFillShade="D9"/>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49.5 (39.5-59.5)</w:t>
            </w:r>
          </w:p>
        </w:tc>
        <w:tc>
          <w:tcPr>
            <w:tcW w:w="1791" w:type="dxa"/>
            <w:shd w:val="clear" w:color="auto" w:fill="D9D9D9" w:themeFill="background1" w:themeFillShade="D9"/>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59.6 (49.4-68.9)</w:t>
            </w:r>
          </w:p>
        </w:tc>
      </w:tr>
      <w:tr w:rsidR="00C01740" w:rsidRPr="00C01740" w:rsidTr="00332015">
        <w:trPr>
          <w:trHeight w:val="123"/>
        </w:trPr>
        <w:tc>
          <w:tcPr>
            <w:tcW w:w="1723" w:type="dxa"/>
            <w:vMerge/>
            <w:vAlign w:val="center"/>
            <w:hideMark/>
          </w:tcPr>
          <w:p w:rsidR="00C01740" w:rsidRPr="00C01740" w:rsidRDefault="00C01740" w:rsidP="002F7D04">
            <w:pPr>
              <w:spacing w:line="216" w:lineRule="auto"/>
              <w:jc w:val="center"/>
              <w:rPr>
                <w:rFonts w:ascii="Times New Roman" w:eastAsia="Times New Roman" w:hAnsi="Times New Roman" w:cs="Times New Roman"/>
                <w:color w:val="000000"/>
                <w:sz w:val="20"/>
                <w:szCs w:val="20"/>
              </w:rPr>
            </w:pPr>
          </w:p>
        </w:tc>
        <w:tc>
          <w:tcPr>
            <w:tcW w:w="2496" w:type="dxa"/>
            <w:vMerge/>
            <w:shd w:val="clear" w:color="auto" w:fill="D9D9D9" w:themeFill="background1" w:themeFillShade="D9"/>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p>
        </w:tc>
        <w:tc>
          <w:tcPr>
            <w:tcW w:w="2026" w:type="dxa"/>
            <w:shd w:val="clear" w:color="auto" w:fill="D9D9D9" w:themeFill="background1" w:themeFillShade="D9"/>
            <w:noWrap/>
            <w:vAlign w:val="bottom"/>
            <w:hideMark/>
          </w:tcPr>
          <w:p w:rsidR="00C01740" w:rsidRPr="00C01740" w:rsidRDefault="00C01740" w:rsidP="00142902">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1</w:t>
            </w:r>
          </w:p>
        </w:tc>
        <w:tc>
          <w:tcPr>
            <w:tcW w:w="1791" w:type="dxa"/>
            <w:shd w:val="clear" w:color="auto" w:fill="D9D9D9" w:themeFill="background1" w:themeFillShade="D9"/>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43.4 (34.2-53.0)</w:t>
            </w:r>
          </w:p>
        </w:tc>
        <w:tc>
          <w:tcPr>
            <w:tcW w:w="1791" w:type="dxa"/>
            <w:shd w:val="clear" w:color="auto" w:fill="D9D9D9" w:themeFill="background1" w:themeFillShade="D9"/>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30.1 (22.1-39.6)</w:t>
            </w:r>
          </w:p>
        </w:tc>
      </w:tr>
      <w:tr w:rsidR="00C01740" w:rsidRPr="00C01740" w:rsidTr="00332015">
        <w:trPr>
          <w:trHeight w:val="123"/>
        </w:trPr>
        <w:tc>
          <w:tcPr>
            <w:tcW w:w="1723" w:type="dxa"/>
            <w:vMerge/>
            <w:vAlign w:val="center"/>
            <w:hideMark/>
          </w:tcPr>
          <w:p w:rsidR="00C01740" w:rsidRPr="00C01740" w:rsidRDefault="00C01740" w:rsidP="002F7D04">
            <w:pPr>
              <w:spacing w:line="216" w:lineRule="auto"/>
              <w:jc w:val="center"/>
              <w:rPr>
                <w:rFonts w:ascii="Times New Roman" w:eastAsia="Times New Roman" w:hAnsi="Times New Roman" w:cs="Times New Roman"/>
                <w:color w:val="000000"/>
                <w:sz w:val="20"/>
                <w:szCs w:val="20"/>
              </w:rPr>
            </w:pPr>
          </w:p>
        </w:tc>
        <w:tc>
          <w:tcPr>
            <w:tcW w:w="2496" w:type="dxa"/>
            <w:vMerge/>
            <w:shd w:val="clear" w:color="auto" w:fill="D9D9D9" w:themeFill="background1" w:themeFillShade="D9"/>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p>
        </w:tc>
        <w:tc>
          <w:tcPr>
            <w:tcW w:w="2026" w:type="dxa"/>
            <w:shd w:val="clear" w:color="auto" w:fill="D9D9D9" w:themeFill="background1" w:themeFillShade="D9"/>
            <w:noWrap/>
            <w:vAlign w:val="bottom"/>
            <w:hideMark/>
          </w:tcPr>
          <w:p w:rsidR="00C01740" w:rsidRPr="00C01740" w:rsidRDefault="00C01740" w:rsidP="00142902">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2-3</w:t>
            </w:r>
          </w:p>
        </w:tc>
        <w:tc>
          <w:tcPr>
            <w:tcW w:w="1791" w:type="dxa"/>
            <w:shd w:val="clear" w:color="auto" w:fill="D9D9D9" w:themeFill="background1" w:themeFillShade="D9"/>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7.1 (3.7-13.2)</w:t>
            </w:r>
          </w:p>
        </w:tc>
        <w:tc>
          <w:tcPr>
            <w:tcW w:w="1791" w:type="dxa"/>
            <w:shd w:val="clear" w:color="auto" w:fill="D9D9D9" w:themeFill="background1" w:themeFillShade="D9"/>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10.3 (5.8-17.8)</w:t>
            </w:r>
          </w:p>
        </w:tc>
      </w:tr>
      <w:tr w:rsidR="00C01740" w:rsidRPr="00C01740" w:rsidTr="00332015">
        <w:trPr>
          <w:trHeight w:val="123"/>
        </w:trPr>
        <w:tc>
          <w:tcPr>
            <w:tcW w:w="1723" w:type="dxa"/>
            <w:vMerge/>
            <w:vAlign w:val="center"/>
            <w:hideMark/>
          </w:tcPr>
          <w:p w:rsidR="00C01740" w:rsidRPr="00C01740" w:rsidRDefault="00C01740" w:rsidP="002F7D04">
            <w:pPr>
              <w:spacing w:line="216" w:lineRule="auto"/>
              <w:jc w:val="center"/>
              <w:rPr>
                <w:rFonts w:ascii="Times New Roman" w:eastAsia="Times New Roman" w:hAnsi="Times New Roman" w:cs="Times New Roman"/>
                <w:color w:val="000000"/>
                <w:sz w:val="20"/>
                <w:szCs w:val="20"/>
              </w:rPr>
            </w:pPr>
          </w:p>
        </w:tc>
        <w:tc>
          <w:tcPr>
            <w:tcW w:w="2496" w:type="dxa"/>
            <w:vMerge w:val="restart"/>
            <w:shd w:val="clear" w:color="auto" w:fill="auto"/>
            <w:noWrap/>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Total</w:t>
            </w:r>
          </w:p>
        </w:tc>
        <w:tc>
          <w:tcPr>
            <w:tcW w:w="2026" w:type="dxa"/>
            <w:shd w:val="clear" w:color="auto" w:fill="auto"/>
            <w:noWrap/>
            <w:vAlign w:val="bottom"/>
            <w:hideMark/>
          </w:tcPr>
          <w:p w:rsidR="00C01740" w:rsidRPr="00C01740" w:rsidRDefault="00C01740" w:rsidP="00142902">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0</w:t>
            </w:r>
          </w:p>
        </w:tc>
        <w:tc>
          <w:tcPr>
            <w:tcW w:w="1791" w:type="dxa"/>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51.1 (48.3-54.0)</w:t>
            </w:r>
          </w:p>
        </w:tc>
        <w:tc>
          <w:tcPr>
            <w:tcW w:w="1791" w:type="dxa"/>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50.6 (47.9-53.4)</w:t>
            </w:r>
          </w:p>
        </w:tc>
      </w:tr>
      <w:tr w:rsidR="00C01740" w:rsidRPr="00C01740" w:rsidTr="00332015">
        <w:trPr>
          <w:trHeight w:val="123"/>
        </w:trPr>
        <w:tc>
          <w:tcPr>
            <w:tcW w:w="1723" w:type="dxa"/>
            <w:vMerge/>
            <w:vAlign w:val="center"/>
            <w:hideMark/>
          </w:tcPr>
          <w:p w:rsidR="00C01740" w:rsidRPr="00C01740" w:rsidRDefault="00C01740" w:rsidP="002F7D04">
            <w:pPr>
              <w:spacing w:line="216" w:lineRule="auto"/>
              <w:jc w:val="center"/>
              <w:rPr>
                <w:rFonts w:ascii="Times New Roman" w:eastAsia="Times New Roman" w:hAnsi="Times New Roman" w:cs="Times New Roman"/>
                <w:color w:val="000000"/>
                <w:sz w:val="20"/>
                <w:szCs w:val="20"/>
              </w:rPr>
            </w:pPr>
          </w:p>
        </w:tc>
        <w:tc>
          <w:tcPr>
            <w:tcW w:w="2496" w:type="dxa"/>
            <w:vMerge/>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p>
        </w:tc>
        <w:tc>
          <w:tcPr>
            <w:tcW w:w="2026" w:type="dxa"/>
            <w:shd w:val="clear" w:color="auto" w:fill="auto"/>
            <w:noWrap/>
            <w:vAlign w:val="bottom"/>
            <w:hideMark/>
          </w:tcPr>
          <w:p w:rsidR="00C01740" w:rsidRPr="00C01740" w:rsidRDefault="00C01740" w:rsidP="00142902">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1</w:t>
            </w:r>
          </w:p>
        </w:tc>
        <w:tc>
          <w:tcPr>
            <w:tcW w:w="1791" w:type="dxa"/>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35.4 (33.2-37.7)</w:t>
            </w:r>
          </w:p>
        </w:tc>
        <w:tc>
          <w:tcPr>
            <w:tcW w:w="1791" w:type="dxa"/>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36.2 (33.8-38.7)</w:t>
            </w:r>
          </w:p>
        </w:tc>
      </w:tr>
      <w:tr w:rsidR="00C01740" w:rsidRPr="00C01740" w:rsidTr="00332015">
        <w:trPr>
          <w:trHeight w:val="123"/>
        </w:trPr>
        <w:tc>
          <w:tcPr>
            <w:tcW w:w="1723" w:type="dxa"/>
            <w:vMerge/>
            <w:tcBorders>
              <w:bottom w:val="single" w:sz="4" w:space="0" w:color="auto"/>
            </w:tcBorders>
            <w:vAlign w:val="center"/>
            <w:hideMark/>
          </w:tcPr>
          <w:p w:rsidR="00C01740" w:rsidRPr="00C01740" w:rsidRDefault="00C01740" w:rsidP="002F7D04">
            <w:pPr>
              <w:spacing w:line="216" w:lineRule="auto"/>
              <w:jc w:val="center"/>
              <w:rPr>
                <w:rFonts w:ascii="Times New Roman" w:eastAsia="Times New Roman" w:hAnsi="Times New Roman" w:cs="Times New Roman"/>
                <w:color w:val="000000"/>
                <w:sz w:val="20"/>
                <w:szCs w:val="20"/>
              </w:rPr>
            </w:pPr>
          </w:p>
        </w:tc>
        <w:tc>
          <w:tcPr>
            <w:tcW w:w="2496" w:type="dxa"/>
            <w:vMerge/>
            <w:tcBorders>
              <w:bottom w:val="single" w:sz="4" w:space="0" w:color="auto"/>
            </w:tcBorders>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p>
        </w:tc>
        <w:tc>
          <w:tcPr>
            <w:tcW w:w="2026" w:type="dxa"/>
            <w:tcBorders>
              <w:bottom w:val="single" w:sz="4" w:space="0" w:color="auto"/>
            </w:tcBorders>
            <w:shd w:val="clear" w:color="auto" w:fill="auto"/>
            <w:noWrap/>
            <w:vAlign w:val="bottom"/>
            <w:hideMark/>
          </w:tcPr>
          <w:p w:rsidR="00C01740" w:rsidRPr="00C01740" w:rsidRDefault="00C01740" w:rsidP="00142902">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2-3</w:t>
            </w:r>
          </w:p>
        </w:tc>
        <w:tc>
          <w:tcPr>
            <w:tcW w:w="1791" w:type="dxa"/>
            <w:tcBorders>
              <w:bottom w:val="single" w:sz="4" w:space="0" w:color="auto"/>
            </w:tcBorders>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13.4 (11.7-15.4)</w:t>
            </w:r>
          </w:p>
        </w:tc>
        <w:tc>
          <w:tcPr>
            <w:tcW w:w="1791" w:type="dxa"/>
            <w:tcBorders>
              <w:bottom w:val="single" w:sz="4" w:space="0" w:color="auto"/>
            </w:tcBorders>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13.2 (11.8-14.6)</w:t>
            </w:r>
          </w:p>
        </w:tc>
      </w:tr>
      <w:tr w:rsidR="00C01740" w:rsidRPr="00C01740" w:rsidTr="00332015">
        <w:trPr>
          <w:trHeight w:val="123"/>
        </w:trPr>
        <w:tc>
          <w:tcPr>
            <w:tcW w:w="1723" w:type="dxa"/>
            <w:vMerge w:val="restart"/>
            <w:tcBorders>
              <w:top w:val="single" w:sz="4" w:space="0" w:color="auto"/>
            </w:tcBorders>
            <w:shd w:val="clear" w:color="auto" w:fill="auto"/>
            <w:noWrap/>
            <w:vAlign w:val="center"/>
            <w:hideMark/>
          </w:tcPr>
          <w:p w:rsidR="00C01740" w:rsidRPr="00C01740" w:rsidRDefault="00C01740" w:rsidP="002F7D04">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65-74</w:t>
            </w:r>
          </w:p>
        </w:tc>
        <w:tc>
          <w:tcPr>
            <w:tcW w:w="2496" w:type="dxa"/>
            <w:vMerge w:val="restart"/>
            <w:tcBorders>
              <w:top w:val="single" w:sz="4" w:space="0" w:color="auto"/>
            </w:tcBorders>
            <w:shd w:val="clear" w:color="auto" w:fill="auto"/>
            <w:noWrap/>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Non-Hispanic white</w:t>
            </w:r>
          </w:p>
        </w:tc>
        <w:tc>
          <w:tcPr>
            <w:tcW w:w="2026" w:type="dxa"/>
            <w:tcBorders>
              <w:top w:val="single" w:sz="4" w:space="0" w:color="auto"/>
            </w:tcBorders>
            <w:shd w:val="clear" w:color="auto" w:fill="auto"/>
            <w:noWrap/>
            <w:vAlign w:val="bottom"/>
            <w:hideMark/>
          </w:tcPr>
          <w:p w:rsidR="00C01740" w:rsidRPr="00C01740" w:rsidRDefault="00C01740" w:rsidP="00142902">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0</w:t>
            </w:r>
          </w:p>
        </w:tc>
        <w:tc>
          <w:tcPr>
            <w:tcW w:w="1791" w:type="dxa"/>
            <w:tcBorders>
              <w:top w:val="single" w:sz="4" w:space="0" w:color="auto"/>
            </w:tcBorders>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40.9 (36.9-45.0)</w:t>
            </w:r>
          </w:p>
        </w:tc>
        <w:tc>
          <w:tcPr>
            <w:tcW w:w="1791" w:type="dxa"/>
            <w:tcBorders>
              <w:top w:val="single" w:sz="4" w:space="0" w:color="auto"/>
            </w:tcBorders>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43.3 (38.8-48.0)</w:t>
            </w:r>
          </w:p>
        </w:tc>
      </w:tr>
      <w:tr w:rsidR="00C01740" w:rsidRPr="00C01740" w:rsidTr="00332015">
        <w:trPr>
          <w:trHeight w:val="123"/>
        </w:trPr>
        <w:tc>
          <w:tcPr>
            <w:tcW w:w="1723" w:type="dxa"/>
            <w:vMerge/>
            <w:vAlign w:val="center"/>
            <w:hideMark/>
          </w:tcPr>
          <w:p w:rsidR="00C01740" w:rsidRPr="00C01740" w:rsidRDefault="00C01740" w:rsidP="002F7D04">
            <w:pPr>
              <w:spacing w:line="216" w:lineRule="auto"/>
              <w:jc w:val="center"/>
              <w:rPr>
                <w:rFonts w:ascii="Times New Roman" w:eastAsia="Times New Roman" w:hAnsi="Times New Roman" w:cs="Times New Roman"/>
                <w:color w:val="000000"/>
                <w:sz w:val="20"/>
                <w:szCs w:val="20"/>
              </w:rPr>
            </w:pPr>
          </w:p>
        </w:tc>
        <w:tc>
          <w:tcPr>
            <w:tcW w:w="2496" w:type="dxa"/>
            <w:vMerge/>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p>
        </w:tc>
        <w:tc>
          <w:tcPr>
            <w:tcW w:w="2026" w:type="dxa"/>
            <w:shd w:val="clear" w:color="auto" w:fill="auto"/>
            <w:noWrap/>
            <w:vAlign w:val="bottom"/>
            <w:hideMark/>
          </w:tcPr>
          <w:p w:rsidR="00C01740" w:rsidRPr="00C01740" w:rsidRDefault="00C01740" w:rsidP="00142902">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1</w:t>
            </w:r>
          </w:p>
        </w:tc>
        <w:tc>
          <w:tcPr>
            <w:tcW w:w="1791" w:type="dxa"/>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35.5 (31.7-39.5)</w:t>
            </w:r>
          </w:p>
        </w:tc>
        <w:tc>
          <w:tcPr>
            <w:tcW w:w="1791" w:type="dxa"/>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38.6 (33.7-43.7)</w:t>
            </w:r>
          </w:p>
        </w:tc>
      </w:tr>
      <w:tr w:rsidR="00C01740" w:rsidRPr="00C01740" w:rsidTr="00332015">
        <w:trPr>
          <w:trHeight w:val="123"/>
        </w:trPr>
        <w:tc>
          <w:tcPr>
            <w:tcW w:w="1723" w:type="dxa"/>
            <w:vMerge/>
            <w:vAlign w:val="center"/>
            <w:hideMark/>
          </w:tcPr>
          <w:p w:rsidR="00C01740" w:rsidRPr="00C01740" w:rsidRDefault="00C01740" w:rsidP="002F7D04">
            <w:pPr>
              <w:spacing w:line="216" w:lineRule="auto"/>
              <w:jc w:val="center"/>
              <w:rPr>
                <w:rFonts w:ascii="Times New Roman" w:eastAsia="Times New Roman" w:hAnsi="Times New Roman" w:cs="Times New Roman"/>
                <w:color w:val="000000"/>
                <w:sz w:val="20"/>
                <w:szCs w:val="20"/>
              </w:rPr>
            </w:pPr>
          </w:p>
        </w:tc>
        <w:tc>
          <w:tcPr>
            <w:tcW w:w="2496" w:type="dxa"/>
            <w:vMerge/>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p>
        </w:tc>
        <w:tc>
          <w:tcPr>
            <w:tcW w:w="2026" w:type="dxa"/>
            <w:shd w:val="clear" w:color="auto" w:fill="auto"/>
            <w:noWrap/>
            <w:vAlign w:val="bottom"/>
            <w:hideMark/>
          </w:tcPr>
          <w:p w:rsidR="00C01740" w:rsidRPr="00C01740" w:rsidRDefault="00C01740" w:rsidP="00142902">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2-3</w:t>
            </w:r>
          </w:p>
        </w:tc>
        <w:tc>
          <w:tcPr>
            <w:tcW w:w="1791" w:type="dxa"/>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23.6 (19.6-28.1)</w:t>
            </w:r>
          </w:p>
        </w:tc>
        <w:tc>
          <w:tcPr>
            <w:tcW w:w="1791" w:type="dxa"/>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18.1 (14.7-22.0)</w:t>
            </w:r>
          </w:p>
        </w:tc>
      </w:tr>
      <w:tr w:rsidR="00C01740" w:rsidRPr="00C01740" w:rsidTr="00332015">
        <w:trPr>
          <w:trHeight w:val="123"/>
        </w:trPr>
        <w:tc>
          <w:tcPr>
            <w:tcW w:w="1723" w:type="dxa"/>
            <w:vMerge/>
            <w:vAlign w:val="center"/>
            <w:hideMark/>
          </w:tcPr>
          <w:p w:rsidR="00C01740" w:rsidRPr="00C01740" w:rsidRDefault="00C01740" w:rsidP="002F7D04">
            <w:pPr>
              <w:spacing w:line="216" w:lineRule="auto"/>
              <w:jc w:val="center"/>
              <w:rPr>
                <w:rFonts w:ascii="Times New Roman" w:eastAsia="Times New Roman" w:hAnsi="Times New Roman" w:cs="Times New Roman"/>
                <w:color w:val="000000"/>
                <w:sz w:val="20"/>
                <w:szCs w:val="20"/>
              </w:rPr>
            </w:pPr>
          </w:p>
        </w:tc>
        <w:tc>
          <w:tcPr>
            <w:tcW w:w="2496" w:type="dxa"/>
            <w:vMerge w:val="restart"/>
            <w:shd w:val="clear" w:color="auto" w:fill="D9D9D9" w:themeFill="background1" w:themeFillShade="D9"/>
            <w:noWrap/>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Non-Hispanic black</w:t>
            </w:r>
          </w:p>
        </w:tc>
        <w:tc>
          <w:tcPr>
            <w:tcW w:w="2026" w:type="dxa"/>
            <w:shd w:val="clear" w:color="auto" w:fill="D9D9D9" w:themeFill="background1" w:themeFillShade="D9"/>
            <w:noWrap/>
            <w:vAlign w:val="bottom"/>
            <w:hideMark/>
          </w:tcPr>
          <w:p w:rsidR="00C01740" w:rsidRPr="00C01740" w:rsidRDefault="00C01740" w:rsidP="00142902">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0</w:t>
            </w:r>
          </w:p>
        </w:tc>
        <w:tc>
          <w:tcPr>
            <w:tcW w:w="1791" w:type="dxa"/>
            <w:shd w:val="clear" w:color="auto" w:fill="D9D9D9" w:themeFill="background1" w:themeFillShade="D9"/>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30.5 (25.2-36.3)</w:t>
            </w:r>
          </w:p>
        </w:tc>
        <w:tc>
          <w:tcPr>
            <w:tcW w:w="1791" w:type="dxa"/>
            <w:shd w:val="clear" w:color="auto" w:fill="D9D9D9" w:themeFill="background1" w:themeFillShade="D9"/>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19.1 (14.6-24.6)</w:t>
            </w:r>
          </w:p>
        </w:tc>
      </w:tr>
      <w:tr w:rsidR="00C01740" w:rsidRPr="00C01740" w:rsidTr="00332015">
        <w:trPr>
          <w:trHeight w:val="123"/>
        </w:trPr>
        <w:tc>
          <w:tcPr>
            <w:tcW w:w="1723" w:type="dxa"/>
            <w:vMerge/>
            <w:vAlign w:val="center"/>
            <w:hideMark/>
          </w:tcPr>
          <w:p w:rsidR="00C01740" w:rsidRPr="00C01740" w:rsidRDefault="00C01740" w:rsidP="002F7D04">
            <w:pPr>
              <w:spacing w:line="216" w:lineRule="auto"/>
              <w:jc w:val="center"/>
              <w:rPr>
                <w:rFonts w:ascii="Times New Roman" w:eastAsia="Times New Roman" w:hAnsi="Times New Roman" w:cs="Times New Roman"/>
                <w:color w:val="000000"/>
                <w:sz w:val="20"/>
                <w:szCs w:val="20"/>
              </w:rPr>
            </w:pPr>
          </w:p>
        </w:tc>
        <w:tc>
          <w:tcPr>
            <w:tcW w:w="2496" w:type="dxa"/>
            <w:vMerge/>
            <w:shd w:val="clear" w:color="auto" w:fill="D9D9D9" w:themeFill="background1" w:themeFillShade="D9"/>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p>
        </w:tc>
        <w:tc>
          <w:tcPr>
            <w:tcW w:w="2026" w:type="dxa"/>
            <w:shd w:val="clear" w:color="auto" w:fill="D9D9D9" w:themeFill="background1" w:themeFillShade="D9"/>
            <w:noWrap/>
            <w:vAlign w:val="bottom"/>
            <w:hideMark/>
          </w:tcPr>
          <w:p w:rsidR="00C01740" w:rsidRPr="00C01740" w:rsidRDefault="00C01740" w:rsidP="00142902">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1</w:t>
            </w:r>
          </w:p>
        </w:tc>
        <w:tc>
          <w:tcPr>
            <w:tcW w:w="1791" w:type="dxa"/>
            <w:shd w:val="clear" w:color="auto" w:fill="D9D9D9" w:themeFill="background1" w:themeFillShade="D9"/>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34.1 (29.1-39.5)</w:t>
            </w:r>
          </w:p>
        </w:tc>
        <w:tc>
          <w:tcPr>
            <w:tcW w:w="1791" w:type="dxa"/>
            <w:shd w:val="clear" w:color="auto" w:fill="D9D9D9" w:themeFill="background1" w:themeFillShade="D9"/>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39.5 (33.4-45.9)</w:t>
            </w:r>
          </w:p>
        </w:tc>
      </w:tr>
      <w:tr w:rsidR="00C01740" w:rsidRPr="00C01740" w:rsidTr="00332015">
        <w:trPr>
          <w:trHeight w:val="123"/>
        </w:trPr>
        <w:tc>
          <w:tcPr>
            <w:tcW w:w="1723" w:type="dxa"/>
            <w:vMerge/>
            <w:vAlign w:val="center"/>
            <w:hideMark/>
          </w:tcPr>
          <w:p w:rsidR="00C01740" w:rsidRPr="00C01740" w:rsidRDefault="00C01740" w:rsidP="002F7D04">
            <w:pPr>
              <w:spacing w:line="216" w:lineRule="auto"/>
              <w:jc w:val="center"/>
              <w:rPr>
                <w:rFonts w:ascii="Times New Roman" w:eastAsia="Times New Roman" w:hAnsi="Times New Roman" w:cs="Times New Roman"/>
                <w:color w:val="000000"/>
                <w:sz w:val="20"/>
                <w:szCs w:val="20"/>
              </w:rPr>
            </w:pPr>
          </w:p>
        </w:tc>
        <w:tc>
          <w:tcPr>
            <w:tcW w:w="2496" w:type="dxa"/>
            <w:vMerge/>
            <w:shd w:val="clear" w:color="auto" w:fill="D9D9D9" w:themeFill="background1" w:themeFillShade="D9"/>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p>
        </w:tc>
        <w:tc>
          <w:tcPr>
            <w:tcW w:w="2026" w:type="dxa"/>
            <w:shd w:val="clear" w:color="auto" w:fill="D9D9D9" w:themeFill="background1" w:themeFillShade="D9"/>
            <w:noWrap/>
            <w:vAlign w:val="bottom"/>
            <w:hideMark/>
          </w:tcPr>
          <w:p w:rsidR="00C01740" w:rsidRPr="00C01740" w:rsidRDefault="00C01740" w:rsidP="00142902">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2-3</w:t>
            </w:r>
          </w:p>
        </w:tc>
        <w:tc>
          <w:tcPr>
            <w:tcW w:w="1791" w:type="dxa"/>
            <w:shd w:val="clear" w:color="auto" w:fill="D9D9D9" w:themeFill="background1" w:themeFillShade="D9"/>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35.4 (30.1-41.1)</w:t>
            </w:r>
          </w:p>
        </w:tc>
        <w:tc>
          <w:tcPr>
            <w:tcW w:w="1791" w:type="dxa"/>
            <w:shd w:val="clear" w:color="auto" w:fill="D9D9D9" w:themeFill="background1" w:themeFillShade="D9"/>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41.4 (34.1-49.1)</w:t>
            </w:r>
          </w:p>
        </w:tc>
      </w:tr>
      <w:tr w:rsidR="00C01740" w:rsidRPr="00C01740" w:rsidTr="00332015">
        <w:trPr>
          <w:trHeight w:val="123"/>
        </w:trPr>
        <w:tc>
          <w:tcPr>
            <w:tcW w:w="1723" w:type="dxa"/>
            <w:vMerge/>
            <w:vAlign w:val="center"/>
            <w:hideMark/>
          </w:tcPr>
          <w:p w:rsidR="00C01740" w:rsidRPr="00C01740" w:rsidRDefault="00C01740" w:rsidP="002F7D04">
            <w:pPr>
              <w:spacing w:line="216" w:lineRule="auto"/>
              <w:jc w:val="center"/>
              <w:rPr>
                <w:rFonts w:ascii="Times New Roman" w:eastAsia="Times New Roman" w:hAnsi="Times New Roman" w:cs="Times New Roman"/>
                <w:color w:val="000000"/>
                <w:sz w:val="20"/>
                <w:szCs w:val="20"/>
              </w:rPr>
            </w:pPr>
          </w:p>
        </w:tc>
        <w:tc>
          <w:tcPr>
            <w:tcW w:w="2496" w:type="dxa"/>
            <w:vMerge w:val="restart"/>
            <w:shd w:val="clear" w:color="auto" w:fill="auto"/>
            <w:noWrap/>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Hispanic</w:t>
            </w:r>
          </w:p>
        </w:tc>
        <w:tc>
          <w:tcPr>
            <w:tcW w:w="2026" w:type="dxa"/>
            <w:shd w:val="clear" w:color="auto" w:fill="auto"/>
            <w:noWrap/>
            <w:vAlign w:val="bottom"/>
            <w:hideMark/>
          </w:tcPr>
          <w:p w:rsidR="00C01740" w:rsidRPr="00C01740" w:rsidRDefault="00C01740" w:rsidP="00142902">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0</w:t>
            </w:r>
          </w:p>
        </w:tc>
        <w:tc>
          <w:tcPr>
            <w:tcW w:w="1791" w:type="dxa"/>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39.6 (31.2-48.8)</w:t>
            </w:r>
          </w:p>
        </w:tc>
        <w:tc>
          <w:tcPr>
            <w:tcW w:w="1791" w:type="dxa"/>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31.0 (24.7-38.2)</w:t>
            </w:r>
          </w:p>
        </w:tc>
      </w:tr>
      <w:tr w:rsidR="00C01740" w:rsidRPr="00C01740" w:rsidTr="00332015">
        <w:trPr>
          <w:trHeight w:val="123"/>
        </w:trPr>
        <w:tc>
          <w:tcPr>
            <w:tcW w:w="1723" w:type="dxa"/>
            <w:vMerge/>
            <w:vAlign w:val="center"/>
            <w:hideMark/>
          </w:tcPr>
          <w:p w:rsidR="00C01740" w:rsidRPr="00C01740" w:rsidRDefault="00C01740" w:rsidP="002F7D04">
            <w:pPr>
              <w:spacing w:line="216" w:lineRule="auto"/>
              <w:jc w:val="center"/>
              <w:rPr>
                <w:rFonts w:ascii="Times New Roman" w:eastAsia="Times New Roman" w:hAnsi="Times New Roman" w:cs="Times New Roman"/>
                <w:color w:val="000000"/>
                <w:sz w:val="20"/>
                <w:szCs w:val="20"/>
              </w:rPr>
            </w:pPr>
          </w:p>
        </w:tc>
        <w:tc>
          <w:tcPr>
            <w:tcW w:w="2496" w:type="dxa"/>
            <w:vMerge/>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p>
        </w:tc>
        <w:tc>
          <w:tcPr>
            <w:tcW w:w="2026" w:type="dxa"/>
            <w:shd w:val="clear" w:color="auto" w:fill="auto"/>
            <w:noWrap/>
            <w:vAlign w:val="bottom"/>
            <w:hideMark/>
          </w:tcPr>
          <w:p w:rsidR="00C01740" w:rsidRPr="00C01740" w:rsidRDefault="00C01740" w:rsidP="00142902">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1</w:t>
            </w:r>
          </w:p>
        </w:tc>
        <w:tc>
          <w:tcPr>
            <w:tcW w:w="1791" w:type="dxa"/>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29.2 (23.2-36.1)</w:t>
            </w:r>
          </w:p>
        </w:tc>
        <w:tc>
          <w:tcPr>
            <w:tcW w:w="1791" w:type="dxa"/>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42.5 (35.2-50.1)</w:t>
            </w:r>
          </w:p>
        </w:tc>
      </w:tr>
      <w:tr w:rsidR="00C01740" w:rsidRPr="00C01740" w:rsidTr="00332015">
        <w:trPr>
          <w:trHeight w:val="123"/>
        </w:trPr>
        <w:tc>
          <w:tcPr>
            <w:tcW w:w="1723" w:type="dxa"/>
            <w:vMerge/>
            <w:vAlign w:val="center"/>
            <w:hideMark/>
          </w:tcPr>
          <w:p w:rsidR="00C01740" w:rsidRPr="00C01740" w:rsidRDefault="00C01740" w:rsidP="002F7D04">
            <w:pPr>
              <w:spacing w:line="216" w:lineRule="auto"/>
              <w:jc w:val="center"/>
              <w:rPr>
                <w:rFonts w:ascii="Times New Roman" w:eastAsia="Times New Roman" w:hAnsi="Times New Roman" w:cs="Times New Roman"/>
                <w:color w:val="000000"/>
                <w:sz w:val="20"/>
                <w:szCs w:val="20"/>
              </w:rPr>
            </w:pPr>
          </w:p>
        </w:tc>
        <w:tc>
          <w:tcPr>
            <w:tcW w:w="2496" w:type="dxa"/>
            <w:vMerge/>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p>
        </w:tc>
        <w:tc>
          <w:tcPr>
            <w:tcW w:w="2026" w:type="dxa"/>
            <w:shd w:val="clear" w:color="auto" w:fill="auto"/>
            <w:noWrap/>
            <w:vAlign w:val="bottom"/>
            <w:hideMark/>
          </w:tcPr>
          <w:p w:rsidR="00C01740" w:rsidRPr="00C01740" w:rsidRDefault="00C01740" w:rsidP="00142902">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2-3</w:t>
            </w:r>
          </w:p>
        </w:tc>
        <w:tc>
          <w:tcPr>
            <w:tcW w:w="1791" w:type="dxa"/>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31.1 (25.1-37.9)</w:t>
            </w:r>
          </w:p>
        </w:tc>
        <w:tc>
          <w:tcPr>
            <w:tcW w:w="1791" w:type="dxa"/>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26.5 (20.6-33.3)</w:t>
            </w:r>
          </w:p>
        </w:tc>
      </w:tr>
      <w:tr w:rsidR="00C01740" w:rsidRPr="00C01740" w:rsidTr="00332015">
        <w:trPr>
          <w:trHeight w:val="123"/>
        </w:trPr>
        <w:tc>
          <w:tcPr>
            <w:tcW w:w="1723" w:type="dxa"/>
            <w:vMerge/>
            <w:vAlign w:val="center"/>
            <w:hideMark/>
          </w:tcPr>
          <w:p w:rsidR="00C01740" w:rsidRPr="00C01740" w:rsidRDefault="00C01740" w:rsidP="002F7D04">
            <w:pPr>
              <w:spacing w:line="216" w:lineRule="auto"/>
              <w:jc w:val="center"/>
              <w:rPr>
                <w:rFonts w:ascii="Times New Roman" w:eastAsia="Times New Roman" w:hAnsi="Times New Roman" w:cs="Times New Roman"/>
                <w:color w:val="000000"/>
                <w:sz w:val="20"/>
                <w:szCs w:val="20"/>
              </w:rPr>
            </w:pPr>
          </w:p>
        </w:tc>
        <w:tc>
          <w:tcPr>
            <w:tcW w:w="2496" w:type="dxa"/>
            <w:vMerge w:val="restart"/>
            <w:shd w:val="clear" w:color="auto" w:fill="D9D9D9" w:themeFill="background1" w:themeFillShade="D9"/>
            <w:noWrap/>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Other</w:t>
            </w:r>
          </w:p>
        </w:tc>
        <w:tc>
          <w:tcPr>
            <w:tcW w:w="2026" w:type="dxa"/>
            <w:shd w:val="clear" w:color="auto" w:fill="D9D9D9" w:themeFill="background1" w:themeFillShade="D9"/>
            <w:noWrap/>
            <w:vAlign w:val="bottom"/>
            <w:hideMark/>
          </w:tcPr>
          <w:p w:rsidR="00C01740" w:rsidRPr="00C01740" w:rsidRDefault="00C01740" w:rsidP="00142902">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0</w:t>
            </w:r>
          </w:p>
        </w:tc>
        <w:tc>
          <w:tcPr>
            <w:tcW w:w="1791" w:type="dxa"/>
            <w:shd w:val="clear" w:color="auto" w:fill="D9D9D9" w:themeFill="background1" w:themeFillShade="D9"/>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57.1 (35.4-76.4)</w:t>
            </w:r>
          </w:p>
        </w:tc>
        <w:tc>
          <w:tcPr>
            <w:tcW w:w="1791" w:type="dxa"/>
            <w:shd w:val="clear" w:color="auto" w:fill="D9D9D9" w:themeFill="background1" w:themeFillShade="D9"/>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44.5 (28.5-61.7)</w:t>
            </w:r>
          </w:p>
        </w:tc>
      </w:tr>
      <w:tr w:rsidR="00C01740" w:rsidRPr="00C01740" w:rsidTr="00332015">
        <w:trPr>
          <w:trHeight w:val="123"/>
        </w:trPr>
        <w:tc>
          <w:tcPr>
            <w:tcW w:w="1723" w:type="dxa"/>
            <w:vMerge/>
            <w:vAlign w:val="center"/>
            <w:hideMark/>
          </w:tcPr>
          <w:p w:rsidR="00C01740" w:rsidRPr="00C01740" w:rsidRDefault="00C01740" w:rsidP="002F7D04">
            <w:pPr>
              <w:spacing w:line="216" w:lineRule="auto"/>
              <w:jc w:val="center"/>
              <w:rPr>
                <w:rFonts w:ascii="Times New Roman" w:eastAsia="Times New Roman" w:hAnsi="Times New Roman" w:cs="Times New Roman"/>
                <w:color w:val="000000"/>
                <w:sz w:val="20"/>
                <w:szCs w:val="20"/>
              </w:rPr>
            </w:pPr>
          </w:p>
        </w:tc>
        <w:tc>
          <w:tcPr>
            <w:tcW w:w="2496" w:type="dxa"/>
            <w:vMerge/>
            <w:shd w:val="clear" w:color="auto" w:fill="D9D9D9" w:themeFill="background1" w:themeFillShade="D9"/>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p>
        </w:tc>
        <w:tc>
          <w:tcPr>
            <w:tcW w:w="2026" w:type="dxa"/>
            <w:shd w:val="clear" w:color="auto" w:fill="D9D9D9" w:themeFill="background1" w:themeFillShade="D9"/>
            <w:noWrap/>
            <w:vAlign w:val="bottom"/>
            <w:hideMark/>
          </w:tcPr>
          <w:p w:rsidR="00C01740" w:rsidRPr="00C01740" w:rsidRDefault="00C01740" w:rsidP="00142902">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1</w:t>
            </w:r>
          </w:p>
        </w:tc>
        <w:tc>
          <w:tcPr>
            <w:tcW w:w="1791" w:type="dxa"/>
            <w:shd w:val="clear" w:color="auto" w:fill="D9D9D9" w:themeFill="background1" w:themeFillShade="D9"/>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21.1 (12.0-34.5)</w:t>
            </w:r>
          </w:p>
        </w:tc>
        <w:tc>
          <w:tcPr>
            <w:tcW w:w="1791" w:type="dxa"/>
            <w:shd w:val="clear" w:color="auto" w:fill="D9D9D9" w:themeFill="background1" w:themeFillShade="D9"/>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28.2 (18.0-41.4)</w:t>
            </w:r>
          </w:p>
        </w:tc>
      </w:tr>
      <w:tr w:rsidR="00C01740" w:rsidRPr="00C01740" w:rsidTr="00332015">
        <w:trPr>
          <w:trHeight w:val="123"/>
        </w:trPr>
        <w:tc>
          <w:tcPr>
            <w:tcW w:w="1723" w:type="dxa"/>
            <w:vMerge/>
            <w:vAlign w:val="center"/>
            <w:hideMark/>
          </w:tcPr>
          <w:p w:rsidR="00C01740" w:rsidRPr="00C01740" w:rsidRDefault="00C01740" w:rsidP="002F7D04">
            <w:pPr>
              <w:spacing w:line="216" w:lineRule="auto"/>
              <w:jc w:val="center"/>
              <w:rPr>
                <w:rFonts w:ascii="Times New Roman" w:eastAsia="Times New Roman" w:hAnsi="Times New Roman" w:cs="Times New Roman"/>
                <w:color w:val="000000"/>
                <w:sz w:val="20"/>
                <w:szCs w:val="20"/>
              </w:rPr>
            </w:pPr>
          </w:p>
        </w:tc>
        <w:tc>
          <w:tcPr>
            <w:tcW w:w="2496" w:type="dxa"/>
            <w:vMerge/>
            <w:shd w:val="clear" w:color="auto" w:fill="D9D9D9" w:themeFill="background1" w:themeFillShade="D9"/>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p>
        </w:tc>
        <w:tc>
          <w:tcPr>
            <w:tcW w:w="2026" w:type="dxa"/>
            <w:shd w:val="clear" w:color="auto" w:fill="D9D9D9" w:themeFill="background1" w:themeFillShade="D9"/>
            <w:noWrap/>
            <w:vAlign w:val="bottom"/>
            <w:hideMark/>
          </w:tcPr>
          <w:p w:rsidR="00C01740" w:rsidRPr="00C01740" w:rsidRDefault="00C01740" w:rsidP="00142902">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2-3</w:t>
            </w:r>
          </w:p>
        </w:tc>
        <w:tc>
          <w:tcPr>
            <w:tcW w:w="1791" w:type="dxa"/>
            <w:shd w:val="clear" w:color="auto" w:fill="D9D9D9" w:themeFill="background1" w:themeFillShade="D9"/>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21.8 (8.3-46.0)</w:t>
            </w:r>
          </w:p>
        </w:tc>
        <w:tc>
          <w:tcPr>
            <w:tcW w:w="1791" w:type="dxa"/>
            <w:shd w:val="clear" w:color="auto" w:fill="D9D9D9" w:themeFill="background1" w:themeFillShade="D9"/>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27.3 (15.1-44.3)</w:t>
            </w:r>
          </w:p>
        </w:tc>
      </w:tr>
      <w:tr w:rsidR="00C01740" w:rsidRPr="00C01740" w:rsidTr="00332015">
        <w:trPr>
          <w:trHeight w:val="123"/>
        </w:trPr>
        <w:tc>
          <w:tcPr>
            <w:tcW w:w="1723" w:type="dxa"/>
            <w:vMerge/>
            <w:vAlign w:val="center"/>
            <w:hideMark/>
          </w:tcPr>
          <w:p w:rsidR="00C01740" w:rsidRPr="00C01740" w:rsidRDefault="00C01740" w:rsidP="002F7D04">
            <w:pPr>
              <w:spacing w:line="216" w:lineRule="auto"/>
              <w:jc w:val="center"/>
              <w:rPr>
                <w:rFonts w:ascii="Times New Roman" w:eastAsia="Times New Roman" w:hAnsi="Times New Roman" w:cs="Times New Roman"/>
                <w:color w:val="000000"/>
                <w:sz w:val="20"/>
                <w:szCs w:val="20"/>
              </w:rPr>
            </w:pPr>
          </w:p>
        </w:tc>
        <w:tc>
          <w:tcPr>
            <w:tcW w:w="2496" w:type="dxa"/>
            <w:vMerge w:val="restart"/>
            <w:shd w:val="clear" w:color="auto" w:fill="auto"/>
            <w:noWrap/>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Total</w:t>
            </w:r>
          </w:p>
        </w:tc>
        <w:tc>
          <w:tcPr>
            <w:tcW w:w="2026" w:type="dxa"/>
            <w:shd w:val="clear" w:color="auto" w:fill="auto"/>
            <w:noWrap/>
            <w:vAlign w:val="bottom"/>
            <w:hideMark/>
          </w:tcPr>
          <w:p w:rsidR="00C01740" w:rsidRPr="00C01740" w:rsidRDefault="00C01740" w:rsidP="00142902">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0</w:t>
            </w:r>
          </w:p>
        </w:tc>
        <w:tc>
          <w:tcPr>
            <w:tcW w:w="1791" w:type="dxa"/>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40.8 (37.3-44.4)</w:t>
            </w:r>
          </w:p>
        </w:tc>
        <w:tc>
          <w:tcPr>
            <w:tcW w:w="1791" w:type="dxa"/>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40.3 (36.7-44.0)</w:t>
            </w:r>
          </w:p>
        </w:tc>
      </w:tr>
      <w:tr w:rsidR="00C01740" w:rsidRPr="00C01740" w:rsidTr="00332015">
        <w:trPr>
          <w:trHeight w:val="123"/>
        </w:trPr>
        <w:tc>
          <w:tcPr>
            <w:tcW w:w="1723" w:type="dxa"/>
            <w:vMerge/>
            <w:vAlign w:val="center"/>
            <w:hideMark/>
          </w:tcPr>
          <w:p w:rsidR="00C01740" w:rsidRPr="00C01740" w:rsidRDefault="00C01740" w:rsidP="002F7D04">
            <w:pPr>
              <w:spacing w:line="216" w:lineRule="auto"/>
              <w:jc w:val="center"/>
              <w:rPr>
                <w:rFonts w:ascii="Times New Roman" w:eastAsia="Times New Roman" w:hAnsi="Times New Roman" w:cs="Times New Roman"/>
                <w:color w:val="000000"/>
                <w:sz w:val="20"/>
                <w:szCs w:val="20"/>
              </w:rPr>
            </w:pPr>
          </w:p>
        </w:tc>
        <w:tc>
          <w:tcPr>
            <w:tcW w:w="2496" w:type="dxa"/>
            <w:vMerge/>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p>
        </w:tc>
        <w:tc>
          <w:tcPr>
            <w:tcW w:w="2026" w:type="dxa"/>
            <w:shd w:val="clear" w:color="auto" w:fill="auto"/>
            <w:noWrap/>
            <w:vAlign w:val="bottom"/>
            <w:hideMark/>
          </w:tcPr>
          <w:p w:rsidR="00C01740" w:rsidRPr="00C01740" w:rsidRDefault="00C01740" w:rsidP="00142902">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1</w:t>
            </w:r>
          </w:p>
        </w:tc>
        <w:tc>
          <w:tcPr>
            <w:tcW w:w="1791" w:type="dxa"/>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34.2 (31.0-37.7)</w:t>
            </w:r>
          </w:p>
        </w:tc>
        <w:tc>
          <w:tcPr>
            <w:tcW w:w="1791" w:type="dxa"/>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38.6 (34.6-42.7)</w:t>
            </w:r>
          </w:p>
        </w:tc>
      </w:tr>
      <w:tr w:rsidR="00C01740" w:rsidRPr="00C01740" w:rsidTr="00332015">
        <w:trPr>
          <w:trHeight w:val="123"/>
        </w:trPr>
        <w:tc>
          <w:tcPr>
            <w:tcW w:w="1723" w:type="dxa"/>
            <w:vMerge/>
            <w:tcBorders>
              <w:bottom w:val="single" w:sz="4" w:space="0" w:color="auto"/>
            </w:tcBorders>
            <w:vAlign w:val="center"/>
            <w:hideMark/>
          </w:tcPr>
          <w:p w:rsidR="00C01740" w:rsidRPr="00C01740" w:rsidRDefault="00C01740" w:rsidP="002F7D04">
            <w:pPr>
              <w:spacing w:line="216" w:lineRule="auto"/>
              <w:jc w:val="center"/>
              <w:rPr>
                <w:rFonts w:ascii="Times New Roman" w:eastAsia="Times New Roman" w:hAnsi="Times New Roman" w:cs="Times New Roman"/>
                <w:color w:val="000000"/>
                <w:sz w:val="20"/>
                <w:szCs w:val="20"/>
              </w:rPr>
            </w:pPr>
          </w:p>
        </w:tc>
        <w:tc>
          <w:tcPr>
            <w:tcW w:w="2496" w:type="dxa"/>
            <w:vMerge/>
            <w:tcBorders>
              <w:bottom w:val="single" w:sz="4" w:space="0" w:color="auto"/>
            </w:tcBorders>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p>
        </w:tc>
        <w:tc>
          <w:tcPr>
            <w:tcW w:w="2026" w:type="dxa"/>
            <w:tcBorders>
              <w:bottom w:val="single" w:sz="4" w:space="0" w:color="auto"/>
            </w:tcBorders>
            <w:shd w:val="clear" w:color="auto" w:fill="auto"/>
            <w:noWrap/>
            <w:vAlign w:val="bottom"/>
            <w:hideMark/>
          </w:tcPr>
          <w:p w:rsidR="00C01740" w:rsidRPr="00C01740" w:rsidRDefault="00C01740" w:rsidP="00142902">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2-3</w:t>
            </w:r>
          </w:p>
        </w:tc>
        <w:tc>
          <w:tcPr>
            <w:tcW w:w="1791" w:type="dxa"/>
            <w:tcBorders>
              <w:bottom w:val="single" w:sz="4" w:space="0" w:color="auto"/>
            </w:tcBorders>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25.0 (21.8-28.4)</w:t>
            </w:r>
          </w:p>
        </w:tc>
        <w:tc>
          <w:tcPr>
            <w:tcW w:w="1791" w:type="dxa"/>
            <w:tcBorders>
              <w:bottom w:val="single" w:sz="4" w:space="0" w:color="auto"/>
            </w:tcBorders>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21.1 (18.2-24.4)</w:t>
            </w:r>
          </w:p>
        </w:tc>
      </w:tr>
      <w:tr w:rsidR="00C01740" w:rsidRPr="00C01740" w:rsidTr="00332015">
        <w:trPr>
          <w:trHeight w:val="123"/>
        </w:trPr>
        <w:tc>
          <w:tcPr>
            <w:tcW w:w="1723" w:type="dxa"/>
            <w:vMerge w:val="restart"/>
            <w:tcBorders>
              <w:top w:val="single" w:sz="4" w:space="0" w:color="auto"/>
            </w:tcBorders>
            <w:shd w:val="clear" w:color="auto" w:fill="auto"/>
            <w:noWrap/>
            <w:vAlign w:val="center"/>
            <w:hideMark/>
          </w:tcPr>
          <w:p w:rsidR="00C01740" w:rsidRPr="00C01740" w:rsidRDefault="00C01740" w:rsidP="002F7D04">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≥75</w:t>
            </w:r>
          </w:p>
        </w:tc>
        <w:tc>
          <w:tcPr>
            <w:tcW w:w="2496" w:type="dxa"/>
            <w:vMerge w:val="restart"/>
            <w:tcBorders>
              <w:top w:val="single" w:sz="4" w:space="0" w:color="auto"/>
            </w:tcBorders>
            <w:shd w:val="clear" w:color="auto" w:fill="auto"/>
            <w:noWrap/>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Non-Hispanic white</w:t>
            </w:r>
          </w:p>
        </w:tc>
        <w:tc>
          <w:tcPr>
            <w:tcW w:w="2026" w:type="dxa"/>
            <w:tcBorders>
              <w:top w:val="single" w:sz="4" w:space="0" w:color="auto"/>
            </w:tcBorders>
            <w:shd w:val="clear" w:color="auto" w:fill="auto"/>
            <w:noWrap/>
            <w:vAlign w:val="bottom"/>
            <w:hideMark/>
          </w:tcPr>
          <w:p w:rsidR="00C01740" w:rsidRPr="00C01740" w:rsidRDefault="00C01740" w:rsidP="00142902">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0</w:t>
            </w:r>
          </w:p>
        </w:tc>
        <w:tc>
          <w:tcPr>
            <w:tcW w:w="1791" w:type="dxa"/>
            <w:tcBorders>
              <w:top w:val="single" w:sz="4" w:space="0" w:color="auto"/>
            </w:tcBorders>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30.0 (26.7-33.5)</w:t>
            </w:r>
          </w:p>
        </w:tc>
        <w:tc>
          <w:tcPr>
            <w:tcW w:w="1791" w:type="dxa"/>
            <w:tcBorders>
              <w:top w:val="single" w:sz="4" w:space="0" w:color="auto"/>
            </w:tcBorders>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27.7 (24.2-31.6)</w:t>
            </w:r>
          </w:p>
        </w:tc>
      </w:tr>
      <w:tr w:rsidR="00C01740" w:rsidRPr="00C01740" w:rsidTr="00332015">
        <w:trPr>
          <w:trHeight w:val="123"/>
        </w:trPr>
        <w:tc>
          <w:tcPr>
            <w:tcW w:w="1723" w:type="dxa"/>
            <w:vMerge/>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p>
        </w:tc>
        <w:tc>
          <w:tcPr>
            <w:tcW w:w="2496" w:type="dxa"/>
            <w:vMerge/>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p>
        </w:tc>
        <w:tc>
          <w:tcPr>
            <w:tcW w:w="2026" w:type="dxa"/>
            <w:shd w:val="clear" w:color="auto" w:fill="auto"/>
            <w:noWrap/>
            <w:vAlign w:val="bottom"/>
            <w:hideMark/>
          </w:tcPr>
          <w:p w:rsidR="00C01740" w:rsidRPr="00C01740" w:rsidRDefault="00C01740" w:rsidP="00142902">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1</w:t>
            </w:r>
          </w:p>
        </w:tc>
        <w:tc>
          <w:tcPr>
            <w:tcW w:w="1791" w:type="dxa"/>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45.5 (41.8-49.2)</w:t>
            </w:r>
          </w:p>
        </w:tc>
        <w:tc>
          <w:tcPr>
            <w:tcW w:w="1791" w:type="dxa"/>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46.2 (42.8-49.6)</w:t>
            </w:r>
          </w:p>
        </w:tc>
      </w:tr>
      <w:tr w:rsidR="00C01740" w:rsidRPr="00C01740" w:rsidTr="00332015">
        <w:trPr>
          <w:trHeight w:val="123"/>
        </w:trPr>
        <w:tc>
          <w:tcPr>
            <w:tcW w:w="1723" w:type="dxa"/>
            <w:vMerge/>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p>
        </w:tc>
        <w:tc>
          <w:tcPr>
            <w:tcW w:w="2496" w:type="dxa"/>
            <w:vMerge/>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p>
        </w:tc>
        <w:tc>
          <w:tcPr>
            <w:tcW w:w="2026" w:type="dxa"/>
            <w:shd w:val="clear" w:color="auto" w:fill="auto"/>
            <w:noWrap/>
            <w:vAlign w:val="bottom"/>
            <w:hideMark/>
          </w:tcPr>
          <w:p w:rsidR="00C01740" w:rsidRPr="00C01740" w:rsidRDefault="00C01740" w:rsidP="00142902">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2-3</w:t>
            </w:r>
          </w:p>
        </w:tc>
        <w:tc>
          <w:tcPr>
            <w:tcW w:w="1791" w:type="dxa"/>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24.6 (21.5-27.8)</w:t>
            </w:r>
          </w:p>
        </w:tc>
        <w:tc>
          <w:tcPr>
            <w:tcW w:w="1791" w:type="dxa"/>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26.1 (22.8-29.6)</w:t>
            </w:r>
          </w:p>
        </w:tc>
      </w:tr>
      <w:tr w:rsidR="00C01740" w:rsidRPr="00C01740" w:rsidTr="00332015">
        <w:trPr>
          <w:trHeight w:val="123"/>
        </w:trPr>
        <w:tc>
          <w:tcPr>
            <w:tcW w:w="1723" w:type="dxa"/>
            <w:vMerge/>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p>
        </w:tc>
        <w:tc>
          <w:tcPr>
            <w:tcW w:w="2496" w:type="dxa"/>
            <w:vMerge w:val="restart"/>
            <w:shd w:val="clear" w:color="auto" w:fill="auto"/>
            <w:noWrap/>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Non-Hispanic black</w:t>
            </w:r>
          </w:p>
        </w:tc>
        <w:tc>
          <w:tcPr>
            <w:tcW w:w="2026" w:type="dxa"/>
            <w:shd w:val="clear" w:color="auto" w:fill="auto"/>
            <w:noWrap/>
            <w:vAlign w:val="bottom"/>
            <w:hideMark/>
          </w:tcPr>
          <w:p w:rsidR="00C01740" w:rsidRPr="00C01740" w:rsidRDefault="00C01740" w:rsidP="00142902">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0</w:t>
            </w:r>
          </w:p>
        </w:tc>
        <w:tc>
          <w:tcPr>
            <w:tcW w:w="1791" w:type="dxa"/>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23.0 (17.1-30.3)</w:t>
            </w:r>
          </w:p>
        </w:tc>
        <w:tc>
          <w:tcPr>
            <w:tcW w:w="1791" w:type="dxa"/>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15.4 (11.2-20.8)</w:t>
            </w:r>
          </w:p>
        </w:tc>
      </w:tr>
      <w:tr w:rsidR="00C01740" w:rsidRPr="00C01740" w:rsidTr="00332015">
        <w:trPr>
          <w:trHeight w:val="123"/>
        </w:trPr>
        <w:tc>
          <w:tcPr>
            <w:tcW w:w="1723" w:type="dxa"/>
            <w:vMerge/>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p>
        </w:tc>
        <w:tc>
          <w:tcPr>
            <w:tcW w:w="2496" w:type="dxa"/>
            <w:vMerge/>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p>
        </w:tc>
        <w:tc>
          <w:tcPr>
            <w:tcW w:w="2026" w:type="dxa"/>
            <w:shd w:val="clear" w:color="auto" w:fill="auto"/>
            <w:noWrap/>
            <w:vAlign w:val="bottom"/>
            <w:hideMark/>
          </w:tcPr>
          <w:p w:rsidR="00C01740" w:rsidRPr="00C01740" w:rsidRDefault="00C01740" w:rsidP="00142902">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1</w:t>
            </w:r>
          </w:p>
        </w:tc>
        <w:tc>
          <w:tcPr>
            <w:tcW w:w="1791" w:type="dxa"/>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38.2 (29.1-48.2)</w:t>
            </w:r>
          </w:p>
        </w:tc>
        <w:tc>
          <w:tcPr>
            <w:tcW w:w="1791" w:type="dxa"/>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31.0 (23.6-39.4)</w:t>
            </w:r>
          </w:p>
        </w:tc>
      </w:tr>
      <w:tr w:rsidR="00C01740" w:rsidRPr="00C01740" w:rsidTr="00332015">
        <w:trPr>
          <w:trHeight w:val="123"/>
        </w:trPr>
        <w:tc>
          <w:tcPr>
            <w:tcW w:w="1723" w:type="dxa"/>
            <w:vMerge/>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p>
        </w:tc>
        <w:tc>
          <w:tcPr>
            <w:tcW w:w="2496" w:type="dxa"/>
            <w:vMerge/>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p>
        </w:tc>
        <w:tc>
          <w:tcPr>
            <w:tcW w:w="2026" w:type="dxa"/>
            <w:shd w:val="clear" w:color="auto" w:fill="auto"/>
            <w:noWrap/>
            <w:vAlign w:val="bottom"/>
            <w:hideMark/>
          </w:tcPr>
          <w:p w:rsidR="00C01740" w:rsidRPr="00C01740" w:rsidRDefault="00C01740" w:rsidP="00142902">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2-3</w:t>
            </w:r>
          </w:p>
        </w:tc>
        <w:tc>
          <w:tcPr>
            <w:tcW w:w="1791" w:type="dxa"/>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38.8 (29.8-48.6)</w:t>
            </w:r>
          </w:p>
        </w:tc>
        <w:tc>
          <w:tcPr>
            <w:tcW w:w="1791" w:type="dxa"/>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53.7 (45.0-62.1)</w:t>
            </w:r>
          </w:p>
        </w:tc>
      </w:tr>
      <w:tr w:rsidR="00C01740" w:rsidRPr="00C01740" w:rsidTr="00332015">
        <w:trPr>
          <w:trHeight w:val="123"/>
        </w:trPr>
        <w:tc>
          <w:tcPr>
            <w:tcW w:w="1723" w:type="dxa"/>
            <w:vMerge/>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p>
        </w:tc>
        <w:tc>
          <w:tcPr>
            <w:tcW w:w="2496" w:type="dxa"/>
            <w:vMerge w:val="restart"/>
            <w:shd w:val="clear" w:color="auto" w:fill="auto"/>
            <w:noWrap/>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Hispanic</w:t>
            </w:r>
          </w:p>
        </w:tc>
        <w:tc>
          <w:tcPr>
            <w:tcW w:w="2026" w:type="dxa"/>
            <w:shd w:val="clear" w:color="auto" w:fill="auto"/>
            <w:noWrap/>
            <w:vAlign w:val="bottom"/>
            <w:hideMark/>
          </w:tcPr>
          <w:p w:rsidR="00C01740" w:rsidRPr="00C01740" w:rsidRDefault="00C01740" w:rsidP="00142902">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0</w:t>
            </w:r>
          </w:p>
        </w:tc>
        <w:tc>
          <w:tcPr>
            <w:tcW w:w="1791" w:type="dxa"/>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25.0 (17.3-34.8)</w:t>
            </w:r>
          </w:p>
        </w:tc>
        <w:tc>
          <w:tcPr>
            <w:tcW w:w="1791" w:type="dxa"/>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22.6 (15.6-31.5)</w:t>
            </w:r>
          </w:p>
        </w:tc>
      </w:tr>
      <w:tr w:rsidR="00C01740" w:rsidRPr="00C01740" w:rsidTr="00332015">
        <w:trPr>
          <w:trHeight w:val="123"/>
        </w:trPr>
        <w:tc>
          <w:tcPr>
            <w:tcW w:w="1723" w:type="dxa"/>
            <w:vMerge/>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p>
        </w:tc>
        <w:tc>
          <w:tcPr>
            <w:tcW w:w="2496" w:type="dxa"/>
            <w:vMerge/>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p>
        </w:tc>
        <w:tc>
          <w:tcPr>
            <w:tcW w:w="2026" w:type="dxa"/>
            <w:shd w:val="clear" w:color="auto" w:fill="auto"/>
            <w:noWrap/>
            <w:vAlign w:val="bottom"/>
            <w:hideMark/>
          </w:tcPr>
          <w:p w:rsidR="00C01740" w:rsidRPr="00C01740" w:rsidRDefault="00C01740" w:rsidP="00142902">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1</w:t>
            </w:r>
          </w:p>
        </w:tc>
        <w:tc>
          <w:tcPr>
            <w:tcW w:w="1791" w:type="dxa"/>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42.9 (32.2-54.3)</w:t>
            </w:r>
          </w:p>
        </w:tc>
        <w:tc>
          <w:tcPr>
            <w:tcW w:w="1791" w:type="dxa"/>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45.8 (35.9-56.1)</w:t>
            </w:r>
          </w:p>
        </w:tc>
      </w:tr>
      <w:tr w:rsidR="00C01740" w:rsidRPr="00C01740" w:rsidTr="00332015">
        <w:trPr>
          <w:trHeight w:val="123"/>
        </w:trPr>
        <w:tc>
          <w:tcPr>
            <w:tcW w:w="1723" w:type="dxa"/>
            <w:vMerge/>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p>
        </w:tc>
        <w:tc>
          <w:tcPr>
            <w:tcW w:w="2496" w:type="dxa"/>
            <w:vMerge/>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p>
        </w:tc>
        <w:tc>
          <w:tcPr>
            <w:tcW w:w="2026" w:type="dxa"/>
            <w:shd w:val="clear" w:color="auto" w:fill="auto"/>
            <w:noWrap/>
            <w:vAlign w:val="bottom"/>
            <w:hideMark/>
          </w:tcPr>
          <w:p w:rsidR="00C01740" w:rsidRPr="00C01740" w:rsidRDefault="00C01740" w:rsidP="00142902">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2-3</w:t>
            </w:r>
          </w:p>
        </w:tc>
        <w:tc>
          <w:tcPr>
            <w:tcW w:w="1791" w:type="dxa"/>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32.1 (22.5-43.5)</w:t>
            </w:r>
          </w:p>
        </w:tc>
        <w:tc>
          <w:tcPr>
            <w:tcW w:w="1791" w:type="dxa"/>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31.6 (22.3-42.6)</w:t>
            </w:r>
          </w:p>
        </w:tc>
      </w:tr>
      <w:tr w:rsidR="00C01740" w:rsidRPr="00C01740" w:rsidTr="00332015">
        <w:trPr>
          <w:trHeight w:val="123"/>
        </w:trPr>
        <w:tc>
          <w:tcPr>
            <w:tcW w:w="1723" w:type="dxa"/>
            <w:vMerge/>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p>
        </w:tc>
        <w:tc>
          <w:tcPr>
            <w:tcW w:w="2496" w:type="dxa"/>
            <w:vMerge w:val="restart"/>
            <w:shd w:val="clear" w:color="auto" w:fill="D9D9D9" w:themeFill="background1" w:themeFillShade="D9"/>
            <w:noWrap/>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Other</w:t>
            </w:r>
          </w:p>
        </w:tc>
        <w:tc>
          <w:tcPr>
            <w:tcW w:w="2026" w:type="dxa"/>
            <w:shd w:val="clear" w:color="auto" w:fill="D9D9D9" w:themeFill="background1" w:themeFillShade="D9"/>
            <w:noWrap/>
            <w:vAlign w:val="bottom"/>
            <w:hideMark/>
          </w:tcPr>
          <w:p w:rsidR="00C01740" w:rsidRPr="00C01740" w:rsidRDefault="00C01740" w:rsidP="00142902">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0</w:t>
            </w:r>
          </w:p>
        </w:tc>
        <w:tc>
          <w:tcPr>
            <w:tcW w:w="1791" w:type="dxa"/>
            <w:shd w:val="clear" w:color="auto" w:fill="D9D9D9" w:themeFill="background1" w:themeFillShade="D9"/>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17.3 (8.3-32.5)</w:t>
            </w:r>
          </w:p>
        </w:tc>
        <w:tc>
          <w:tcPr>
            <w:tcW w:w="1791" w:type="dxa"/>
            <w:shd w:val="clear" w:color="auto" w:fill="D9D9D9" w:themeFill="background1" w:themeFillShade="D9"/>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18.4 (9.4-32.9)</w:t>
            </w:r>
          </w:p>
        </w:tc>
      </w:tr>
      <w:tr w:rsidR="00C01740" w:rsidRPr="00C01740" w:rsidTr="00332015">
        <w:trPr>
          <w:trHeight w:val="123"/>
        </w:trPr>
        <w:tc>
          <w:tcPr>
            <w:tcW w:w="1723" w:type="dxa"/>
            <w:vMerge/>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p>
        </w:tc>
        <w:tc>
          <w:tcPr>
            <w:tcW w:w="2496" w:type="dxa"/>
            <w:vMerge/>
            <w:shd w:val="clear" w:color="auto" w:fill="D9D9D9" w:themeFill="background1" w:themeFillShade="D9"/>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p>
        </w:tc>
        <w:tc>
          <w:tcPr>
            <w:tcW w:w="2026" w:type="dxa"/>
            <w:shd w:val="clear" w:color="auto" w:fill="D9D9D9" w:themeFill="background1" w:themeFillShade="D9"/>
            <w:noWrap/>
            <w:vAlign w:val="bottom"/>
            <w:hideMark/>
          </w:tcPr>
          <w:p w:rsidR="00C01740" w:rsidRPr="00C01740" w:rsidRDefault="00C01740" w:rsidP="00142902">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1</w:t>
            </w:r>
          </w:p>
        </w:tc>
        <w:tc>
          <w:tcPr>
            <w:tcW w:w="1791" w:type="dxa"/>
            <w:shd w:val="clear" w:color="auto" w:fill="D9D9D9" w:themeFill="background1" w:themeFillShade="D9"/>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46.1 (30.1-63.1)</w:t>
            </w:r>
          </w:p>
        </w:tc>
        <w:tc>
          <w:tcPr>
            <w:tcW w:w="1791" w:type="dxa"/>
            <w:shd w:val="clear" w:color="auto" w:fill="D9D9D9" w:themeFill="background1" w:themeFillShade="D9"/>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40.5 (26.8-55.9)</w:t>
            </w:r>
          </w:p>
        </w:tc>
      </w:tr>
      <w:tr w:rsidR="00C01740" w:rsidRPr="00C01740" w:rsidTr="00332015">
        <w:trPr>
          <w:trHeight w:val="123"/>
        </w:trPr>
        <w:tc>
          <w:tcPr>
            <w:tcW w:w="1723" w:type="dxa"/>
            <w:vMerge/>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p>
        </w:tc>
        <w:tc>
          <w:tcPr>
            <w:tcW w:w="2496" w:type="dxa"/>
            <w:vMerge/>
            <w:shd w:val="clear" w:color="auto" w:fill="D9D9D9" w:themeFill="background1" w:themeFillShade="D9"/>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p>
        </w:tc>
        <w:tc>
          <w:tcPr>
            <w:tcW w:w="2026" w:type="dxa"/>
            <w:shd w:val="clear" w:color="auto" w:fill="D9D9D9" w:themeFill="background1" w:themeFillShade="D9"/>
            <w:noWrap/>
            <w:vAlign w:val="bottom"/>
            <w:hideMark/>
          </w:tcPr>
          <w:p w:rsidR="00C01740" w:rsidRPr="00C01740" w:rsidRDefault="00C01740" w:rsidP="00142902">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2-3</w:t>
            </w:r>
          </w:p>
        </w:tc>
        <w:tc>
          <w:tcPr>
            <w:tcW w:w="1791" w:type="dxa"/>
            <w:shd w:val="clear" w:color="auto" w:fill="D9D9D9" w:themeFill="background1" w:themeFillShade="D9"/>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36.6 (19.7-57.6)</w:t>
            </w:r>
          </w:p>
        </w:tc>
        <w:tc>
          <w:tcPr>
            <w:tcW w:w="1791" w:type="dxa"/>
            <w:shd w:val="clear" w:color="auto" w:fill="D9D9D9" w:themeFill="background1" w:themeFillShade="D9"/>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41.1 (27.6-56.0)</w:t>
            </w:r>
          </w:p>
        </w:tc>
      </w:tr>
      <w:tr w:rsidR="00C01740" w:rsidRPr="00C01740" w:rsidTr="00332015">
        <w:trPr>
          <w:trHeight w:val="123"/>
        </w:trPr>
        <w:tc>
          <w:tcPr>
            <w:tcW w:w="1723" w:type="dxa"/>
            <w:vMerge/>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p>
        </w:tc>
        <w:tc>
          <w:tcPr>
            <w:tcW w:w="2496" w:type="dxa"/>
            <w:vMerge w:val="restart"/>
            <w:shd w:val="clear" w:color="auto" w:fill="auto"/>
            <w:noWrap/>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Total</w:t>
            </w:r>
          </w:p>
        </w:tc>
        <w:tc>
          <w:tcPr>
            <w:tcW w:w="2026" w:type="dxa"/>
            <w:shd w:val="clear" w:color="auto" w:fill="auto"/>
            <w:noWrap/>
            <w:vAlign w:val="bottom"/>
            <w:hideMark/>
          </w:tcPr>
          <w:p w:rsidR="00C01740" w:rsidRPr="00C01740" w:rsidRDefault="00C01740" w:rsidP="00142902">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0</w:t>
            </w:r>
          </w:p>
        </w:tc>
        <w:tc>
          <w:tcPr>
            <w:tcW w:w="1791" w:type="dxa"/>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28.9 (26.0-32.0)</w:t>
            </w:r>
          </w:p>
        </w:tc>
        <w:tc>
          <w:tcPr>
            <w:tcW w:w="1791" w:type="dxa"/>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26.3 (23.2-29.6)</w:t>
            </w:r>
          </w:p>
        </w:tc>
      </w:tr>
      <w:tr w:rsidR="00C01740" w:rsidRPr="00C01740" w:rsidTr="00332015">
        <w:trPr>
          <w:trHeight w:val="123"/>
        </w:trPr>
        <w:tc>
          <w:tcPr>
            <w:tcW w:w="1723" w:type="dxa"/>
            <w:vMerge/>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p>
        </w:tc>
        <w:tc>
          <w:tcPr>
            <w:tcW w:w="2496" w:type="dxa"/>
            <w:vMerge/>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p>
        </w:tc>
        <w:tc>
          <w:tcPr>
            <w:tcW w:w="2026" w:type="dxa"/>
            <w:shd w:val="clear" w:color="auto" w:fill="auto"/>
            <w:noWrap/>
            <w:vAlign w:val="bottom"/>
            <w:hideMark/>
          </w:tcPr>
          <w:p w:rsidR="00C01740" w:rsidRPr="00C01740" w:rsidRDefault="00C01740" w:rsidP="00142902">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1</w:t>
            </w:r>
          </w:p>
        </w:tc>
        <w:tc>
          <w:tcPr>
            <w:tcW w:w="1791" w:type="dxa"/>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44.9 (41.6-48.2)</w:t>
            </w:r>
          </w:p>
        </w:tc>
        <w:tc>
          <w:tcPr>
            <w:tcW w:w="1791" w:type="dxa"/>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44.9 (41.8-48.0)</w:t>
            </w:r>
          </w:p>
        </w:tc>
      </w:tr>
      <w:tr w:rsidR="00C01740" w:rsidRPr="00C01740" w:rsidTr="00332015">
        <w:trPr>
          <w:trHeight w:val="123"/>
        </w:trPr>
        <w:tc>
          <w:tcPr>
            <w:tcW w:w="1723" w:type="dxa"/>
            <w:vMerge/>
            <w:tcBorders>
              <w:bottom w:val="single" w:sz="4" w:space="0" w:color="auto"/>
            </w:tcBorders>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p>
        </w:tc>
        <w:tc>
          <w:tcPr>
            <w:tcW w:w="2496" w:type="dxa"/>
            <w:vMerge/>
            <w:tcBorders>
              <w:bottom w:val="single" w:sz="4" w:space="0" w:color="auto"/>
            </w:tcBorders>
            <w:vAlign w:val="center"/>
            <w:hideMark/>
          </w:tcPr>
          <w:p w:rsidR="00C01740" w:rsidRPr="00C01740" w:rsidRDefault="00C01740" w:rsidP="00142902">
            <w:pPr>
              <w:spacing w:line="216" w:lineRule="auto"/>
              <w:rPr>
                <w:rFonts w:ascii="Times New Roman" w:eastAsia="Times New Roman" w:hAnsi="Times New Roman" w:cs="Times New Roman"/>
                <w:color w:val="000000"/>
                <w:sz w:val="20"/>
                <w:szCs w:val="20"/>
              </w:rPr>
            </w:pPr>
          </w:p>
        </w:tc>
        <w:tc>
          <w:tcPr>
            <w:tcW w:w="2026" w:type="dxa"/>
            <w:tcBorders>
              <w:bottom w:val="single" w:sz="4" w:space="0" w:color="auto"/>
            </w:tcBorders>
            <w:shd w:val="clear" w:color="auto" w:fill="auto"/>
            <w:noWrap/>
            <w:vAlign w:val="bottom"/>
            <w:hideMark/>
          </w:tcPr>
          <w:p w:rsidR="00C01740" w:rsidRPr="00C01740" w:rsidRDefault="00C01740" w:rsidP="00142902">
            <w:pPr>
              <w:spacing w:line="216" w:lineRule="auto"/>
              <w:jc w:val="center"/>
              <w:rPr>
                <w:rFonts w:ascii="Times New Roman" w:eastAsia="Times New Roman" w:hAnsi="Times New Roman" w:cs="Times New Roman"/>
                <w:color w:val="000000"/>
                <w:sz w:val="20"/>
                <w:szCs w:val="20"/>
              </w:rPr>
            </w:pPr>
            <w:r w:rsidRPr="00C01740">
              <w:rPr>
                <w:rFonts w:ascii="Times New Roman" w:eastAsia="Times New Roman" w:hAnsi="Times New Roman" w:cs="Times New Roman"/>
                <w:color w:val="000000"/>
                <w:sz w:val="20"/>
                <w:szCs w:val="20"/>
              </w:rPr>
              <w:t>2-3</w:t>
            </w:r>
          </w:p>
        </w:tc>
        <w:tc>
          <w:tcPr>
            <w:tcW w:w="1791" w:type="dxa"/>
            <w:tcBorders>
              <w:bottom w:val="single" w:sz="4" w:space="0" w:color="auto"/>
            </w:tcBorders>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26.2 (23.4-29.2)</w:t>
            </w:r>
          </w:p>
        </w:tc>
        <w:tc>
          <w:tcPr>
            <w:tcW w:w="1791" w:type="dxa"/>
            <w:tcBorders>
              <w:bottom w:val="single" w:sz="4" w:space="0" w:color="auto"/>
            </w:tcBorders>
            <w:vAlign w:val="center"/>
          </w:tcPr>
          <w:p w:rsidR="00C01740" w:rsidRPr="00C01740" w:rsidRDefault="00C01740" w:rsidP="00142902">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28.8 (25.6-32.3)</w:t>
            </w:r>
          </w:p>
        </w:tc>
      </w:tr>
    </w:tbl>
    <w:p w:rsidR="00C01740" w:rsidRPr="0005207A" w:rsidRDefault="00C01740" w:rsidP="00142902">
      <w:pPr>
        <w:spacing w:line="276" w:lineRule="auto"/>
        <w:rPr>
          <w:rFonts w:ascii="Times New Roman" w:hAnsi="Times New Roman" w:cs="Times New Roman"/>
          <w:sz w:val="18"/>
          <w:szCs w:val="18"/>
          <w:vertAlign w:val="superscript"/>
        </w:rPr>
      </w:pPr>
      <w:r w:rsidRPr="0005207A">
        <w:rPr>
          <w:rFonts w:ascii="Times New Roman" w:eastAsia="Times New Roman" w:hAnsi="Times New Roman" w:cs="Times New Roman"/>
          <w:color w:val="000000"/>
          <w:sz w:val="18"/>
          <w:szCs w:val="18"/>
        </w:rPr>
        <w:t>Abbreviations: NHANES, National Health and Nutrition Examination Survey</w:t>
      </w:r>
    </w:p>
    <w:p w:rsidR="00C01740" w:rsidRPr="0005207A" w:rsidRDefault="00C01740" w:rsidP="00142902">
      <w:pPr>
        <w:spacing w:line="276" w:lineRule="auto"/>
        <w:rPr>
          <w:rFonts w:ascii="Times New Roman" w:hAnsi="Times New Roman" w:cs="Times New Roman"/>
          <w:b/>
          <w:sz w:val="18"/>
          <w:szCs w:val="18"/>
        </w:rPr>
      </w:pPr>
      <w:proofErr w:type="gramStart"/>
      <w:r w:rsidRPr="0005207A">
        <w:rPr>
          <w:rFonts w:ascii="Times New Roman" w:hAnsi="Times New Roman" w:cs="Times New Roman"/>
          <w:sz w:val="18"/>
          <w:szCs w:val="18"/>
          <w:vertAlign w:val="superscript"/>
        </w:rPr>
        <w:t>a</w:t>
      </w:r>
      <w:proofErr w:type="gramEnd"/>
      <w:r w:rsidRPr="0005207A">
        <w:rPr>
          <w:rFonts w:ascii="Times New Roman" w:hAnsi="Times New Roman" w:cs="Times New Roman"/>
          <w:sz w:val="18"/>
          <w:szCs w:val="18"/>
          <w:vertAlign w:val="superscript"/>
        </w:rPr>
        <w:t xml:space="preserve"> </w:t>
      </w:r>
      <w:r w:rsidRPr="0005207A">
        <w:rPr>
          <w:rFonts w:ascii="Times New Roman" w:hAnsi="Times New Roman" w:cs="Times New Roman"/>
          <w:sz w:val="18"/>
          <w:szCs w:val="18"/>
        </w:rPr>
        <w:t>Comorbidities include obesity, diagnosed diabetes, and chronic kidney disease.</w:t>
      </w:r>
    </w:p>
    <w:p w:rsidR="00C01740" w:rsidRPr="0005207A" w:rsidRDefault="00C01740" w:rsidP="00142902">
      <w:pPr>
        <w:rPr>
          <w:rFonts w:ascii="Times New Roman" w:hAnsi="Times New Roman" w:cs="Times New Roman"/>
          <w:color w:val="000000" w:themeColor="text1"/>
          <w:sz w:val="18"/>
          <w:szCs w:val="18"/>
        </w:rPr>
      </w:pPr>
      <w:proofErr w:type="gramStart"/>
      <w:r w:rsidRPr="0005207A">
        <w:rPr>
          <w:rFonts w:ascii="Times New Roman" w:hAnsi="Times New Roman" w:cs="Times New Roman"/>
          <w:color w:val="000000" w:themeColor="text1"/>
          <w:sz w:val="18"/>
          <w:szCs w:val="18"/>
          <w:vertAlign w:val="superscript"/>
        </w:rPr>
        <w:t>b</w:t>
      </w:r>
      <w:proofErr w:type="gramEnd"/>
      <w:r w:rsidRPr="0005207A">
        <w:rPr>
          <w:rFonts w:ascii="Times New Roman" w:hAnsi="Times New Roman" w:cs="Times New Roman"/>
          <w:color w:val="000000" w:themeColor="text1"/>
          <w:sz w:val="18"/>
          <w:szCs w:val="18"/>
        </w:rPr>
        <w:t xml:space="preserve"> Data from 2005–2012 were used to describe these estimates, because there was no statistical change in the prevalence of these comorbidities during this period (data not shown).  </w:t>
      </w:r>
    </w:p>
    <w:p w:rsidR="00C01740" w:rsidRPr="0005207A" w:rsidRDefault="00C01740" w:rsidP="00142902">
      <w:pPr>
        <w:rPr>
          <w:rFonts w:ascii="Times New Roman" w:hAnsi="Times New Roman" w:cs="Times New Roman"/>
          <w:color w:val="000000" w:themeColor="text1"/>
        </w:rPr>
      </w:pPr>
    </w:p>
    <w:p w:rsidR="00C01740" w:rsidRPr="0005207A" w:rsidRDefault="00C01740">
      <w:pPr>
        <w:spacing w:after="200" w:line="276" w:lineRule="auto"/>
        <w:rPr>
          <w:rFonts w:ascii="Times New Roman" w:hAnsi="Times New Roman" w:cs="Times New Roman"/>
          <w:b/>
          <w:noProof/>
        </w:rPr>
      </w:pPr>
      <w:r w:rsidRPr="0005207A">
        <w:rPr>
          <w:rFonts w:ascii="Times New Roman" w:hAnsi="Times New Roman" w:cs="Times New Roman"/>
          <w:b/>
        </w:rPr>
        <w:br w:type="page"/>
      </w:r>
    </w:p>
    <w:p w:rsidR="00C01740" w:rsidRPr="0005207A" w:rsidRDefault="00C01740" w:rsidP="004067E6">
      <w:pPr>
        <w:pStyle w:val="EndNoteBibliography"/>
        <w:rPr>
          <w:rFonts w:ascii="Times New Roman" w:hAnsi="Times New Roman" w:cs="Times New Roman"/>
          <w:b/>
        </w:rPr>
      </w:pPr>
      <w:r w:rsidRPr="0005207A">
        <w:rPr>
          <w:rFonts w:ascii="Times New Roman" w:hAnsi="Times New Roman" w:cs="Times New Roman"/>
          <w:b/>
        </w:rPr>
        <w:lastRenderedPageBreak/>
        <w:t>e-Table 2. External validity testing results for the modified Hypertension Prevalence Estimator Tool that does not include comorbidity status, by random sample size</w:t>
      </w:r>
    </w:p>
    <w:p w:rsidR="00C01740" w:rsidRPr="0005207A" w:rsidRDefault="00C01740" w:rsidP="004067E6">
      <w:pPr>
        <w:pStyle w:val="EndNoteBibliography"/>
        <w:rPr>
          <w:rFonts w:ascii="Times New Roman" w:hAnsi="Times New Roman" w:cs="Times New Roman"/>
          <w:b/>
        </w:rPr>
      </w:pPr>
    </w:p>
    <w:tbl>
      <w:tblPr>
        <w:tblW w:w="9538" w:type="dxa"/>
        <w:tblCellMar>
          <w:left w:w="0" w:type="dxa"/>
          <w:right w:w="0" w:type="dxa"/>
        </w:tblCellMar>
        <w:tblLook w:val="04A0" w:firstRow="1" w:lastRow="0" w:firstColumn="1" w:lastColumn="0" w:noHBand="0" w:noVBand="1"/>
      </w:tblPr>
      <w:tblGrid>
        <w:gridCol w:w="3633"/>
        <w:gridCol w:w="1476"/>
        <w:gridCol w:w="1476"/>
        <w:gridCol w:w="1476"/>
        <w:gridCol w:w="1477"/>
      </w:tblGrid>
      <w:tr w:rsidR="00C01740" w:rsidRPr="00C01740" w:rsidTr="00811BAA">
        <w:trPr>
          <w:trHeight w:val="318"/>
        </w:trPr>
        <w:tc>
          <w:tcPr>
            <w:tcW w:w="3633" w:type="dxa"/>
            <w:tcBorders>
              <w:top w:val="single" w:sz="4" w:space="0" w:color="auto"/>
              <w:left w:val="nil"/>
              <w:right w:val="nil"/>
            </w:tcBorders>
            <w:shd w:val="clear" w:color="auto" w:fill="auto"/>
            <w:noWrap/>
            <w:tcMar>
              <w:top w:w="15" w:type="dxa"/>
              <w:left w:w="15" w:type="dxa"/>
              <w:bottom w:w="0" w:type="dxa"/>
              <w:right w:w="15" w:type="dxa"/>
            </w:tcMar>
            <w:vAlign w:val="bottom"/>
          </w:tcPr>
          <w:p w:rsidR="00C01740" w:rsidRPr="00C01740" w:rsidRDefault="00C01740" w:rsidP="0064034F">
            <w:pPr>
              <w:rPr>
                <w:rFonts w:ascii="Times New Roman" w:hAnsi="Times New Roman" w:cs="Times New Roman"/>
                <w:color w:val="000000"/>
                <w:sz w:val="20"/>
                <w:szCs w:val="20"/>
              </w:rPr>
            </w:pPr>
          </w:p>
        </w:tc>
        <w:tc>
          <w:tcPr>
            <w:tcW w:w="2952" w:type="dxa"/>
            <w:gridSpan w:val="2"/>
            <w:tcBorders>
              <w:top w:val="single" w:sz="4" w:space="0" w:color="auto"/>
              <w:left w:val="nil"/>
              <w:right w:val="nil"/>
            </w:tcBorders>
            <w:shd w:val="clear" w:color="auto" w:fill="auto"/>
            <w:tcMar>
              <w:top w:w="15" w:type="dxa"/>
              <w:left w:w="15" w:type="dxa"/>
              <w:bottom w:w="0" w:type="dxa"/>
              <w:right w:w="15" w:type="dxa"/>
            </w:tcMar>
            <w:vAlign w:val="center"/>
          </w:tcPr>
          <w:p w:rsidR="00C01740" w:rsidRPr="00C01740" w:rsidRDefault="00C01740" w:rsidP="0064034F">
            <w:pPr>
              <w:jc w:val="center"/>
              <w:rPr>
                <w:rFonts w:ascii="Times New Roman" w:hAnsi="Times New Roman" w:cs="Times New Roman"/>
                <w:b/>
                <w:color w:val="000000"/>
                <w:sz w:val="20"/>
                <w:szCs w:val="20"/>
              </w:rPr>
            </w:pPr>
            <w:r w:rsidRPr="00C01740">
              <w:rPr>
                <w:rFonts w:ascii="Times New Roman" w:hAnsi="Times New Roman" w:cs="Times New Roman"/>
                <w:b/>
                <w:color w:val="000000"/>
                <w:sz w:val="20"/>
                <w:szCs w:val="20"/>
              </w:rPr>
              <w:t>Hypertension prevalence, %</w:t>
            </w:r>
          </w:p>
        </w:tc>
        <w:tc>
          <w:tcPr>
            <w:tcW w:w="1476" w:type="dxa"/>
            <w:vMerge w:val="restart"/>
            <w:tcBorders>
              <w:top w:val="single" w:sz="4" w:space="0" w:color="auto"/>
              <w:left w:val="nil"/>
              <w:right w:val="nil"/>
            </w:tcBorders>
          </w:tcPr>
          <w:p w:rsidR="00C01740" w:rsidRPr="00C01740" w:rsidRDefault="00C01740" w:rsidP="00811BAA">
            <w:pPr>
              <w:jc w:val="center"/>
              <w:rPr>
                <w:rFonts w:ascii="Times New Roman" w:hAnsi="Times New Roman" w:cs="Times New Roman"/>
                <w:b/>
                <w:color w:val="000000"/>
                <w:sz w:val="20"/>
                <w:szCs w:val="20"/>
              </w:rPr>
            </w:pPr>
            <w:r w:rsidRPr="00C01740">
              <w:rPr>
                <w:rFonts w:ascii="Times New Roman" w:hAnsi="Times New Roman" w:cs="Times New Roman"/>
                <w:b/>
                <w:color w:val="000000"/>
                <w:sz w:val="20"/>
                <w:szCs w:val="20"/>
              </w:rPr>
              <w:t>Percent Difference, Estimated - Observed</w:t>
            </w:r>
          </w:p>
        </w:tc>
        <w:tc>
          <w:tcPr>
            <w:tcW w:w="1477" w:type="dxa"/>
            <w:vMerge w:val="restart"/>
            <w:tcBorders>
              <w:top w:val="single" w:sz="4" w:space="0" w:color="auto"/>
              <w:left w:val="nil"/>
              <w:right w:val="nil"/>
            </w:tcBorders>
            <w:shd w:val="clear" w:color="auto" w:fill="auto"/>
            <w:noWrap/>
            <w:tcMar>
              <w:top w:w="15" w:type="dxa"/>
              <w:left w:w="15" w:type="dxa"/>
              <w:bottom w:w="0" w:type="dxa"/>
              <w:right w:w="15" w:type="dxa"/>
            </w:tcMar>
          </w:tcPr>
          <w:p w:rsidR="00C01740" w:rsidRPr="00C01740" w:rsidRDefault="00C01740" w:rsidP="00811BAA">
            <w:pPr>
              <w:jc w:val="center"/>
              <w:rPr>
                <w:rFonts w:ascii="Times New Roman" w:hAnsi="Times New Roman" w:cs="Times New Roman"/>
                <w:b/>
                <w:color w:val="000000"/>
                <w:sz w:val="20"/>
                <w:szCs w:val="20"/>
              </w:rPr>
            </w:pPr>
            <w:r w:rsidRPr="00C01740">
              <w:rPr>
                <w:rFonts w:ascii="Times New Roman" w:hAnsi="Times New Roman" w:cs="Times New Roman"/>
                <w:b/>
                <w:color w:val="000000"/>
                <w:sz w:val="20"/>
                <w:szCs w:val="20"/>
              </w:rPr>
              <w:t>P-</w:t>
            </w:r>
            <w:proofErr w:type="spellStart"/>
            <w:r w:rsidRPr="00C01740">
              <w:rPr>
                <w:rFonts w:ascii="Times New Roman" w:hAnsi="Times New Roman" w:cs="Times New Roman"/>
                <w:b/>
                <w:color w:val="000000"/>
                <w:sz w:val="20"/>
                <w:szCs w:val="20"/>
              </w:rPr>
              <w:t>value</w:t>
            </w:r>
            <w:r w:rsidRPr="00C01740">
              <w:rPr>
                <w:rFonts w:ascii="Times New Roman" w:hAnsi="Times New Roman" w:cs="Times New Roman"/>
                <w:b/>
                <w:color w:val="000000"/>
                <w:sz w:val="20"/>
                <w:szCs w:val="20"/>
                <w:vertAlign w:val="superscript"/>
              </w:rPr>
              <w:t>a</w:t>
            </w:r>
            <w:proofErr w:type="spellEnd"/>
          </w:p>
        </w:tc>
      </w:tr>
      <w:tr w:rsidR="00C01740" w:rsidRPr="00C01740" w:rsidTr="00811BAA">
        <w:trPr>
          <w:trHeight w:val="318"/>
        </w:trPr>
        <w:tc>
          <w:tcPr>
            <w:tcW w:w="3633" w:type="dxa"/>
            <w:tcBorders>
              <w:left w:val="nil"/>
              <w:bottom w:val="single" w:sz="4" w:space="0" w:color="auto"/>
              <w:right w:val="nil"/>
            </w:tcBorders>
            <w:shd w:val="clear" w:color="auto" w:fill="auto"/>
            <w:noWrap/>
            <w:tcMar>
              <w:top w:w="15" w:type="dxa"/>
              <w:left w:w="15" w:type="dxa"/>
              <w:bottom w:w="0" w:type="dxa"/>
              <w:right w:w="15" w:type="dxa"/>
            </w:tcMar>
            <w:vAlign w:val="bottom"/>
            <w:hideMark/>
          </w:tcPr>
          <w:p w:rsidR="00C01740" w:rsidRPr="00C01740" w:rsidRDefault="00C01740" w:rsidP="0064034F">
            <w:pPr>
              <w:rPr>
                <w:rFonts w:ascii="Times New Roman" w:hAnsi="Times New Roman" w:cs="Times New Roman"/>
                <w:color w:val="000000"/>
                <w:sz w:val="20"/>
                <w:szCs w:val="20"/>
              </w:rPr>
            </w:pPr>
            <w:r w:rsidRPr="00C01740">
              <w:rPr>
                <w:rFonts w:ascii="Times New Roman" w:hAnsi="Times New Roman" w:cs="Times New Roman"/>
                <w:color w:val="000000"/>
                <w:sz w:val="20"/>
                <w:szCs w:val="20"/>
              </w:rPr>
              <w:t> </w:t>
            </w:r>
          </w:p>
        </w:tc>
        <w:tc>
          <w:tcPr>
            <w:tcW w:w="1476" w:type="dxa"/>
            <w:tcBorders>
              <w:left w:val="nil"/>
              <w:bottom w:val="single" w:sz="4" w:space="0" w:color="auto"/>
              <w:right w:val="nil"/>
            </w:tcBorders>
            <w:shd w:val="clear" w:color="auto" w:fill="auto"/>
            <w:tcMar>
              <w:top w:w="15" w:type="dxa"/>
              <w:left w:w="15" w:type="dxa"/>
              <w:bottom w:w="0" w:type="dxa"/>
              <w:right w:w="15" w:type="dxa"/>
            </w:tcMar>
            <w:vAlign w:val="center"/>
            <w:hideMark/>
          </w:tcPr>
          <w:p w:rsidR="00C01740" w:rsidRPr="00C01740" w:rsidRDefault="00C01740" w:rsidP="00811BAA">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 xml:space="preserve">Estimated </w:t>
            </w:r>
            <w:r w:rsidRPr="00C01740">
              <w:rPr>
                <w:rFonts w:ascii="Times New Roman" w:hAnsi="Times New Roman" w:cs="Times New Roman"/>
                <w:color w:val="000000"/>
                <w:sz w:val="20"/>
                <w:szCs w:val="20"/>
              </w:rPr>
              <w:br/>
              <w:t>(95% CI)</w:t>
            </w:r>
          </w:p>
        </w:tc>
        <w:tc>
          <w:tcPr>
            <w:tcW w:w="1476" w:type="dxa"/>
            <w:tcBorders>
              <w:left w:val="nil"/>
              <w:bottom w:val="single" w:sz="4" w:space="0" w:color="auto"/>
              <w:right w:val="nil"/>
            </w:tcBorders>
            <w:shd w:val="clear" w:color="auto" w:fill="auto"/>
            <w:tcMar>
              <w:top w:w="15" w:type="dxa"/>
              <w:left w:w="15" w:type="dxa"/>
              <w:bottom w:w="0" w:type="dxa"/>
              <w:right w:w="15" w:type="dxa"/>
            </w:tcMar>
            <w:vAlign w:val="center"/>
            <w:hideMark/>
          </w:tcPr>
          <w:p w:rsidR="00C01740" w:rsidRPr="00C01740" w:rsidRDefault="00C01740" w:rsidP="00811BAA">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 xml:space="preserve">Observed </w:t>
            </w:r>
          </w:p>
          <w:p w:rsidR="00C01740" w:rsidRPr="00C01740" w:rsidRDefault="00C01740" w:rsidP="0064034F">
            <w:pPr>
              <w:jc w:val="center"/>
              <w:rPr>
                <w:rFonts w:ascii="Times New Roman" w:hAnsi="Times New Roman" w:cs="Times New Roman"/>
                <w:color w:val="000000"/>
                <w:sz w:val="20"/>
                <w:szCs w:val="20"/>
              </w:rPr>
            </w:pPr>
          </w:p>
        </w:tc>
        <w:tc>
          <w:tcPr>
            <w:tcW w:w="1476" w:type="dxa"/>
            <w:vMerge/>
            <w:tcBorders>
              <w:left w:val="nil"/>
              <w:bottom w:val="single" w:sz="4" w:space="0" w:color="auto"/>
              <w:right w:val="nil"/>
            </w:tcBorders>
          </w:tcPr>
          <w:p w:rsidR="00C01740" w:rsidRPr="00C01740" w:rsidRDefault="00C01740" w:rsidP="00811BAA">
            <w:pPr>
              <w:jc w:val="center"/>
              <w:rPr>
                <w:rFonts w:ascii="Times New Roman" w:hAnsi="Times New Roman" w:cs="Times New Roman"/>
                <w:b/>
                <w:color w:val="000000"/>
                <w:sz w:val="20"/>
                <w:szCs w:val="20"/>
              </w:rPr>
            </w:pPr>
          </w:p>
        </w:tc>
        <w:tc>
          <w:tcPr>
            <w:tcW w:w="1477" w:type="dxa"/>
            <w:vMerge/>
            <w:tcBorders>
              <w:left w:val="nil"/>
              <w:bottom w:val="single" w:sz="4" w:space="0" w:color="auto"/>
              <w:right w:val="nil"/>
            </w:tcBorders>
            <w:shd w:val="clear" w:color="auto" w:fill="auto"/>
            <w:noWrap/>
            <w:tcMar>
              <w:top w:w="15" w:type="dxa"/>
              <w:left w:w="15" w:type="dxa"/>
              <w:bottom w:w="0" w:type="dxa"/>
              <w:right w:w="15" w:type="dxa"/>
            </w:tcMar>
            <w:hideMark/>
          </w:tcPr>
          <w:p w:rsidR="00C01740" w:rsidRPr="00C01740" w:rsidRDefault="00C01740" w:rsidP="00811BAA">
            <w:pPr>
              <w:jc w:val="center"/>
              <w:rPr>
                <w:rFonts w:ascii="Times New Roman" w:hAnsi="Times New Roman" w:cs="Times New Roman"/>
                <w:b/>
                <w:color w:val="000000"/>
                <w:sz w:val="20"/>
                <w:szCs w:val="20"/>
              </w:rPr>
            </w:pPr>
          </w:p>
        </w:tc>
      </w:tr>
      <w:tr w:rsidR="00C01740" w:rsidRPr="00C01740" w:rsidTr="0064034F">
        <w:trPr>
          <w:trHeight w:val="160"/>
        </w:trPr>
        <w:tc>
          <w:tcPr>
            <w:tcW w:w="3633" w:type="dxa"/>
            <w:tcBorders>
              <w:top w:val="nil"/>
              <w:left w:val="nil"/>
              <w:bottom w:val="nil"/>
              <w:right w:val="nil"/>
            </w:tcBorders>
            <w:shd w:val="clear" w:color="auto" w:fill="auto"/>
            <w:noWrap/>
            <w:tcMar>
              <w:top w:w="15" w:type="dxa"/>
              <w:left w:w="15" w:type="dxa"/>
              <w:bottom w:w="0" w:type="dxa"/>
              <w:right w:w="15" w:type="dxa"/>
            </w:tcMar>
            <w:vAlign w:val="bottom"/>
            <w:hideMark/>
          </w:tcPr>
          <w:p w:rsidR="00C01740" w:rsidRPr="00C01740" w:rsidRDefault="00C01740" w:rsidP="0064034F">
            <w:pPr>
              <w:ind w:right="183"/>
              <w:rPr>
                <w:rFonts w:ascii="Times New Roman" w:hAnsi="Times New Roman" w:cs="Times New Roman"/>
                <w:color w:val="000000"/>
                <w:sz w:val="20"/>
                <w:szCs w:val="20"/>
              </w:rPr>
            </w:pPr>
            <w:r w:rsidRPr="00C01740">
              <w:rPr>
                <w:rFonts w:ascii="Times New Roman" w:hAnsi="Times New Roman" w:cs="Times New Roman"/>
                <w:color w:val="000000"/>
                <w:sz w:val="20"/>
                <w:szCs w:val="20"/>
              </w:rPr>
              <w:t>Pooled random samples (n = 1500)</w:t>
            </w:r>
          </w:p>
        </w:tc>
        <w:tc>
          <w:tcPr>
            <w:tcW w:w="1476" w:type="dxa"/>
            <w:tcBorders>
              <w:top w:val="nil"/>
              <w:left w:val="nil"/>
              <w:bottom w:val="nil"/>
              <w:right w:val="nil"/>
            </w:tcBorders>
            <w:shd w:val="clear" w:color="auto" w:fill="auto"/>
            <w:noWrap/>
            <w:tcMar>
              <w:top w:w="15" w:type="dxa"/>
              <w:left w:w="15" w:type="dxa"/>
              <w:bottom w:w="0" w:type="dxa"/>
              <w:right w:w="15" w:type="dxa"/>
            </w:tcMar>
            <w:vAlign w:val="bottom"/>
            <w:hideMark/>
          </w:tcPr>
          <w:p w:rsidR="00C01740" w:rsidRPr="00C01740" w:rsidRDefault="00C01740" w:rsidP="0064034F">
            <w:pPr>
              <w:rPr>
                <w:rFonts w:ascii="Times New Roman" w:hAnsi="Times New Roman" w:cs="Times New Roman"/>
                <w:color w:val="000000"/>
                <w:sz w:val="20"/>
                <w:szCs w:val="20"/>
              </w:rPr>
            </w:pPr>
          </w:p>
        </w:tc>
        <w:tc>
          <w:tcPr>
            <w:tcW w:w="1476" w:type="dxa"/>
            <w:tcBorders>
              <w:top w:val="nil"/>
              <w:left w:val="nil"/>
              <w:bottom w:val="nil"/>
              <w:right w:val="nil"/>
            </w:tcBorders>
            <w:shd w:val="clear" w:color="auto" w:fill="auto"/>
            <w:noWrap/>
            <w:tcMar>
              <w:top w:w="15" w:type="dxa"/>
              <w:left w:w="15" w:type="dxa"/>
              <w:bottom w:w="0" w:type="dxa"/>
              <w:right w:w="15" w:type="dxa"/>
            </w:tcMar>
            <w:vAlign w:val="bottom"/>
            <w:hideMark/>
          </w:tcPr>
          <w:p w:rsidR="00C01740" w:rsidRPr="00C01740" w:rsidRDefault="00C01740" w:rsidP="0064034F">
            <w:pPr>
              <w:rPr>
                <w:rFonts w:ascii="Times New Roman" w:hAnsi="Times New Roman" w:cs="Times New Roman"/>
                <w:color w:val="000000"/>
                <w:sz w:val="20"/>
                <w:szCs w:val="20"/>
              </w:rPr>
            </w:pPr>
          </w:p>
        </w:tc>
        <w:tc>
          <w:tcPr>
            <w:tcW w:w="1476" w:type="dxa"/>
            <w:tcBorders>
              <w:top w:val="nil"/>
              <w:left w:val="nil"/>
              <w:bottom w:val="nil"/>
              <w:right w:val="nil"/>
            </w:tcBorders>
          </w:tcPr>
          <w:p w:rsidR="00C01740" w:rsidRPr="00C01740" w:rsidRDefault="00C01740" w:rsidP="0064034F">
            <w:pPr>
              <w:rPr>
                <w:rFonts w:ascii="Times New Roman" w:hAnsi="Times New Roman" w:cs="Times New Roman"/>
                <w:color w:val="000000"/>
                <w:sz w:val="20"/>
                <w:szCs w:val="20"/>
              </w:rPr>
            </w:pPr>
          </w:p>
        </w:tc>
        <w:tc>
          <w:tcPr>
            <w:tcW w:w="1477" w:type="dxa"/>
            <w:tcBorders>
              <w:top w:val="nil"/>
              <w:left w:val="nil"/>
              <w:bottom w:val="nil"/>
              <w:right w:val="nil"/>
            </w:tcBorders>
            <w:shd w:val="clear" w:color="auto" w:fill="auto"/>
            <w:noWrap/>
            <w:tcMar>
              <w:top w:w="15" w:type="dxa"/>
              <w:left w:w="15" w:type="dxa"/>
              <w:bottom w:w="0" w:type="dxa"/>
              <w:right w:w="15" w:type="dxa"/>
            </w:tcMar>
            <w:vAlign w:val="bottom"/>
            <w:hideMark/>
          </w:tcPr>
          <w:p w:rsidR="00C01740" w:rsidRPr="00C01740" w:rsidRDefault="00C01740" w:rsidP="0064034F">
            <w:pPr>
              <w:rPr>
                <w:rFonts w:ascii="Times New Roman" w:hAnsi="Times New Roman" w:cs="Times New Roman"/>
                <w:color w:val="000000"/>
                <w:sz w:val="20"/>
                <w:szCs w:val="20"/>
              </w:rPr>
            </w:pPr>
          </w:p>
        </w:tc>
      </w:tr>
      <w:tr w:rsidR="00C01740" w:rsidRPr="00C01740" w:rsidTr="004067E6">
        <w:trPr>
          <w:trHeight w:val="160"/>
        </w:trPr>
        <w:tc>
          <w:tcPr>
            <w:tcW w:w="3633" w:type="dxa"/>
            <w:tcBorders>
              <w:top w:val="nil"/>
              <w:left w:val="nil"/>
              <w:bottom w:val="nil"/>
              <w:right w:val="nil"/>
            </w:tcBorders>
            <w:shd w:val="clear" w:color="auto" w:fill="auto"/>
            <w:noWrap/>
            <w:tcMar>
              <w:top w:w="15" w:type="dxa"/>
              <w:left w:w="15" w:type="dxa"/>
              <w:bottom w:w="0" w:type="dxa"/>
              <w:right w:w="15" w:type="dxa"/>
            </w:tcMar>
            <w:vAlign w:val="bottom"/>
            <w:hideMark/>
          </w:tcPr>
          <w:p w:rsidR="00C01740" w:rsidRPr="00C01740" w:rsidRDefault="00C01740" w:rsidP="00F9574F">
            <w:pPr>
              <w:ind w:right="183"/>
              <w:jc w:val="right"/>
              <w:rPr>
                <w:rFonts w:ascii="Times New Roman" w:hAnsi="Times New Roman" w:cs="Times New Roman"/>
                <w:color w:val="000000"/>
                <w:sz w:val="20"/>
                <w:szCs w:val="20"/>
              </w:rPr>
            </w:pPr>
            <w:r w:rsidRPr="00C01740">
              <w:rPr>
                <w:rFonts w:ascii="Times New Roman" w:hAnsi="Times New Roman" w:cs="Times New Roman"/>
                <w:color w:val="000000"/>
                <w:sz w:val="20"/>
                <w:szCs w:val="20"/>
              </w:rPr>
              <w:t>Sample 1</w:t>
            </w:r>
          </w:p>
        </w:tc>
        <w:tc>
          <w:tcPr>
            <w:tcW w:w="1476" w:type="dxa"/>
            <w:tcBorders>
              <w:top w:val="nil"/>
              <w:left w:val="nil"/>
              <w:bottom w:val="nil"/>
              <w:right w:val="nil"/>
            </w:tcBorders>
            <w:shd w:val="clear" w:color="auto" w:fill="auto"/>
            <w:noWrap/>
            <w:tcMar>
              <w:top w:w="15" w:type="dxa"/>
              <w:left w:w="15" w:type="dxa"/>
              <w:bottom w:w="0" w:type="dxa"/>
              <w:right w:w="15" w:type="dxa"/>
            </w:tcMar>
            <w:vAlign w:val="bottom"/>
          </w:tcPr>
          <w:p w:rsidR="00C01740" w:rsidRPr="00C01740" w:rsidRDefault="00C01740" w:rsidP="00F9574F">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44.6 (43.1-46.1)</w:t>
            </w:r>
          </w:p>
        </w:tc>
        <w:tc>
          <w:tcPr>
            <w:tcW w:w="1476" w:type="dxa"/>
            <w:tcBorders>
              <w:top w:val="nil"/>
              <w:left w:val="nil"/>
              <w:bottom w:val="nil"/>
              <w:right w:val="nil"/>
            </w:tcBorders>
            <w:shd w:val="clear" w:color="auto" w:fill="auto"/>
            <w:noWrap/>
            <w:tcMar>
              <w:top w:w="15" w:type="dxa"/>
              <w:left w:w="15" w:type="dxa"/>
              <w:bottom w:w="0" w:type="dxa"/>
              <w:right w:w="15" w:type="dxa"/>
            </w:tcMar>
            <w:vAlign w:val="bottom"/>
            <w:hideMark/>
          </w:tcPr>
          <w:p w:rsidR="00C01740" w:rsidRPr="00C01740" w:rsidRDefault="00C01740" w:rsidP="00F9574F">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46.3</w:t>
            </w:r>
          </w:p>
        </w:tc>
        <w:tc>
          <w:tcPr>
            <w:tcW w:w="1476" w:type="dxa"/>
            <w:tcBorders>
              <w:top w:val="nil"/>
              <w:left w:val="nil"/>
              <w:bottom w:val="nil"/>
              <w:right w:val="nil"/>
            </w:tcBorders>
            <w:vAlign w:val="bottom"/>
          </w:tcPr>
          <w:p w:rsidR="00C01740" w:rsidRPr="00C01740" w:rsidRDefault="00C01740" w:rsidP="00F9574F">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-1.7</w:t>
            </w:r>
          </w:p>
        </w:tc>
        <w:tc>
          <w:tcPr>
            <w:tcW w:w="1477" w:type="dxa"/>
            <w:tcBorders>
              <w:top w:val="nil"/>
              <w:left w:val="nil"/>
              <w:bottom w:val="nil"/>
              <w:right w:val="nil"/>
            </w:tcBorders>
            <w:shd w:val="clear" w:color="auto" w:fill="auto"/>
            <w:noWrap/>
            <w:tcMar>
              <w:top w:w="15" w:type="dxa"/>
              <w:left w:w="15" w:type="dxa"/>
              <w:bottom w:w="0" w:type="dxa"/>
              <w:right w:w="15" w:type="dxa"/>
            </w:tcMar>
            <w:vAlign w:val="bottom"/>
          </w:tcPr>
          <w:p w:rsidR="00C01740" w:rsidRPr="00C01740" w:rsidRDefault="00C01740" w:rsidP="00F9574F">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0.170</w:t>
            </w:r>
          </w:p>
        </w:tc>
      </w:tr>
      <w:tr w:rsidR="00C01740" w:rsidRPr="00C01740" w:rsidTr="004067E6">
        <w:trPr>
          <w:trHeight w:val="160"/>
        </w:trPr>
        <w:tc>
          <w:tcPr>
            <w:tcW w:w="3633" w:type="dxa"/>
            <w:tcBorders>
              <w:top w:val="nil"/>
              <w:left w:val="nil"/>
              <w:bottom w:val="nil"/>
              <w:right w:val="nil"/>
            </w:tcBorders>
            <w:shd w:val="clear" w:color="auto" w:fill="auto"/>
            <w:noWrap/>
            <w:tcMar>
              <w:top w:w="15" w:type="dxa"/>
              <w:left w:w="15" w:type="dxa"/>
              <w:bottom w:w="0" w:type="dxa"/>
              <w:right w:w="15" w:type="dxa"/>
            </w:tcMar>
            <w:vAlign w:val="bottom"/>
            <w:hideMark/>
          </w:tcPr>
          <w:p w:rsidR="00C01740" w:rsidRPr="00C01740" w:rsidRDefault="00C01740" w:rsidP="00F9574F">
            <w:pPr>
              <w:ind w:right="183"/>
              <w:jc w:val="right"/>
              <w:rPr>
                <w:rFonts w:ascii="Times New Roman" w:hAnsi="Times New Roman" w:cs="Times New Roman"/>
                <w:color w:val="000000"/>
                <w:sz w:val="20"/>
                <w:szCs w:val="20"/>
              </w:rPr>
            </w:pPr>
            <w:r w:rsidRPr="00C01740">
              <w:rPr>
                <w:rFonts w:ascii="Times New Roman" w:hAnsi="Times New Roman" w:cs="Times New Roman"/>
                <w:color w:val="000000"/>
                <w:sz w:val="20"/>
                <w:szCs w:val="20"/>
              </w:rPr>
              <w:t>Sample 2</w:t>
            </w:r>
          </w:p>
        </w:tc>
        <w:tc>
          <w:tcPr>
            <w:tcW w:w="1476" w:type="dxa"/>
            <w:tcBorders>
              <w:top w:val="nil"/>
              <w:left w:val="nil"/>
              <w:bottom w:val="nil"/>
              <w:right w:val="nil"/>
            </w:tcBorders>
            <w:shd w:val="clear" w:color="auto" w:fill="auto"/>
            <w:noWrap/>
            <w:tcMar>
              <w:top w:w="15" w:type="dxa"/>
              <w:left w:w="15" w:type="dxa"/>
              <w:bottom w:w="0" w:type="dxa"/>
              <w:right w:w="15" w:type="dxa"/>
            </w:tcMar>
            <w:vAlign w:val="bottom"/>
          </w:tcPr>
          <w:p w:rsidR="00C01740" w:rsidRPr="00C01740" w:rsidRDefault="00C01740" w:rsidP="00F9574F">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45.7 (44.2-47.2)</w:t>
            </w:r>
          </w:p>
        </w:tc>
        <w:tc>
          <w:tcPr>
            <w:tcW w:w="1476" w:type="dxa"/>
            <w:tcBorders>
              <w:top w:val="nil"/>
              <w:left w:val="nil"/>
              <w:bottom w:val="nil"/>
              <w:right w:val="nil"/>
            </w:tcBorders>
            <w:shd w:val="clear" w:color="auto" w:fill="auto"/>
            <w:noWrap/>
            <w:tcMar>
              <w:top w:w="15" w:type="dxa"/>
              <w:left w:w="15" w:type="dxa"/>
              <w:bottom w:w="0" w:type="dxa"/>
              <w:right w:w="15" w:type="dxa"/>
            </w:tcMar>
            <w:vAlign w:val="bottom"/>
            <w:hideMark/>
          </w:tcPr>
          <w:p w:rsidR="00C01740" w:rsidRPr="00C01740" w:rsidRDefault="00C01740" w:rsidP="00F9574F">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48.0</w:t>
            </w:r>
          </w:p>
        </w:tc>
        <w:tc>
          <w:tcPr>
            <w:tcW w:w="1476" w:type="dxa"/>
            <w:tcBorders>
              <w:top w:val="nil"/>
              <w:left w:val="nil"/>
              <w:bottom w:val="nil"/>
              <w:right w:val="nil"/>
            </w:tcBorders>
            <w:vAlign w:val="bottom"/>
          </w:tcPr>
          <w:p w:rsidR="00C01740" w:rsidRPr="00C01740" w:rsidRDefault="00C01740" w:rsidP="00F9574F">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-2.3</w:t>
            </w:r>
          </w:p>
        </w:tc>
        <w:tc>
          <w:tcPr>
            <w:tcW w:w="1477" w:type="dxa"/>
            <w:tcBorders>
              <w:top w:val="nil"/>
              <w:left w:val="nil"/>
              <w:bottom w:val="nil"/>
              <w:right w:val="nil"/>
            </w:tcBorders>
            <w:shd w:val="clear" w:color="auto" w:fill="auto"/>
            <w:noWrap/>
            <w:tcMar>
              <w:top w:w="15" w:type="dxa"/>
              <w:left w:w="15" w:type="dxa"/>
              <w:bottom w:w="0" w:type="dxa"/>
              <w:right w:w="15" w:type="dxa"/>
            </w:tcMar>
            <w:vAlign w:val="bottom"/>
          </w:tcPr>
          <w:p w:rsidR="00C01740" w:rsidRPr="00C01740" w:rsidRDefault="00C01740" w:rsidP="00F9574F">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0.073</w:t>
            </w:r>
          </w:p>
        </w:tc>
      </w:tr>
      <w:tr w:rsidR="00C01740" w:rsidRPr="00C01740" w:rsidTr="004067E6">
        <w:trPr>
          <w:trHeight w:val="160"/>
        </w:trPr>
        <w:tc>
          <w:tcPr>
            <w:tcW w:w="3633" w:type="dxa"/>
            <w:tcBorders>
              <w:top w:val="nil"/>
              <w:left w:val="nil"/>
              <w:bottom w:val="nil"/>
              <w:right w:val="nil"/>
            </w:tcBorders>
            <w:shd w:val="clear" w:color="auto" w:fill="auto"/>
            <w:noWrap/>
            <w:tcMar>
              <w:top w:w="15" w:type="dxa"/>
              <w:left w:w="15" w:type="dxa"/>
              <w:bottom w:w="0" w:type="dxa"/>
              <w:right w:w="15" w:type="dxa"/>
            </w:tcMar>
            <w:vAlign w:val="bottom"/>
            <w:hideMark/>
          </w:tcPr>
          <w:p w:rsidR="00C01740" w:rsidRPr="00C01740" w:rsidRDefault="00C01740" w:rsidP="00F9574F">
            <w:pPr>
              <w:ind w:right="183"/>
              <w:jc w:val="right"/>
              <w:rPr>
                <w:rFonts w:ascii="Times New Roman" w:hAnsi="Times New Roman" w:cs="Times New Roman"/>
                <w:color w:val="000000"/>
                <w:sz w:val="20"/>
                <w:szCs w:val="20"/>
              </w:rPr>
            </w:pPr>
            <w:r w:rsidRPr="00C01740">
              <w:rPr>
                <w:rFonts w:ascii="Times New Roman" w:hAnsi="Times New Roman" w:cs="Times New Roman"/>
                <w:color w:val="000000"/>
                <w:sz w:val="20"/>
                <w:szCs w:val="20"/>
              </w:rPr>
              <w:t>Sample 3</w:t>
            </w:r>
          </w:p>
        </w:tc>
        <w:tc>
          <w:tcPr>
            <w:tcW w:w="1476" w:type="dxa"/>
            <w:tcBorders>
              <w:top w:val="nil"/>
              <w:left w:val="nil"/>
              <w:bottom w:val="nil"/>
              <w:right w:val="nil"/>
            </w:tcBorders>
            <w:shd w:val="clear" w:color="auto" w:fill="auto"/>
            <w:noWrap/>
            <w:tcMar>
              <w:top w:w="15" w:type="dxa"/>
              <w:left w:w="15" w:type="dxa"/>
              <w:bottom w:w="0" w:type="dxa"/>
              <w:right w:w="15" w:type="dxa"/>
            </w:tcMar>
            <w:vAlign w:val="bottom"/>
          </w:tcPr>
          <w:p w:rsidR="00C01740" w:rsidRPr="00C01740" w:rsidRDefault="00C01740" w:rsidP="00F9574F">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46.5 (45.0-48.0)</w:t>
            </w:r>
          </w:p>
        </w:tc>
        <w:tc>
          <w:tcPr>
            <w:tcW w:w="1476" w:type="dxa"/>
            <w:tcBorders>
              <w:top w:val="nil"/>
              <w:left w:val="nil"/>
              <w:bottom w:val="nil"/>
              <w:right w:val="nil"/>
            </w:tcBorders>
            <w:shd w:val="clear" w:color="auto" w:fill="auto"/>
            <w:noWrap/>
            <w:tcMar>
              <w:top w:w="15" w:type="dxa"/>
              <w:left w:w="15" w:type="dxa"/>
              <w:bottom w:w="0" w:type="dxa"/>
              <w:right w:w="15" w:type="dxa"/>
            </w:tcMar>
            <w:vAlign w:val="bottom"/>
            <w:hideMark/>
          </w:tcPr>
          <w:p w:rsidR="00C01740" w:rsidRPr="00C01740" w:rsidRDefault="00C01740" w:rsidP="00F9574F">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47.7</w:t>
            </w:r>
          </w:p>
        </w:tc>
        <w:tc>
          <w:tcPr>
            <w:tcW w:w="1476" w:type="dxa"/>
            <w:tcBorders>
              <w:top w:val="nil"/>
              <w:left w:val="nil"/>
              <w:bottom w:val="nil"/>
              <w:right w:val="nil"/>
            </w:tcBorders>
            <w:vAlign w:val="bottom"/>
          </w:tcPr>
          <w:p w:rsidR="00C01740" w:rsidRPr="00C01740" w:rsidRDefault="00C01740" w:rsidP="00F9574F">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-1.2</w:t>
            </w:r>
          </w:p>
        </w:tc>
        <w:tc>
          <w:tcPr>
            <w:tcW w:w="1477" w:type="dxa"/>
            <w:tcBorders>
              <w:top w:val="nil"/>
              <w:left w:val="nil"/>
              <w:bottom w:val="nil"/>
              <w:right w:val="nil"/>
            </w:tcBorders>
            <w:shd w:val="clear" w:color="auto" w:fill="auto"/>
            <w:noWrap/>
            <w:tcMar>
              <w:top w:w="15" w:type="dxa"/>
              <w:left w:w="15" w:type="dxa"/>
              <w:bottom w:w="0" w:type="dxa"/>
              <w:right w:w="15" w:type="dxa"/>
            </w:tcMar>
            <w:vAlign w:val="bottom"/>
          </w:tcPr>
          <w:p w:rsidR="00C01740" w:rsidRPr="00C01740" w:rsidRDefault="00C01740" w:rsidP="00F9574F">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0.376</w:t>
            </w:r>
          </w:p>
        </w:tc>
      </w:tr>
      <w:tr w:rsidR="00C01740" w:rsidRPr="00C01740" w:rsidTr="004067E6">
        <w:trPr>
          <w:trHeight w:val="160"/>
        </w:trPr>
        <w:tc>
          <w:tcPr>
            <w:tcW w:w="3633" w:type="dxa"/>
            <w:tcBorders>
              <w:top w:val="nil"/>
              <w:left w:val="nil"/>
              <w:bottom w:val="nil"/>
              <w:right w:val="nil"/>
            </w:tcBorders>
            <w:shd w:val="clear" w:color="auto" w:fill="auto"/>
            <w:noWrap/>
            <w:tcMar>
              <w:top w:w="15" w:type="dxa"/>
              <w:left w:w="15" w:type="dxa"/>
              <w:bottom w:w="0" w:type="dxa"/>
              <w:right w:w="15" w:type="dxa"/>
            </w:tcMar>
            <w:vAlign w:val="bottom"/>
            <w:hideMark/>
          </w:tcPr>
          <w:p w:rsidR="00C01740" w:rsidRPr="00C01740" w:rsidRDefault="00C01740" w:rsidP="0064034F">
            <w:pPr>
              <w:ind w:right="183"/>
              <w:rPr>
                <w:rFonts w:ascii="Times New Roman" w:hAnsi="Times New Roman" w:cs="Times New Roman"/>
                <w:color w:val="000000"/>
                <w:sz w:val="20"/>
                <w:szCs w:val="20"/>
              </w:rPr>
            </w:pPr>
          </w:p>
        </w:tc>
        <w:tc>
          <w:tcPr>
            <w:tcW w:w="1476" w:type="dxa"/>
            <w:tcBorders>
              <w:top w:val="nil"/>
              <w:left w:val="nil"/>
              <w:bottom w:val="nil"/>
              <w:right w:val="nil"/>
            </w:tcBorders>
            <w:shd w:val="clear" w:color="auto" w:fill="auto"/>
            <w:noWrap/>
            <w:tcMar>
              <w:top w:w="15" w:type="dxa"/>
              <w:left w:w="15" w:type="dxa"/>
              <w:bottom w:w="0" w:type="dxa"/>
              <w:right w:w="15" w:type="dxa"/>
            </w:tcMar>
            <w:vAlign w:val="bottom"/>
          </w:tcPr>
          <w:p w:rsidR="00C01740" w:rsidRPr="00C01740" w:rsidRDefault="00C01740" w:rsidP="0064034F">
            <w:pPr>
              <w:jc w:val="center"/>
              <w:rPr>
                <w:rFonts w:ascii="Times New Roman" w:hAnsi="Times New Roman" w:cs="Times New Roman"/>
                <w:color w:val="000000"/>
                <w:sz w:val="20"/>
                <w:szCs w:val="20"/>
              </w:rPr>
            </w:pPr>
          </w:p>
        </w:tc>
        <w:tc>
          <w:tcPr>
            <w:tcW w:w="1476" w:type="dxa"/>
            <w:tcBorders>
              <w:top w:val="nil"/>
              <w:left w:val="nil"/>
              <w:bottom w:val="nil"/>
              <w:right w:val="nil"/>
            </w:tcBorders>
            <w:shd w:val="clear" w:color="auto" w:fill="auto"/>
            <w:noWrap/>
            <w:tcMar>
              <w:top w:w="15" w:type="dxa"/>
              <w:left w:w="15" w:type="dxa"/>
              <w:bottom w:w="0" w:type="dxa"/>
              <w:right w:w="15" w:type="dxa"/>
            </w:tcMar>
            <w:vAlign w:val="bottom"/>
            <w:hideMark/>
          </w:tcPr>
          <w:p w:rsidR="00C01740" w:rsidRPr="00C01740" w:rsidRDefault="00C01740" w:rsidP="0064034F">
            <w:pPr>
              <w:jc w:val="center"/>
              <w:rPr>
                <w:rFonts w:ascii="Times New Roman" w:hAnsi="Times New Roman" w:cs="Times New Roman"/>
                <w:color w:val="000000"/>
                <w:sz w:val="20"/>
                <w:szCs w:val="20"/>
              </w:rPr>
            </w:pPr>
          </w:p>
        </w:tc>
        <w:tc>
          <w:tcPr>
            <w:tcW w:w="1476" w:type="dxa"/>
            <w:tcBorders>
              <w:top w:val="nil"/>
              <w:left w:val="nil"/>
              <w:bottom w:val="nil"/>
              <w:right w:val="nil"/>
            </w:tcBorders>
            <w:vAlign w:val="bottom"/>
          </w:tcPr>
          <w:p w:rsidR="00C01740" w:rsidRPr="00C01740" w:rsidRDefault="00C01740" w:rsidP="0064034F">
            <w:pPr>
              <w:jc w:val="center"/>
              <w:rPr>
                <w:rFonts w:ascii="Times New Roman" w:hAnsi="Times New Roman" w:cs="Times New Roman"/>
                <w:color w:val="000000"/>
                <w:sz w:val="20"/>
                <w:szCs w:val="20"/>
              </w:rPr>
            </w:pPr>
          </w:p>
        </w:tc>
        <w:tc>
          <w:tcPr>
            <w:tcW w:w="1477" w:type="dxa"/>
            <w:tcBorders>
              <w:top w:val="nil"/>
              <w:left w:val="nil"/>
              <w:bottom w:val="nil"/>
              <w:right w:val="nil"/>
            </w:tcBorders>
            <w:shd w:val="clear" w:color="auto" w:fill="auto"/>
            <w:noWrap/>
            <w:tcMar>
              <w:top w:w="15" w:type="dxa"/>
              <w:left w:w="15" w:type="dxa"/>
              <w:bottom w:w="0" w:type="dxa"/>
              <w:right w:w="15" w:type="dxa"/>
            </w:tcMar>
            <w:vAlign w:val="bottom"/>
          </w:tcPr>
          <w:p w:rsidR="00C01740" w:rsidRPr="00C01740" w:rsidRDefault="00C01740" w:rsidP="0064034F">
            <w:pPr>
              <w:jc w:val="center"/>
              <w:rPr>
                <w:rFonts w:ascii="Times New Roman" w:hAnsi="Times New Roman" w:cs="Times New Roman"/>
                <w:color w:val="000000"/>
                <w:sz w:val="20"/>
                <w:szCs w:val="20"/>
              </w:rPr>
            </w:pPr>
          </w:p>
        </w:tc>
      </w:tr>
      <w:tr w:rsidR="00C01740" w:rsidRPr="00C01740" w:rsidTr="004067E6">
        <w:trPr>
          <w:trHeight w:val="160"/>
        </w:trPr>
        <w:tc>
          <w:tcPr>
            <w:tcW w:w="3633" w:type="dxa"/>
            <w:tcBorders>
              <w:top w:val="nil"/>
              <w:left w:val="nil"/>
              <w:bottom w:val="nil"/>
              <w:right w:val="nil"/>
            </w:tcBorders>
            <w:shd w:val="clear" w:color="auto" w:fill="auto"/>
            <w:noWrap/>
            <w:tcMar>
              <w:top w:w="15" w:type="dxa"/>
              <w:left w:w="15" w:type="dxa"/>
              <w:bottom w:w="0" w:type="dxa"/>
              <w:right w:w="15" w:type="dxa"/>
            </w:tcMar>
            <w:vAlign w:val="bottom"/>
            <w:hideMark/>
          </w:tcPr>
          <w:p w:rsidR="00C01740" w:rsidRPr="00C01740" w:rsidRDefault="00C01740" w:rsidP="0064034F">
            <w:pPr>
              <w:ind w:right="183"/>
              <w:rPr>
                <w:rFonts w:ascii="Times New Roman" w:hAnsi="Times New Roman" w:cs="Times New Roman"/>
                <w:color w:val="000000"/>
                <w:sz w:val="20"/>
                <w:szCs w:val="20"/>
              </w:rPr>
            </w:pPr>
            <w:r w:rsidRPr="00C01740">
              <w:rPr>
                <w:rFonts w:ascii="Times New Roman" w:hAnsi="Times New Roman" w:cs="Times New Roman"/>
                <w:color w:val="000000"/>
                <w:sz w:val="20"/>
                <w:szCs w:val="20"/>
              </w:rPr>
              <w:t>Pooled random samples (n = 3000)</w:t>
            </w:r>
          </w:p>
        </w:tc>
        <w:tc>
          <w:tcPr>
            <w:tcW w:w="1476" w:type="dxa"/>
            <w:tcBorders>
              <w:top w:val="nil"/>
              <w:left w:val="nil"/>
              <w:bottom w:val="nil"/>
              <w:right w:val="nil"/>
            </w:tcBorders>
            <w:shd w:val="clear" w:color="auto" w:fill="auto"/>
            <w:noWrap/>
            <w:tcMar>
              <w:top w:w="15" w:type="dxa"/>
              <w:left w:w="15" w:type="dxa"/>
              <w:bottom w:w="0" w:type="dxa"/>
              <w:right w:w="15" w:type="dxa"/>
            </w:tcMar>
            <w:vAlign w:val="bottom"/>
          </w:tcPr>
          <w:p w:rsidR="00C01740" w:rsidRPr="00C01740" w:rsidRDefault="00C01740" w:rsidP="0064034F">
            <w:pPr>
              <w:jc w:val="center"/>
              <w:rPr>
                <w:rFonts w:ascii="Times New Roman" w:hAnsi="Times New Roman" w:cs="Times New Roman"/>
                <w:color w:val="000000"/>
                <w:sz w:val="20"/>
                <w:szCs w:val="20"/>
              </w:rPr>
            </w:pPr>
          </w:p>
        </w:tc>
        <w:tc>
          <w:tcPr>
            <w:tcW w:w="1476" w:type="dxa"/>
            <w:tcBorders>
              <w:top w:val="nil"/>
              <w:left w:val="nil"/>
              <w:bottom w:val="nil"/>
              <w:right w:val="nil"/>
            </w:tcBorders>
            <w:shd w:val="clear" w:color="auto" w:fill="auto"/>
            <w:noWrap/>
            <w:tcMar>
              <w:top w:w="15" w:type="dxa"/>
              <w:left w:w="15" w:type="dxa"/>
              <w:bottom w:w="0" w:type="dxa"/>
              <w:right w:w="15" w:type="dxa"/>
            </w:tcMar>
            <w:vAlign w:val="bottom"/>
            <w:hideMark/>
          </w:tcPr>
          <w:p w:rsidR="00C01740" w:rsidRPr="00C01740" w:rsidRDefault="00C01740" w:rsidP="0064034F">
            <w:pPr>
              <w:jc w:val="center"/>
              <w:rPr>
                <w:rFonts w:ascii="Times New Roman" w:hAnsi="Times New Roman" w:cs="Times New Roman"/>
                <w:color w:val="000000"/>
                <w:sz w:val="20"/>
                <w:szCs w:val="20"/>
              </w:rPr>
            </w:pPr>
          </w:p>
        </w:tc>
        <w:tc>
          <w:tcPr>
            <w:tcW w:w="1476" w:type="dxa"/>
            <w:tcBorders>
              <w:top w:val="nil"/>
              <w:left w:val="nil"/>
              <w:bottom w:val="nil"/>
              <w:right w:val="nil"/>
            </w:tcBorders>
            <w:vAlign w:val="bottom"/>
          </w:tcPr>
          <w:p w:rsidR="00C01740" w:rsidRPr="00C01740" w:rsidRDefault="00C01740" w:rsidP="0064034F">
            <w:pPr>
              <w:jc w:val="center"/>
              <w:rPr>
                <w:rFonts w:ascii="Times New Roman" w:hAnsi="Times New Roman" w:cs="Times New Roman"/>
                <w:color w:val="000000"/>
                <w:sz w:val="20"/>
                <w:szCs w:val="20"/>
              </w:rPr>
            </w:pPr>
          </w:p>
        </w:tc>
        <w:tc>
          <w:tcPr>
            <w:tcW w:w="1477" w:type="dxa"/>
            <w:tcBorders>
              <w:top w:val="nil"/>
              <w:left w:val="nil"/>
              <w:bottom w:val="nil"/>
              <w:right w:val="nil"/>
            </w:tcBorders>
            <w:shd w:val="clear" w:color="auto" w:fill="auto"/>
            <w:noWrap/>
            <w:tcMar>
              <w:top w:w="15" w:type="dxa"/>
              <w:left w:w="15" w:type="dxa"/>
              <w:bottom w:w="0" w:type="dxa"/>
              <w:right w:w="15" w:type="dxa"/>
            </w:tcMar>
            <w:vAlign w:val="bottom"/>
          </w:tcPr>
          <w:p w:rsidR="00C01740" w:rsidRPr="00C01740" w:rsidRDefault="00C01740" w:rsidP="0064034F">
            <w:pPr>
              <w:jc w:val="center"/>
              <w:rPr>
                <w:rFonts w:ascii="Times New Roman" w:hAnsi="Times New Roman" w:cs="Times New Roman"/>
                <w:color w:val="000000"/>
                <w:sz w:val="20"/>
                <w:szCs w:val="20"/>
              </w:rPr>
            </w:pPr>
          </w:p>
        </w:tc>
      </w:tr>
      <w:tr w:rsidR="00C01740" w:rsidRPr="00C01740" w:rsidTr="00ED0A8A">
        <w:trPr>
          <w:trHeight w:val="160"/>
        </w:trPr>
        <w:tc>
          <w:tcPr>
            <w:tcW w:w="3633" w:type="dxa"/>
            <w:tcBorders>
              <w:top w:val="nil"/>
              <w:left w:val="nil"/>
              <w:bottom w:val="nil"/>
              <w:right w:val="nil"/>
            </w:tcBorders>
            <w:shd w:val="clear" w:color="auto" w:fill="auto"/>
            <w:noWrap/>
            <w:tcMar>
              <w:top w:w="15" w:type="dxa"/>
              <w:left w:w="15" w:type="dxa"/>
              <w:bottom w:w="0" w:type="dxa"/>
              <w:right w:w="15" w:type="dxa"/>
            </w:tcMar>
            <w:vAlign w:val="bottom"/>
            <w:hideMark/>
          </w:tcPr>
          <w:p w:rsidR="00C01740" w:rsidRPr="00C01740" w:rsidRDefault="00C01740" w:rsidP="00F9574F">
            <w:pPr>
              <w:ind w:right="183"/>
              <w:jc w:val="right"/>
              <w:rPr>
                <w:rFonts w:ascii="Times New Roman" w:hAnsi="Times New Roman" w:cs="Times New Roman"/>
                <w:color w:val="000000"/>
                <w:sz w:val="20"/>
                <w:szCs w:val="20"/>
              </w:rPr>
            </w:pPr>
            <w:r w:rsidRPr="00C01740">
              <w:rPr>
                <w:rFonts w:ascii="Times New Roman" w:hAnsi="Times New Roman" w:cs="Times New Roman"/>
                <w:color w:val="000000"/>
                <w:sz w:val="20"/>
                <w:szCs w:val="20"/>
              </w:rPr>
              <w:t>Sample 1</w:t>
            </w:r>
          </w:p>
        </w:tc>
        <w:tc>
          <w:tcPr>
            <w:tcW w:w="1476" w:type="dxa"/>
            <w:tcBorders>
              <w:top w:val="nil"/>
              <w:left w:val="nil"/>
              <w:bottom w:val="nil"/>
              <w:right w:val="nil"/>
            </w:tcBorders>
            <w:shd w:val="clear" w:color="auto" w:fill="auto"/>
            <w:noWrap/>
            <w:tcMar>
              <w:top w:w="15" w:type="dxa"/>
              <w:left w:w="15" w:type="dxa"/>
              <w:bottom w:w="0" w:type="dxa"/>
              <w:right w:w="15" w:type="dxa"/>
            </w:tcMar>
            <w:vAlign w:val="center"/>
          </w:tcPr>
          <w:p w:rsidR="00C01740" w:rsidRPr="00C01740" w:rsidRDefault="00C01740" w:rsidP="00F9574F">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45.3 (44.2-46.3)</w:t>
            </w:r>
          </w:p>
        </w:tc>
        <w:tc>
          <w:tcPr>
            <w:tcW w:w="1476" w:type="dxa"/>
            <w:tcBorders>
              <w:top w:val="nil"/>
              <w:left w:val="nil"/>
              <w:bottom w:val="nil"/>
              <w:right w:val="nil"/>
            </w:tcBorders>
            <w:shd w:val="clear" w:color="auto" w:fill="auto"/>
            <w:noWrap/>
            <w:tcMar>
              <w:top w:w="15" w:type="dxa"/>
              <w:left w:w="15" w:type="dxa"/>
              <w:bottom w:w="0" w:type="dxa"/>
              <w:right w:w="15" w:type="dxa"/>
            </w:tcMar>
            <w:vAlign w:val="bottom"/>
            <w:hideMark/>
          </w:tcPr>
          <w:p w:rsidR="00C01740" w:rsidRPr="00C01740" w:rsidRDefault="00C01740" w:rsidP="00F9574F">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46.4</w:t>
            </w:r>
          </w:p>
        </w:tc>
        <w:tc>
          <w:tcPr>
            <w:tcW w:w="1476" w:type="dxa"/>
            <w:tcBorders>
              <w:top w:val="nil"/>
              <w:left w:val="nil"/>
              <w:bottom w:val="nil"/>
              <w:right w:val="nil"/>
            </w:tcBorders>
            <w:vAlign w:val="bottom"/>
          </w:tcPr>
          <w:p w:rsidR="00C01740" w:rsidRPr="00C01740" w:rsidRDefault="00C01740" w:rsidP="00F9574F">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-1.1</w:t>
            </w:r>
          </w:p>
        </w:tc>
        <w:tc>
          <w:tcPr>
            <w:tcW w:w="1477" w:type="dxa"/>
            <w:tcBorders>
              <w:top w:val="nil"/>
              <w:left w:val="nil"/>
              <w:bottom w:val="nil"/>
              <w:right w:val="nil"/>
            </w:tcBorders>
            <w:shd w:val="clear" w:color="auto" w:fill="auto"/>
            <w:noWrap/>
            <w:tcMar>
              <w:top w:w="15" w:type="dxa"/>
              <w:left w:w="15" w:type="dxa"/>
              <w:bottom w:w="0" w:type="dxa"/>
              <w:right w:w="15" w:type="dxa"/>
            </w:tcMar>
            <w:vAlign w:val="center"/>
          </w:tcPr>
          <w:p w:rsidR="00C01740" w:rsidRPr="00C01740" w:rsidRDefault="00C01740" w:rsidP="00F9574F">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0.196</w:t>
            </w:r>
          </w:p>
        </w:tc>
      </w:tr>
      <w:tr w:rsidR="00C01740" w:rsidRPr="00C01740" w:rsidTr="00ED0A8A">
        <w:trPr>
          <w:trHeight w:val="160"/>
        </w:trPr>
        <w:tc>
          <w:tcPr>
            <w:tcW w:w="3633" w:type="dxa"/>
            <w:tcBorders>
              <w:top w:val="nil"/>
              <w:left w:val="nil"/>
              <w:bottom w:val="nil"/>
              <w:right w:val="nil"/>
            </w:tcBorders>
            <w:shd w:val="clear" w:color="auto" w:fill="auto"/>
            <w:noWrap/>
            <w:tcMar>
              <w:top w:w="15" w:type="dxa"/>
              <w:left w:w="15" w:type="dxa"/>
              <w:bottom w:w="0" w:type="dxa"/>
              <w:right w:w="15" w:type="dxa"/>
            </w:tcMar>
            <w:vAlign w:val="bottom"/>
            <w:hideMark/>
          </w:tcPr>
          <w:p w:rsidR="00C01740" w:rsidRPr="00C01740" w:rsidRDefault="00C01740" w:rsidP="00F9574F">
            <w:pPr>
              <w:ind w:right="183"/>
              <w:jc w:val="right"/>
              <w:rPr>
                <w:rFonts w:ascii="Times New Roman" w:hAnsi="Times New Roman" w:cs="Times New Roman"/>
                <w:color w:val="000000"/>
                <w:sz w:val="20"/>
                <w:szCs w:val="20"/>
              </w:rPr>
            </w:pPr>
            <w:r w:rsidRPr="00C01740">
              <w:rPr>
                <w:rFonts w:ascii="Times New Roman" w:hAnsi="Times New Roman" w:cs="Times New Roman"/>
                <w:color w:val="000000"/>
                <w:sz w:val="20"/>
                <w:szCs w:val="20"/>
              </w:rPr>
              <w:t>Sample 2</w:t>
            </w:r>
          </w:p>
        </w:tc>
        <w:tc>
          <w:tcPr>
            <w:tcW w:w="1476" w:type="dxa"/>
            <w:tcBorders>
              <w:top w:val="nil"/>
              <w:left w:val="nil"/>
              <w:bottom w:val="nil"/>
              <w:right w:val="nil"/>
            </w:tcBorders>
            <w:shd w:val="clear" w:color="auto" w:fill="auto"/>
            <w:noWrap/>
            <w:tcMar>
              <w:top w:w="15" w:type="dxa"/>
              <w:left w:w="15" w:type="dxa"/>
              <w:bottom w:w="0" w:type="dxa"/>
              <w:right w:w="15" w:type="dxa"/>
            </w:tcMar>
            <w:vAlign w:val="center"/>
          </w:tcPr>
          <w:p w:rsidR="00C01740" w:rsidRPr="00C01740" w:rsidRDefault="00C01740" w:rsidP="00F9574F">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44.9 (43.9-45.9)</w:t>
            </w:r>
          </w:p>
        </w:tc>
        <w:tc>
          <w:tcPr>
            <w:tcW w:w="1476" w:type="dxa"/>
            <w:tcBorders>
              <w:top w:val="nil"/>
              <w:left w:val="nil"/>
              <w:bottom w:val="nil"/>
              <w:right w:val="nil"/>
            </w:tcBorders>
            <w:shd w:val="clear" w:color="auto" w:fill="auto"/>
            <w:noWrap/>
            <w:tcMar>
              <w:top w:w="15" w:type="dxa"/>
              <w:left w:w="15" w:type="dxa"/>
              <w:bottom w:w="0" w:type="dxa"/>
              <w:right w:w="15" w:type="dxa"/>
            </w:tcMar>
            <w:vAlign w:val="bottom"/>
            <w:hideMark/>
          </w:tcPr>
          <w:p w:rsidR="00C01740" w:rsidRPr="00C01740" w:rsidRDefault="00C01740" w:rsidP="00F9574F">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45.5</w:t>
            </w:r>
          </w:p>
        </w:tc>
        <w:tc>
          <w:tcPr>
            <w:tcW w:w="1476" w:type="dxa"/>
            <w:tcBorders>
              <w:top w:val="nil"/>
              <w:left w:val="nil"/>
              <w:bottom w:val="nil"/>
              <w:right w:val="nil"/>
            </w:tcBorders>
            <w:vAlign w:val="bottom"/>
          </w:tcPr>
          <w:p w:rsidR="00C01740" w:rsidRPr="00C01740" w:rsidRDefault="00C01740" w:rsidP="00F9574F">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-0.6</w:t>
            </w:r>
          </w:p>
        </w:tc>
        <w:tc>
          <w:tcPr>
            <w:tcW w:w="1477" w:type="dxa"/>
            <w:tcBorders>
              <w:top w:val="nil"/>
              <w:left w:val="nil"/>
              <w:bottom w:val="nil"/>
              <w:right w:val="nil"/>
            </w:tcBorders>
            <w:shd w:val="clear" w:color="auto" w:fill="auto"/>
            <w:noWrap/>
            <w:tcMar>
              <w:top w:w="15" w:type="dxa"/>
              <w:left w:w="15" w:type="dxa"/>
              <w:bottom w:w="0" w:type="dxa"/>
              <w:right w:w="15" w:type="dxa"/>
            </w:tcMar>
            <w:vAlign w:val="center"/>
          </w:tcPr>
          <w:p w:rsidR="00C01740" w:rsidRPr="00C01740" w:rsidRDefault="00C01740" w:rsidP="00F9574F">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0.498</w:t>
            </w:r>
          </w:p>
        </w:tc>
      </w:tr>
      <w:tr w:rsidR="00C01740" w:rsidRPr="00C01740" w:rsidTr="00ED0A8A">
        <w:trPr>
          <w:trHeight w:val="160"/>
        </w:trPr>
        <w:tc>
          <w:tcPr>
            <w:tcW w:w="3633" w:type="dxa"/>
            <w:tcBorders>
              <w:top w:val="nil"/>
              <w:left w:val="nil"/>
              <w:bottom w:val="nil"/>
              <w:right w:val="nil"/>
            </w:tcBorders>
            <w:shd w:val="clear" w:color="auto" w:fill="auto"/>
            <w:noWrap/>
            <w:tcMar>
              <w:top w:w="15" w:type="dxa"/>
              <w:left w:w="15" w:type="dxa"/>
              <w:bottom w:w="0" w:type="dxa"/>
              <w:right w:w="15" w:type="dxa"/>
            </w:tcMar>
            <w:vAlign w:val="bottom"/>
            <w:hideMark/>
          </w:tcPr>
          <w:p w:rsidR="00C01740" w:rsidRPr="00C01740" w:rsidRDefault="00C01740" w:rsidP="00F9574F">
            <w:pPr>
              <w:ind w:right="183"/>
              <w:jc w:val="right"/>
              <w:rPr>
                <w:rFonts w:ascii="Times New Roman" w:hAnsi="Times New Roman" w:cs="Times New Roman"/>
                <w:color w:val="000000"/>
                <w:sz w:val="20"/>
                <w:szCs w:val="20"/>
              </w:rPr>
            </w:pPr>
            <w:r w:rsidRPr="00C01740">
              <w:rPr>
                <w:rFonts w:ascii="Times New Roman" w:hAnsi="Times New Roman" w:cs="Times New Roman"/>
                <w:color w:val="000000"/>
                <w:sz w:val="20"/>
                <w:szCs w:val="20"/>
              </w:rPr>
              <w:t>Sample 3</w:t>
            </w:r>
          </w:p>
        </w:tc>
        <w:tc>
          <w:tcPr>
            <w:tcW w:w="1476" w:type="dxa"/>
            <w:tcBorders>
              <w:top w:val="nil"/>
              <w:left w:val="nil"/>
              <w:bottom w:val="nil"/>
              <w:right w:val="nil"/>
            </w:tcBorders>
            <w:shd w:val="clear" w:color="auto" w:fill="auto"/>
            <w:noWrap/>
            <w:tcMar>
              <w:top w:w="15" w:type="dxa"/>
              <w:left w:w="15" w:type="dxa"/>
              <w:bottom w:w="0" w:type="dxa"/>
              <w:right w:w="15" w:type="dxa"/>
            </w:tcMar>
            <w:vAlign w:val="center"/>
          </w:tcPr>
          <w:p w:rsidR="00C01740" w:rsidRPr="00C01740" w:rsidRDefault="00C01740" w:rsidP="00F9574F">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45.2 (44.2-46.2)</w:t>
            </w:r>
          </w:p>
        </w:tc>
        <w:tc>
          <w:tcPr>
            <w:tcW w:w="1476" w:type="dxa"/>
            <w:tcBorders>
              <w:top w:val="nil"/>
              <w:left w:val="nil"/>
              <w:bottom w:val="nil"/>
              <w:right w:val="nil"/>
            </w:tcBorders>
            <w:shd w:val="clear" w:color="auto" w:fill="auto"/>
            <w:noWrap/>
            <w:tcMar>
              <w:top w:w="15" w:type="dxa"/>
              <w:left w:w="15" w:type="dxa"/>
              <w:bottom w:w="0" w:type="dxa"/>
              <w:right w:w="15" w:type="dxa"/>
            </w:tcMar>
            <w:vAlign w:val="bottom"/>
            <w:hideMark/>
          </w:tcPr>
          <w:p w:rsidR="00C01740" w:rsidRPr="00C01740" w:rsidRDefault="00C01740" w:rsidP="00F9574F">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46.3</w:t>
            </w:r>
          </w:p>
        </w:tc>
        <w:tc>
          <w:tcPr>
            <w:tcW w:w="1476" w:type="dxa"/>
            <w:tcBorders>
              <w:top w:val="nil"/>
              <w:left w:val="nil"/>
              <w:bottom w:val="nil"/>
              <w:right w:val="nil"/>
            </w:tcBorders>
            <w:vAlign w:val="bottom"/>
          </w:tcPr>
          <w:p w:rsidR="00C01740" w:rsidRPr="00C01740" w:rsidRDefault="00C01740" w:rsidP="00F9574F">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-1.1</w:t>
            </w:r>
          </w:p>
        </w:tc>
        <w:tc>
          <w:tcPr>
            <w:tcW w:w="1477" w:type="dxa"/>
            <w:tcBorders>
              <w:top w:val="nil"/>
              <w:left w:val="nil"/>
              <w:bottom w:val="nil"/>
              <w:right w:val="nil"/>
            </w:tcBorders>
            <w:shd w:val="clear" w:color="auto" w:fill="auto"/>
            <w:noWrap/>
            <w:tcMar>
              <w:top w:w="15" w:type="dxa"/>
              <w:left w:w="15" w:type="dxa"/>
              <w:bottom w:w="0" w:type="dxa"/>
              <w:right w:w="15" w:type="dxa"/>
            </w:tcMar>
            <w:vAlign w:val="center"/>
          </w:tcPr>
          <w:p w:rsidR="00C01740" w:rsidRPr="00C01740" w:rsidRDefault="00C01740" w:rsidP="00F9574F">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0.218</w:t>
            </w:r>
          </w:p>
        </w:tc>
      </w:tr>
      <w:tr w:rsidR="00C01740" w:rsidRPr="00C01740" w:rsidTr="004067E6">
        <w:trPr>
          <w:trHeight w:val="160"/>
        </w:trPr>
        <w:tc>
          <w:tcPr>
            <w:tcW w:w="3633" w:type="dxa"/>
            <w:tcBorders>
              <w:top w:val="nil"/>
              <w:left w:val="nil"/>
              <w:bottom w:val="nil"/>
              <w:right w:val="nil"/>
            </w:tcBorders>
            <w:shd w:val="clear" w:color="auto" w:fill="auto"/>
            <w:noWrap/>
            <w:tcMar>
              <w:top w:w="15" w:type="dxa"/>
              <w:left w:w="15" w:type="dxa"/>
              <w:bottom w:w="0" w:type="dxa"/>
              <w:right w:w="15" w:type="dxa"/>
            </w:tcMar>
            <w:vAlign w:val="bottom"/>
            <w:hideMark/>
          </w:tcPr>
          <w:p w:rsidR="00C01740" w:rsidRPr="00C01740" w:rsidRDefault="00C01740" w:rsidP="0064034F">
            <w:pPr>
              <w:ind w:right="183"/>
              <w:rPr>
                <w:rFonts w:ascii="Times New Roman" w:hAnsi="Times New Roman" w:cs="Times New Roman"/>
                <w:color w:val="000000"/>
                <w:sz w:val="20"/>
                <w:szCs w:val="20"/>
              </w:rPr>
            </w:pPr>
          </w:p>
        </w:tc>
        <w:tc>
          <w:tcPr>
            <w:tcW w:w="1476" w:type="dxa"/>
            <w:tcBorders>
              <w:top w:val="nil"/>
              <w:left w:val="nil"/>
              <w:bottom w:val="nil"/>
              <w:right w:val="nil"/>
            </w:tcBorders>
            <w:shd w:val="clear" w:color="auto" w:fill="auto"/>
            <w:noWrap/>
            <w:tcMar>
              <w:top w:w="15" w:type="dxa"/>
              <w:left w:w="15" w:type="dxa"/>
              <w:bottom w:w="0" w:type="dxa"/>
              <w:right w:w="15" w:type="dxa"/>
            </w:tcMar>
            <w:vAlign w:val="bottom"/>
          </w:tcPr>
          <w:p w:rsidR="00C01740" w:rsidRPr="00C01740" w:rsidRDefault="00C01740" w:rsidP="0064034F">
            <w:pPr>
              <w:jc w:val="center"/>
              <w:rPr>
                <w:rFonts w:ascii="Times New Roman" w:hAnsi="Times New Roman" w:cs="Times New Roman"/>
                <w:color w:val="000000"/>
                <w:sz w:val="20"/>
                <w:szCs w:val="20"/>
              </w:rPr>
            </w:pPr>
          </w:p>
        </w:tc>
        <w:tc>
          <w:tcPr>
            <w:tcW w:w="1476" w:type="dxa"/>
            <w:tcBorders>
              <w:top w:val="nil"/>
              <w:left w:val="nil"/>
              <w:bottom w:val="nil"/>
              <w:right w:val="nil"/>
            </w:tcBorders>
            <w:shd w:val="clear" w:color="auto" w:fill="auto"/>
            <w:noWrap/>
            <w:tcMar>
              <w:top w:w="15" w:type="dxa"/>
              <w:left w:w="15" w:type="dxa"/>
              <w:bottom w:w="0" w:type="dxa"/>
              <w:right w:w="15" w:type="dxa"/>
            </w:tcMar>
            <w:vAlign w:val="bottom"/>
            <w:hideMark/>
          </w:tcPr>
          <w:p w:rsidR="00C01740" w:rsidRPr="00C01740" w:rsidRDefault="00C01740" w:rsidP="0064034F">
            <w:pPr>
              <w:jc w:val="center"/>
              <w:rPr>
                <w:rFonts w:ascii="Times New Roman" w:hAnsi="Times New Roman" w:cs="Times New Roman"/>
                <w:color w:val="000000"/>
                <w:sz w:val="20"/>
                <w:szCs w:val="20"/>
              </w:rPr>
            </w:pPr>
          </w:p>
        </w:tc>
        <w:tc>
          <w:tcPr>
            <w:tcW w:w="1476" w:type="dxa"/>
            <w:tcBorders>
              <w:top w:val="nil"/>
              <w:left w:val="nil"/>
              <w:bottom w:val="nil"/>
              <w:right w:val="nil"/>
            </w:tcBorders>
            <w:vAlign w:val="bottom"/>
          </w:tcPr>
          <w:p w:rsidR="00C01740" w:rsidRPr="00C01740" w:rsidRDefault="00C01740" w:rsidP="0064034F">
            <w:pPr>
              <w:jc w:val="center"/>
              <w:rPr>
                <w:rFonts w:ascii="Times New Roman" w:hAnsi="Times New Roman" w:cs="Times New Roman"/>
                <w:color w:val="000000"/>
                <w:sz w:val="20"/>
                <w:szCs w:val="20"/>
              </w:rPr>
            </w:pPr>
          </w:p>
        </w:tc>
        <w:tc>
          <w:tcPr>
            <w:tcW w:w="1477" w:type="dxa"/>
            <w:tcBorders>
              <w:top w:val="nil"/>
              <w:left w:val="nil"/>
              <w:bottom w:val="nil"/>
              <w:right w:val="nil"/>
            </w:tcBorders>
            <w:shd w:val="clear" w:color="auto" w:fill="auto"/>
            <w:noWrap/>
            <w:tcMar>
              <w:top w:w="15" w:type="dxa"/>
              <w:left w:w="15" w:type="dxa"/>
              <w:bottom w:w="0" w:type="dxa"/>
              <w:right w:w="15" w:type="dxa"/>
            </w:tcMar>
            <w:vAlign w:val="bottom"/>
          </w:tcPr>
          <w:p w:rsidR="00C01740" w:rsidRPr="00C01740" w:rsidRDefault="00C01740" w:rsidP="0064034F">
            <w:pPr>
              <w:jc w:val="center"/>
              <w:rPr>
                <w:rFonts w:ascii="Times New Roman" w:hAnsi="Times New Roman" w:cs="Times New Roman"/>
                <w:color w:val="000000"/>
                <w:sz w:val="20"/>
                <w:szCs w:val="20"/>
              </w:rPr>
            </w:pPr>
          </w:p>
        </w:tc>
      </w:tr>
      <w:tr w:rsidR="00C01740" w:rsidRPr="00C01740" w:rsidTr="004067E6">
        <w:trPr>
          <w:trHeight w:val="160"/>
        </w:trPr>
        <w:tc>
          <w:tcPr>
            <w:tcW w:w="3633" w:type="dxa"/>
            <w:tcBorders>
              <w:top w:val="nil"/>
              <w:left w:val="nil"/>
              <w:bottom w:val="nil"/>
              <w:right w:val="nil"/>
            </w:tcBorders>
            <w:shd w:val="clear" w:color="auto" w:fill="auto"/>
            <w:noWrap/>
            <w:tcMar>
              <w:top w:w="15" w:type="dxa"/>
              <w:left w:w="15" w:type="dxa"/>
              <w:bottom w:w="0" w:type="dxa"/>
              <w:right w:w="15" w:type="dxa"/>
            </w:tcMar>
            <w:vAlign w:val="bottom"/>
            <w:hideMark/>
          </w:tcPr>
          <w:p w:rsidR="00C01740" w:rsidRPr="00C01740" w:rsidRDefault="00C01740" w:rsidP="0064034F">
            <w:pPr>
              <w:ind w:right="183"/>
              <w:rPr>
                <w:rFonts w:ascii="Times New Roman" w:hAnsi="Times New Roman" w:cs="Times New Roman"/>
                <w:color w:val="000000"/>
                <w:sz w:val="20"/>
                <w:szCs w:val="20"/>
              </w:rPr>
            </w:pPr>
            <w:r w:rsidRPr="00C01740">
              <w:rPr>
                <w:rFonts w:ascii="Times New Roman" w:hAnsi="Times New Roman" w:cs="Times New Roman"/>
                <w:color w:val="000000"/>
                <w:sz w:val="20"/>
                <w:szCs w:val="20"/>
              </w:rPr>
              <w:t>Pooled random samples (n = 6000)</w:t>
            </w:r>
          </w:p>
        </w:tc>
        <w:tc>
          <w:tcPr>
            <w:tcW w:w="1476" w:type="dxa"/>
            <w:tcBorders>
              <w:top w:val="nil"/>
              <w:left w:val="nil"/>
              <w:bottom w:val="nil"/>
              <w:right w:val="nil"/>
            </w:tcBorders>
            <w:shd w:val="clear" w:color="auto" w:fill="auto"/>
            <w:noWrap/>
            <w:tcMar>
              <w:top w:w="15" w:type="dxa"/>
              <w:left w:w="15" w:type="dxa"/>
              <w:bottom w:w="0" w:type="dxa"/>
              <w:right w:w="15" w:type="dxa"/>
            </w:tcMar>
            <w:vAlign w:val="bottom"/>
          </w:tcPr>
          <w:p w:rsidR="00C01740" w:rsidRPr="00C01740" w:rsidRDefault="00C01740" w:rsidP="0064034F">
            <w:pPr>
              <w:jc w:val="center"/>
              <w:rPr>
                <w:rFonts w:ascii="Times New Roman" w:hAnsi="Times New Roman" w:cs="Times New Roman"/>
                <w:color w:val="000000"/>
                <w:sz w:val="20"/>
                <w:szCs w:val="20"/>
              </w:rPr>
            </w:pPr>
          </w:p>
        </w:tc>
        <w:tc>
          <w:tcPr>
            <w:tcW w:w="1476" w:type="dxa"/>
            <w:tcBorders>
              <w:top w:val="nil"/>
              <w:left w:val="nil"/>
              <w:bottom w:val="nil"/>
              <w:right w:val="nil"/>
            </w:tcBorders>
            <w:shd w:val="clear" w:color="auto" w:fill="auto"/>
            <w:noWrap/>
            <w:tcMar>
              <w:top w:w="15" w:type="dxa"/>
              <w:left w:w="15" w:type="dxa"/>
              <w:bottom w:w="0" w:type="dxa"/>
              <w:right w:w="15" w:type="dxa"/>
            </w:tcMar>
            <w:vAlign w:val="bottom"/>
            <w:hideMark/>
          </w:tcPr>
          <w:p w:rsidR="00C01740" w:rsidRPr="00C01740" w:rsidRDefault="00C01740" w:rsidP="0064034F">
            <w:pPr>
              <w:jc w:val="center"/>
              <w:rPr>
                <w:rFonts w:ascii="Times New Roman" w:hAnsi="Times New Roman" w:cs="Times New Roman"/>
                <w:color w:val="000000"/>
                <w:sz w:val="20"/>
                <w:szCs w:val="20"/>
              </w:rPr>
            </w:pPr>
          </w:p>
        </w:tc>
        <w:tc>
          <w:tcPr>
            <w:tcW w:w="1476" w:type="dxa"/>
            <w:tcBorders>
              <w:top w:val="nil"/>
              <w:left w:val="nil"/>
              <w:bottom w:val="nil"/>
              <w:right w:val="nil"/>
            </w:tcBorders>
            <w:vAlign w:val="bottom"/>
          </w:tcPr>
          <w:p w:rsidR="00C01740" w:rsidRPr="00C01740" w:rsidRDefault="00C01740" w:rsidP="0064034F">
            <w:pPr>
              <w:jc w:val="center"/>
              <w:rPr>
                <w:rFonts w:ascii="Times New Roman" w:hAnsi="Times New Roman" w:cs="Times New Roman"/>
                <w:color w:val="000000"/>
                <w:sz w:val="20"/>
                <w:szCs w:val="20"/>
              </w:rPr>
            </w:pPr>
          </w:p>
        </w:tc>
        <w:tc>
          <w:tcPr>
            <w:tcW w:w="1477" w:type="dxa"/>
            <w:tcBorders>
              <w:top w:val="nil"/>
              <w:left w:val="nil"/>
              <w:bottom w:val="nil"/>
              <w:right w:val="nil"/>
            </w:tcBorders>
            <w:shd w:val="clear" w:color="auto" w:fill="auto"/>
            <w:noWrap/>
            <w:tcMar>
              <w:top w:w="15" w:type="dxa"/>
              <w:left w:w="15" w:type="dxa"/>
              <w:bottom w:w="0" w:type="dxa"/>
              <w:right w:w="15" w:type="dxa"/>
            </w:tcMar>
            <w:vAlign w:val="bottom"/>
          </w:tcPr>
          <w:p w:rsidR="00C01740" w:rsidRPr="00C01740" w:rsidRDefault="00C01740" w:rsidP="0064034F">
            <w:pPr>
              <w:jc w:val="center"/>
              <w:rPr>
                <w:rFonts w:ascii="Times New Roman" w:hAnsi="Times New Roman" w:cs="Times New Roman"/>
                <w:color w:val="000000"/>
                <w:sz w:val="20"/>
                <w:szCs w:val="20"/>
              </w:rPr>
            </w:pPr>
          </w:p>
        </w:tc>
      </w:tr>
      <w:tr w:rsidR="00C01740" w:rsidRPr="00C01740" w:rsidTr="00BD7090">
        <w:trPr>
          <w:trHeight w:val="160"/>
        </w:trPr>
        <w:tc>
          <w:tcPr>
            <w:tcW w:w="3633" w:type="dxa"/>
            <w:tcBorders>
              <w:top w:val="nil"/>
              <w:left w:val="nil"/>
              <w:bottom w:val="nil"/>
              <w:right w:val="nil"/>
            </w:tcBorders>
            <w:shd w:val="clear" w:color="auto" w:fill="auto"/>
            <w:noWrap/>
            <w:tcMar>
              <w:top w:w="15" w:type="dxa"/>
              <w:left w:w="15" w:type="dxa"/>
              <w:bottom w:w="0" w:type="dxa"/>
              <w:right w:w="15" w:type="dxa"/>
            </w:tcMar>
            <w:vAlign w:val="bottom"/>
            <w:hideMark/>
          </w:tcPr>
          <w:p w:rsidR="00C01740" w:rsidRPr="00C01740" w:rsidRDefault="00C01740" w:rsidP="00F9574F">
            <w:pPr>
              <w:ind w:right="183"/>
              <w:jc w:val="right"/>
              <w:rPr>
                <w:rFonts w:ascii="Times New Roman" w:hAnsi="Times New Roman" w:cs="Times New Roman"/>
                <w:color w:val="000000"/>
                <w:sz w:val="20"/>
                <w:szCs w:val="20"/>
              </w:rPr>
            </w:pPr>
            <w:r w:rsidRPr="00C01740">
              <w:rPr>
                <w:rFonts w:ascii="Times New Roman" w:hAnsi="Times New Roman" w:cs="Times New Roman"/>
                <w:color w:val="000000"/>
                <w:sz w:val="20"/>
                <w:szCs w:val="20"/>
              </w:rPr>
              <w:t>Sample 1</w:t>
            </w:r>
          </w:p>
        </w:tc>
        <w:tc>
          <w:tcPr>
            <w:tcW w:w="1476" w:type="dxa"/>
            <w:tcBorders>
              <w:top w:val="nil"/>
              <w:left w:val="nil"/>
              <w:bottom w:val="nil"/>
              <w:right w:val="nil"/>
            </w:tcBorders>
            <w:shd w:val="clear" w:color="auto" w:fill="auto"/>
            <w:noWrap/>
            <w:tcMar>
              <w:top w:w="15" w:type="dxa"/>
              <w:left w:w="15" w:type="dxa"/>
              <w:bottom w:w="0" w:type="dxa"/>
              <w:right w:w="15" w:type="dxa"/>
            </w:tcMar>
            <w:vAlign w:val="center"/>
          </w:tcPr>
          <w:p w:rsidR="00C01740" w:rsidRPr="00C01740" w:rsidRDefault="00C01740" w:rsidP="00F9574F">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45.6 (44.9-46.3)</w:t>
            </w:r>
          </w:p>
        </w:tc>
        <w:tc>
          <w:tcPr>
            <w:tcW w:w="1476" w:type="dxa"/>
            <w:tcBorders>
              <w:top w:val="nil"/>
              <w:left w:val="nil"/>
              <w:bottom w:val="nil"/>
              <w:right w:val="nil"/>
            </w:tcBorders>
            <w:shd w:val="clear" w:color="auto" w:fill="auto"/>
            <w:noWrap/>
            <w:tcMar>
              <w:top w:w="15" w:type="dxa"/>
              <w:left w:w="15" w:type="dxa"/>
              <w:bottom w:w="0" w:type="dxa"/>
              <w:right w:w="15" w:type="dxa"/>
            </w:tcMar>
            <w:vAlign w:val="bottom"/>
            <w:hideMark/>
          </w:tcPr>
          <w:p w:rsidR="00C01740" w:rsidRPr="00C01740" w:rsidRDefault="00C01740" w:rsidP="00F9574F">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46.4</w:t>
            </w:r>
          </w:p>
        </w:tc>
        <w:tc>
          <w:tcPr>
            <w:tcW w:w="1476" w:type="dxa"/>
            <w:tcBorders>
              <w:top w:val="nil"/>
              <w:left w:val="nil"/>
              <w:bottom w:val="nil"/>
              <w:right w:val="nil"/>
            </w:tcBorders>
            <w:vAlign w:val="bottom"/>
          </w:tcPr>
          <w:p w:rsidR="00C01740" w:rsidRPr="00C01740" w:rsidRDefault="00C01740" w:rsidP="00F9574F">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-0.8</w:t>
            </w:r>
          </w:p>
        </w:tc>
        <w:tc>
          <w:tcPr>
            <w:tcW w:w="1477" w:type="dxa"/>
            <w:tcBorders>
              <w:top w:val="nil"/>
              <w:left w:val="nil"/>
              <w:bottom w:val="nil"/>
              <w:right w:val="nil"/>
            </w:tcBorders>
            <w:shd w:val="clear" w:color="auto" w:fill="auto"/>
            <w:noWrap/>
            <w:tcMar>
              <w:top w:w="15" w:type="dxa"/>
              <w:left w:w="15" w:type="dxa"/>
              <w:bottom w:w="0" w:type="dxa"/>
              <w:right w:w="15" w:type="dxa"/>
            </w:tcMar>
            <w:vAlign w:val="center"/>
          </w:tcPr>
          <w:p w:rsidR="00C01740" w:rsidRPr="00C01740" w:rsidRDefault="00C01740" w:rsidP="00F9574F">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0.217</w:t>
            </w:r>
          </w:p>
        </w:tc>
      </w:tr>
      <w:tr w:rsidR="00C01740" w:rsidRPr="00C01740" w:rsidTr="00BD7090">
        <w:trPr>
          <w:trHeight w:val="160"/>
        </w:trPr>
        <w:tc>
          <w:tcPr>
            <w:tcW w:w="3633" w:type="dxa"/>
            <w:tcBorders>
              <w:top w:val="nil"/>
              <w:left w:val="nil"/>
              <w:right w:val="nil"/>
            </w:tcBorders>
            <w:shd w:val="clear" w:color="auto" w:fill="auto"/>
            <w:noWrap/>
            <w:tcMar>
              <w:top w:w="15" w:type="dxa"/>
              <w:left w:w="15" w:type="dxa"/>
              <w:bottom w:w="0" w:type="dxa"/>
              <w:right w:w="15" w:type="dxa"/>
            </w:tcMar>
            <w:vAlign w:val="bottom"/>
            <w:hideMark/>
          </w:tcPr>
          <w:p w:rsidR="00C01740" w:rsidRPr="00C01740" w:rsidRDefault="00C01740" w:rsidP="00F9574F">
            <w:pPr>
              <w:ind w:right="183"/>
              <w:jc w:val="right"/>
              <w:rPr>
                <w:rFonts w:ascii="Times New Roman" w:hAnsi="Times New Roman" w:cs="Times New Roman"/>
                <w:color w:val="000000"/>
                <w:sz w:val="20"/>
                <w:szCs w:val="20"/>
              </w:rPr>
            </w:pPr>
            <w:r w:rsidRPr="00C01740">
              <w:rPr>
                <w:rFonts w:ascii="Times New Roman" w:hAnsi="Times New Roman" w:cs="Times New Roman"/>
                <w:color w:val="000000"/>
                <w:sz w:val="20"/>
                <w:szCs w:val="20"/>
              </w:rPr>
              <w:t>Sample 2</w:t>
            </w:r>
          </w:p>
        </w:tc>
        <w:tc>
          <w:tcPr>
            <w:tcW w:w="1476" w:type="dxa"/>
            <w:tcBorders>
              <w:top w:val="nil"/>
              <w:left w:val="nil"/>
              <w:right w:val="nil"/>
            </w:tcBorders>
            <w:shd w:val="clear" w:color="auto" w:fill="auto"/>
            <w:noWrap/>
            <w:tcMar>
              <w:top w:w="15" w:type="dxa"/>
              <w:left w:w="15" w:type="dxa"/>
              <w:bottom w:w="0" w:type="dxa"/>
              <w:right w:w="15" w:type="dxa"/>
            </w:tcMar>
            <w:vAlign w:val="center"/>
          </w:tcPr>
          <w:p w:rsidR="00C01740" w:rsidRPr="00C01740" w:rsidRDefault="00C01740" w:rsidP="00F9574F">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45.1 (44.4-45.8)</w:t>
            </w:r>
          </w:p>
        </w:tc>
        <w:tc>
          <w:tcPr>
            <w:tcW w:w="1476" w:type="dxa"/>
            <w:tcBorders>
              <w:top w:val="nil"/>
              <w:left w:val="nil"/>
              <w:right w:val="nil"/>
            </w:tcBorders>
            <w:shd w:val="clear" w:color="auto" w:fill="auto"/>
            <w:noWrap/>
            <w:tcMar>
              <w:top w:w="15" w:type="dxa"/>
              <w:left w:w="15" w:type="dxa"/>
              <w:bottom w:w="0" w:type="dxa"/>
              <w:right w:w="15" w:type="dxa"/>
            </w:tcMar>
            <w:vAlign w:val="bottom"/>
            <w:hideMark/>
          </w:tcPr>
          <w:p w:rsidR="00C01740" w:rsidRPr="00C01740" w:rsidRDefault="00C01740" w:rsidP="00F9574F">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45.7</w:t>
            </w:r>
          </w:p>
        </w:tc>
        <w:tc>
          <w:tcPr>
            <w:tcW w:w="1476" w:type="dxa"/>
            <w:tcBorders>
              <w:top w:val="nil"/>
              <w:left w:val="nil"/>
              <w:right w:val="nil"/>
            </w:tcBorders>
            <w:vAlign w:val="bottom"/>
          </w:tcPr>
          <w:p w:rsidR="00C01740" w:rsidRPr="00C01740" w:rsidRDefault="00C01740" w:rsidP="00F9574F">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-0.6</w:t>
            </w:r>
          </w:p>
        </w:tc>
        <w:tc>
          <w:tcPr>
            <w:tcW w:w="1477" w:type="dxa"/>
            <w:tcBorders>
              <w:top w:val="nil"/>
              <w:left w:val="nil"/>
              <w:right w:val="nil"/>
            </w:tcBorders>
            <w:shd w:val="clear" w:color="auto" w:fill="auto"/>
            <w:noWrap/>
            <w:tcMar>
              <w:top w:w="15" w:type="dxa"/>
              <w:left w:w="15" w:type="dxa"/>
              <w:bottom w:w="0" w:type="dxa"/>
              <w:right w:w="15" w:type="dxa"/>
            </w:tcMar>
            <w:vAlign w:val="center"/>
          </w:tcPr>
          <w:p w:rsidR="00C01740" w:rsidRPr="00C01740" w:rsidRDefault="00C01740" w:rsidP="00F9574F">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0.302</w:t>
            </w:r>
          </w:p>
        </w:tc>
      </w:tr>
      <w:tr w:rsidR="00C01740" w:rsidRPr="00C01740" w:rsidTr="00BD7090">
        <w:trPr>
          <w:trHeight w:val="160"/>
        </w:trPr>
        <w:tc>
          <w:tcPr>
            <w:tcW w:w="363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C01740" w:rsidRPr="00C01740" w:rsidRDefault="00C01740" w:rsidP="00F9574F">
            <w:pPr>
              <w:ind w:right="183"/>
              <w:jc w:val="right"/>
              <w:rPr>
                <w:rFonts w:ascii="Times New Roman" w:hAnsi="Times New Roman" w:cs="Times New Roman"/>
                <w:color w:val="000000"/>
                <w:sz w:val="20"/>
                <w:szCs w:val="20"/>
              </w:rPr>
            </w:pPr>
            <w:r w:rsidRPr="00C01740">
              <w:rPr>
                <w:rFonts w:ascii="Times New Roman" w:hAnsi="Times New Roman" w:cs="Times New Roman"/>
                <w:color w:val="000000"/>
                <w:sz w:val="20"/>
                <w:szCs w:val="20"/>
              </w:rPr>
              <w:t>Sample 3</w:t>
            </w:r>
          </w:p>
        </w:tc>
        <w:tc>
          <w:tcPr>
            <w:tcW w:w="1476"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C01740" w:rsidRPr="00C01740" w:rsidRDefault="00C01740" w:rsidP="00F9574F">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45.1 (44.3-45.8)</w:t>
            </w:r>
          </w:p>
        </w:tc>
        <w:tc>
          <w:tcPr>
            <w:tcW w:w="147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C01740" w:rsidRPr="00C01740" w:rsidRDefault="00C01740" w:rsidP="00F9574F">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46.2</w:t>
            </w:r>
          </w:p>
        </w:tc>
        <w:tc>
          <w:tcPr>
            <w:tcW w:w="1476" w:type="dxa"/>
            <w:tcBorders>
              <w:top w:val="nil"/>
              <w:left w:val="nil"/>
              <w:bottom w:val="single" w:sz="4" w:space="0" w:color="auto"/>
              <w:right w:val="nil"/>
            </w:tcBorders>
            <w:vAlign w:val="bottom"/>
          </w:tcPr>
          <w:p w:rsidR="00C01740" w:rsidRPr="00C01740" w:rsidRDefault="00C01740" w:rsidP="00F9574F">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-1.1</w:t>
            </w:r>
          </w:p>
        </w:tc>
        <w:tc>
          <w:tcPr>
            <w:tcW w:w="147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C01740" w:rsidRPr="00C01740" w:rsidRDefault="00C01740" w:rsidP="00F9574F">
            <w:pPr>
              <w:jc w:val="center"/>
              <w:rPr>
                <w:rFonts w:ascii="Times New Roman" w:hAnsi="Times New Roman" w:cs="Times New Roman"/>
                <w:color w:val="000000"/>
                <w:sz w:val="20"/>
                <w:szCs w:val="20"/>
              </w:rPr>
            </w:pPr>
            <w:r w:rsidRPr="00C01740">
              <w:rPr>
                <w:rFonts w:ascii="Times New Roman" w:hAnsi="Times New Roman" w:cs="Times New Roman"/>
                <w:color w:val="000000"/>
                <w:sz w:val="20"/>
                <w:szCs w:val="20"/>
              </w:rPr>
              <w:t>0.067</w:t>
            </w:r>
          </w:p>
        </w:tc>
      </w:tr>
    </w:tbl>
    <w:p w:rsidR="00C01740" w:rsidRPr="0005207A" w:rsidRDefault="00C01740" w:rsidP="00F9574F">
      <w:pPr>
        <w:spacing w:line="276" w:lineRule="auto"/>
        <w:rPr>
          <w:rFonts w:ascii="Times New Roman" w:hAnsi="Times New Roman" w:cs="Times New Roman"/>
          <w:sz w:val="18"/>
        </w:rPr>
      </w:pPr>
      <w:proofErr w:type="gramStart"/>
      <w:r w:rsidRPr="0005207A">
        <w:rPr>
          <w:rFonts w:ascii="Times New Roman" w:hAnsi="Times New Roman" w:cs="Times New Roman"/>
          <w:sz w:val="18"/>
          <w:vertAlign w:val="superscript"/>
        </w:rPr>
        <w:t>a</w:t>
      </w:r>
      <w:proofErr w:type="gramEnd"/>
      <w:r w:rsidRPr="0005207A">
        <w:rPr>
          <w:rFonts w:ascii="Times New Roman" w:hAnsi="Times New Roman" w:cs="Times New Roman"/>
          <w:sz w:val="18"/>
          <w:vertAlign w:val="superscript"/>
        </w:rPr>
        <w:t xml:space="preserve"> </w:t>
      </w:r>
      <w:r w:rsidRPr="0005207A">
        <w:rPr>
          <w:rFonts w:ascii="Times New Roman" w:hAnsi="Times New Roman" w:cs="Times New Roman"/>
          <w:sz w:val="18"/>
        </w:rPr>
        <w:t>Chi-square test to assess the association between the expected prevalence estimates and the observed prevalence values</w:t>
      </w:r>
      <w:r>
        <w:rPr>
          <w:rFonts w:ascii="Times New Roman" w:hAnsi="Times New Roman" w:cs="Times New Roman"/>
          <w:sz w:val="18"/>
        </w:rPr>
        <w:t xml:space="preserve">. </w:t>
      </w:r>
    </w:p>
    <w:p w:rsidR="00C01740" w:rsidRPr="0005207A" w:rsidRDefault="00C01740" w:rsidP="004067E6">
      <w:pPr>
        <w:pStyle w:val="EndNoteBibliography"/>
        <w:rPr>
          <w:rFonts w:ascii="Times New Roman" w:hAnsi="Times New Roman" w:cs="Times New Roman"/>
          <w:b/>
        </w:rPr>
      </w:pPr>
    </w:p>
    <w:p w:rsidR="00DC57CC" w:rsidRDefault="00DC57CC"/>
    <w:sectPr w:rsidR="00DC57CC" w:rsidSect="006C6578">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740" w:rsidRDefault="00C01740" w:rsidP="008B5D54">
      <w:r>
        <w:separator/>
      </w:r>
    </w:p>
  </w:endnote>
  <w:endnote w:type="continuationSeparator" w:id="0">
    <w:p w:rsidR="00C01740" w:rsidRDefault="00C01740"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740" w:rsidRDefault="00C01740" w:rsidP="008B5D54">
      <w:r>
        <w:separator/>
      </w:r>
    </w:p>
  </w:footnote>
  <w:footnote w:type="continuationSeparator" w:id="0">
    <w:p w:rsidR="00C01740" w:rsidRDefault="00C01740"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0772"/>
    <w:multiLevelType w:val="hybridMultilevel"/>
    <w:tmpl w:val="C44C48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2A3AFB"/>
    <w:multiLevelType w:val="hybridMultilevel"/>
    <w:tmpl w:val="00007C40"/>
    <w:lvl w:ilvl="0" w:tplc="04090001">
      <w:start w:val="1"/>
      <w:numFmt w:val="bullet"/>
      <w:lvlText w:val=""/>
      <w:lvlJc w:val="left"/>
      <w:pPr>
        <w:ind w:left="360" w:hanging="360"/>
      </w:pPr>
      <w:rPr>
        <w:rFonts w:ascii="Symbol" w:hAnsi="Symbol" w:hint="default"/>
      </w:rPr>
    </w:lvl>
    <w:lvl w:ilvl="1" w:tplc="04BC1D5C">
      <w:start w:val="1"/>
      <w:numFmt w:val="bullet"/>
      <w:lvlText w:val="o"/>
      <w:lvlJc w:val="left"/>
      <w:pPr>
        <w:ind w:left="1080" w:hanging="360"/>
      </w:pPr>
      <w:rPr>
        <w:rFonts w:ascii="Courier New" w:hAnsi="Courier New" w:cs="Courier New" w:hint="default"/>
        <w:color w:val="000000" w:themeColor="text1"/>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F40E82"/>
    <w:multiLevelType w:val="hybridMultilevel"/>
    <w:tmpl w:val="7AFC9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9106C"/>
    <w:multiLevelType w:val="hybridMultilevel"/>
    <w:tmpl w:val="64DCD2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E4E7F"/>
    <w:multiLevelType w:val="hybridMultilevel"/>
    <w:tmpl w:val="26A01E1C"/>
    <w:lvl w:ilvl="0" w:tplc="6D2E0A8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3153DC"/>
    <w:multiLevelType w:val="hybridMultilevel"/>
    <w:tmpl w:val="69E60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66E90"/>
    <w:multiLevelType w:val="hybridMultilevel"/>
    <w:tmpl w:val="67D491E0"/>
    <w:lvl w:ilvl="0" w:tplc="D65AB8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D53F3E"/>
    <w:multiLevelType w:val="hybridMultilevel"/>
    <w:tmpl w:val="38CC7D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8F52E4FC">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55084A"/>
    <w:multiLevelType w:val="hybridMultilevel"/>
    <w:tmpl w:val="B3AE98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565E3E"/>
    <w:multiLevelType w:val="hybridMultilevel"/>
    <w:tmpl w:val="9448F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4E1FDC"/>
    <w:multiLevelType w:val="hybridMultilevel"/>
    <w:tmpl w:val="2CE60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934A0C"/>
    <w:multiLevelType w:val="hybridMultilevel"/>
    <w:tmpl w:val="B60098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8791E58"/>
    <w:multiLevelType w:val="hybridMultilevel"/>
    <w:tmpl w:val="99A03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11"/>
  </w:num>
  <w:num w:numId="5">
    <w:abstractNumId w:val="9"/>
  </w:num>
  <w:num w:numId="6">
    <w:abstractNumId w:val="2"/>
  </w:num>
  <w:num w:numId="7">
    <w:abstractNumId w:val="4"/>
  </w:num>
  <w:num w:numId="8">
    <w:abstractNumId w:val="12"/>
  </w:num>
  <w:num w:numId="9">
    <w:abstractNumId w:val="0"/>
  </w:num>
  <w:num w:numId="10">
    <w:abstractNumId w:val="10"/>
  </w:num>
  <w:num w:numId="11">
    <w:abstractNumId w:val="5"/>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01740"/>
    <w:rsid w:val="00354D9F"/>
    <w:rsid w:val="006C6578"/>
    <w:rsid w:val="008B5D54"/>
    <w:rsid w:val="00B55735"/>
    <w:rsid w:val="00B608AC"/>
    <w:rsid w:val="00C01740"/>
    <w:rsid w:val="00CF45C7"/>
    <w:rsid w:val="00DC57CC"/>
    <w:rsid w:val="00F92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735552A-0CCD-46C9-9845-A4760DA4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74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740"/>
    <w:pPr>
      <w:tabs>
        <w:tab w:val="center" w:pos="4680"/>
        <w:tab w:val="right" w:pos="9360"/>
      </w:tabs>
    </w:pPr>
  </w:style>
  <w:style w:type="character" w:customStyle="1" w:styleId="HeaderChar">
    <w:name w:val="Header Char"/>
    <w:basedOn w:val="DefaultParagraphFont"/>
    <w:link w:val="Header"/>
    <w:uiPriority w:val="99"/>
    <w:rsid w:val="00C01740"/>
  </w:style>
  <w:style w:type="paragraph" w:styleId="Footer">
    <w:name w:val="footer"/>
    <w:basedOn w:val="Normal"/>
    <w:link w:val="FooterChar"/>
    <w:uiPriority w:val="99"/>
    <w:unhideWhenUsed/>
    <w:rsid w:val="00C01740"/>
    <w:pPr>
      <w:tabs>
        <w:tab w:val="center" w:pos="4680"/>
        <w:tab w:val="right" w:pos="9360"/>
      </w:tabs>
    </w:pPr>
  </w:style>
  <w:style w:type="character" w:customStyle="1" w:styleId="FooterChar">
    <w:name w:val="Footer Char"/>
    <w:basedOn w:val="DefaultParagraphFont"/>
    <w:link w:val="Footer"/>
    <w:uiPriority w:val="99"/>
    <w:rsid w:val="00C01740"/>
  </w:style>
  <w:style w:type="character" w:styleId="CommentReference">
    <w:name w:val="annotation reference"/>
    <w:basedOn w:val="DefaultParagraphFont"/>
    <w:uiPriority w:val="99"/>
    <w:semiHidden/>
    <w:unhideWhenUsed/>
    <w:rsid w:val="00C01740"/>
    <w:rPr>
      <w:sz w:val="16"/>
      <w:szCs w:val="16"/>
    </w:rPr>
  </w:style>
  <w:style w:type="paragraph" w:styleId="CommentText">
    <w:name w:val="annotation text"/>
    <w:basedOn w:val="Normal"/>
    <w:link w:val="CommentTextChar"/>
    <w:uiPriority w:val="99"/>
    <w:unhideWhenUsed/>
    <w:rsid w:val="00C01740"/>
    <w:rPr>
      <w:sz w:val="20"/>
      <w:szCs w:val="20"/>
    </w:rPr>
  </w:style>
  <w:style w:type="character" w:customStyle="1" w:styleId="CommentTextChar">
    <w:name w:val="Comment Text Char"/>
    <w:basedOn w:val="DefaultParagraphFont"/>
    <w:link w:val="CommentText"/>
    <w:uiPriority w:val="99"/>
    <w:rsid w:val="00C01740"/>
    <w:rPr>
      <w:sz w:val="20"/>
      <w:szCs w:val="20"/>
    </w:rPr>
  </w:style>
  <w:style w:type="paragraph" w:styleId="BalloonText">
    <w:name w:val="Balloon Text"/>
    <w:basedOn w:val="Normal"/>
    <w:link w:val="BalloonTextChar"/>
    <w:uiPriority w:val="99"/>
    <w:semiHidden/>
    <w:unhideWhenUsed/>
    <w:rsid w:val="00C01740"/>
    <w:rPr>
      <w:rFonts w:ascii="Tahoma" w:hAnsi="Tahoma" w:cs="Tahoma"/>
      <w:sz w:val="16"/>
      <w:szCs w:val="16"/>
    </w:rPr>
  </w:style>
  <w:style w:type="character" w:customStyle="1" w:styleId="BalloonTextChar">
    <w:name w:val="Balloon Text Char"/>
    <w:basedOn w:val="DefaultParagraphFont"/>
    <w:link w:val="BalloonText"/>
    <w:uiPriority w:val="99"/>
    <w:semiHidden/>
    <w:rsid w:val="00C01740"/>
    <w:rPr>
      <w:rFonts w:ascii="Tahoma" w:hAnsi="Tahoma" w:cs="Tahoma"/>
      <w:sz w:val="16"/>
      <w:szCs w:val="16"/>
    </w:rPr>
  </w:style>
  <w:style w:type="paragraph" w:customStyle="1" w:styleId="EndNoteBibliographyTitle">
    <w:name w:val="EndNote Bibliography Title"/>
    <w:basedOn w:val="Normal"/>
    <w:link w:val="EndNoteBibliographyTitleChar"/>
    <w:rsid w:val="00C01740"/>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C01740"/>
    <w:rPr>
      <w:rFonts w:ascii="Calibri" w:hAnsi="Calibri"/>
      <w:noProof/>
    </w:rPr>
  </w:style>
  <w:style w:type="paragraph" w:customStyle="1" w:styleId="EndNoteBibliography">
    <w:name w:val="EndNote Bibliography"/>
    <w:basedOn w:val="Normal"/>
    <w:link w:val="EndNoteBibliographyChar"/>
    <w:rsid w:val="00C01740"/>
    <w:rPr>
      <w:rFonts w:ascii="Calibri" w:hAnsi="Calibri"/>
      <w:noProof/>
    </w:rPr>
  </w:style>
  <w:style w:type="character" w:customStyle="1" w:styleId="EndNoteBibliographyChar">
    <w:name w:val="EndNote Bibliography Char"/>
    <w:basedOn w:val="DefaultParagraphFont"/>
    <w:link w:val="EndNoteBibliography"/>
    <w:rsid w:val="00C01740"/>
    <w:rPr>
      <w:rFonts w:ascii="Calibri" w:hAnsi="Calibri"/>
      <w:noProof/>
    </w:rPr>
  </w:style>
  <w:style w:type="character" w:styleId="Hyperlink">
    <w:name w:val="Hyperlink"/>
    <w:basedOn w:val="DefaultParagraphFont"/>
    <w:uiPriority w:val="99"/>
    <w:unhideWhenUsed/>
    <w:rsid w:val="00C01740"/>
    <w:rPr>
      <w:color w:val="0000FF" w:themeColor="hyperlink"/>
      <w:u w:val="single"/>
    </w:rPr>
  </w:style>
  <w:style w:type="paragraph" w:styleId="ListParagraph">
    <w:name w:val="List Paragraph"/>
    <w:basedOn w:val="Normal"/>
    <w:link w:val="ListParagraphChar"/>
    <w:uiPriority w:val="34"/>
    <w:qFormat/>
    <w:rsid w:val="00C01740"/>
    <w:pPr>
      <w:ind w:left="720"/>
      <w:contextualSpacing/>
    </w:pPr>
  </w:style>
  <w:style w:type="table" w:styleId="TableGrid">
    <w:name w:val="Table Grid"/>
    <w:basedOn w:val="TableNormal"/>
    <w:uiPriority w:val="59"/>
    <w:rsid w:val="00C01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C01740"/>
  </w:style>
  <w:style w:type="paragraph" w:customStyle="1" w:styleId="Default">
    <w:name w:val="Default"/>
    <w:rsid w:val="00C01740"/>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C01740"/>
    <w:rPr>
      <w:b/>
      <w:bCs/>
    </w:rPr>
  </w:style>
  <w:style w:type="character" w:customStyle="1" w:styleId="CommentSubjectChar">
    <w:name w:val="Comment Subject Char"/>
    <w:basedOn w:val="CommentTextChar"/>
    <w:link w:val="CommentSubject"/>
    <w:uiPriority w:val="99"/>
    <w:semiHidden/>
    <w:rsid w:val="00C01740"/>
    <w:rPr>
      <w:b/>
      <w:bCs/>
      <w:sz w:val="20"/>
      <w:szCs w:val="20"/>
    </w:rPr>
  </w:style>
  <w:style w:type="paragraph" w:styleId="Revision">
    <w:name w:val="Revision"/>
    <w:hidden/>
    <w:uiPriority w:val="99"/>
    <w:semiHidden/>
    <w:rsid w:val="00C01740"/>
    <w:pPr>
      <w:spacing w:after="0" w:line="240" w:lineRule="auto"/>
    </w:pPr>
  </w:style>
  <w:style w:type="table" w:styleId="LightShading">
    <w:name w:val="Light Shading"/>
    <w:basedOn w:val="TableNormal"/>
    <w:uiPriority w:val="60"/>
    <w:rsid w:val="00C017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C01740"/>
    <w:rPr>
      <w:rFonts w:ascii="Times New Roman" w:eastAsia="Times New Roman" w:hAnsi="Times New Roman" w:cs="Times New Roman"/>
      <w:sz w:val="24"/>
      <w:szCs w:val="24"/>
    </w:rPr>
  </w:style>
  <w:style w:type="paragraph" w:styleId="NoSpacing">
    <w:name w:val="No Spacing"/>
    <w:uiPriority w:val="1"/>
    <w:qFormat/>
    <w:rsid w:val="00C01740"/>
    <w:pPr>
      <w:spacing w:after="0" w:line="240" w:lineRule="auto"/>
    </w:pPr>
  </w:style>
  <w:style w:type="paragraph" w:customStyle="1" w:styleId="NoSpacing1">
    <w:name w:val="No Spacing1"/>
    <w:uiPriority w:val="1"/>
    <w:qFormat/>
    <w:rsid w:val="00C01740"/>
    <w:pPr>
      <w:spacing w:after="0" w:line="240" w:lineRule="auto"/>
    </w:pPr>
    <w:rPr>
      <w:rFonts w:ascii="Calibri" w:eastAsia="Calibri" w:hAnsi="Calibri" w:cs="Times New Roman"/>
    </w:rPr>
  </w:style>
  <w:style w:type="character" w:customStyle="1" w:styleId="highlight2">
    <w:name w:val="highlight2"/>
    <w:basedOn w:val="DefaultParagraphFont"/>
    <w:rsid w:val="00C01740"/>
  </w:style>
  <w:style w:type="character" w:customStyle="1" w:styleId="jrnl">
    <w:name w:val="jrnl"/>
    <w:basedOn w:val="DefaultParagraphFont"/>
    <w:rsid w:val="00C01740"/>
  </w:style>
  <w:style w:type="paragraph" w:customStyle="1" w:styleId="title1">
    <w:name w:val="title1"/>
    <w:basedOn w:val="Normal"/>
    <w:rsid w:val="00C01740"/>
    <w:rPr>
      <w:rFonts w:ascii="Times New Roman" w:eastAsia="Times New Roman" w:hAnsi="Times New Roman" w:cs="Times New Roman"/>
      <w:sz w:val="27"/>
      <w:szCs w:val="27"/>
    </w:rPr>
  </w:style>
  <w:style w:type="paragraph" w:customStyle="1" w:styleId="details1">
    <w:name w:val="details1"/>
    <w:basedOn w:val="Normal"/>
    <w:rsid w:val="00C01740"/>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C017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omb/fedreg_1997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D63AD-384E-4570-8516-8D9902473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Ritchey, Matthew D. (CDC/ONDIEH/NCCDPHP)</dc:creator>
  <cp:keywords/>
  <dc:description/>
  <cp:lastModifiedBy>Ritchey, Matthew D. (CDC/ONDIEH/NCCDPHP)</cp:lastModifiedBy>
  <cp:revision>2</cp:revision>
  <dcterms:created xsi:type="dcterms:W3CDTF">2015-08-05T21:09:00Z</dcterms:created>
  <dcterms:modified xsi:type="dcterms:W3CDTF">2015-08-05T21:09:00Z</dcterms:modified>
</cp:coreProperties>
</file>