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8" w:rsidRDefault="003656A8" w:rsidP="003656A8">
      <w:pPr>
        <w:widowControl w:val="0"/>
        <w:tabs>
          <w:tab w:val="left" w:pos="1260"/>
        </w:tabs>
        <w:spacing w:after="0" w:line="240" w:lineRule="auto"/>
        <w:ind w:left="1260" w:hanging="1260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3656A8">
        <w:rPr>
          <w:rFonts w:asciiTheme="majorHAnsi" w:hAnsiTheme="majorHAnsi" w:cs="Times New Roman"/>
          <w:b/>
          <w:sz w:val="24"/>
          <w:szCs w:val="24"/>
          <w:lang w:val="en-GB"/>
        </w:rPr>
        <w:t>Table S2.</w:t>
      </w:r>
      <w:r w:rsidRPr="003656A8">
        <w:rPr>
          <w:rFonts w:asciiTheme="majorHAnsi" w:hAnsiTheme="majorHAnsi" w:cs="Times New Roman"/>
          <w:sz w:val="24"/>
          <w:szCs w:val="24"/>
          <w:lang w:val="en-GB"/>
        </w:rPr>
        <w:tab/>
        <w:t>Association of the FcγRIIIb-HNA1a homozygous genotype with perinatal HIV-1 acquisition when compared to other combinations of FcγRIIIb-HNA allotypes</w:t>
      </w:r>
    </w:p>
    <w:p w:rsidR="003656A8" w:rsidRPr="003656A8" w:rsidRDefault="003656A8" w:rsidP="003656A8">
      <w:pPr>
        <w:widowControl w:val="0"/>
        <w:tabs>
          <w:tab w:val="left" w:pos="1260"/>
        </w:tabs>
        <w:spacing w:after="0" w:line="240" w:lineRule="auto"/>
        <w:ind w:left="1260" w:hanging="1260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3656A8" w:rsidRPr="003656A8" w:rsidRDefault="003656A8" w:rsidP="003656A8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W w:w="15581" w:type="dxa"/>
        <w:jc w:val="center"/>
        <w:tblLook w:val="04A0" w:firstRow="1" w:lastRow="0" w:firstColumn="1" w:lastColumn="0" w:noHBand="0" w:noVBand="1"/>
      </w:tblPr>
      <w:tblGrid>
        <w:gridCol w:w="1883"/>
        <w:gridCol w:w="975"/>
        <w:gridCol w:w="1807"/>
        <w:gridCol w:w="530"/>
        <w:gridCol w:w="260"/>
        <w:gridCol w:w="866"/>
        <w:gridCol w:w="1758"/>
        <w:gridCol w:w="530"/>
        <w:gridCol w:w="261"/>
        <w:gridCol w:w="849"/>
        <w:gridCol w:w="1884"/>
        <w:gridCol w:w="530"/>
        <w:gridCol w:w="261"/>
        <w:gridCol w:w="896"/>
        <w:gridCol w:w="1761"/>
        <w:gridCol w:w="530"/>
      </w:tblGrid>
      <w:tr w:rsidR="00C5016F" w:rsidRPr="003656A8" w:rsidTr="00E45C19">
        <w:trPr>
          <w:trHeight w:val="30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16F" w:rsidRPr="003656A8" w:rsidRDefault="00C5016F" w:rsidP="003656A8">
            <w:pPr>
              <w:spacing w:after="0" w:line="240" w:lineRule="auto"/>
              <w:ind w:left="-90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</w:p>
          <w:p w:rsidR="00C5016F" w:rsidRDefault="00C5016F" w:rsidP="003656A8">
            <w:pPr>
              <w:spacing w:after="0" w:line="240" w:lineRule="auto"/>
              <w:ind w:left="-90" w:right="-108"/>
              <w:rPr>
                <w:rFonts w:asciiTheme="majorHAnsi" w:hAnsiTheme="majorHAnsi"/>
                <w:b/>
                <w:sz w:val="16"/>
                <w:szCs w:val="15"/>
                <w:lang w:val="en-GB"/>
              </w:rPr>
            </w:pPr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Reference:</w:t>
            </w:r>
          </w:p>
          <w:p w:rsidR="00C5016F" w:rsidRPr="003656A8" w:rsidRDefault="00C5016F" w:rsidP="003656A8">
            <w:pPr>
              <w:spacing w:after="0" w:line="240" w:lineRule="auto"/>
              <w:ind w:left="-90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HNA1a+/1b-/1c-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Total Infected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proofErr w:type="spellStart"/>
            <w:r w:rsidRPr="003656A8">
              <w:rPr>
                <w:rFonts w:asciiTheme="majorHAnsi" w:hAnsiTheme="majorHAnsi"/>
                <w:b/>
                <w:i/>
                <w:sz w:val="16"/>
                <w:szCs w:val="15"/>
                <w:lang w:val="en-GB"/>
              </w:rPr>
              <w:t>Intrapartum</w:t>
            </w:r>
            <w:proofErr w:type="spellEnd"/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 xml:space="preserve"> Infected</w:t>
            </w: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i/>
                <w:sz w:val="16"/>
                <w:szCs w:val="15"/>
                <w:lang w:val="en-GB"/>
              </w:rPr>
              <w:t>In utero</w:t>
            </w: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 xml:space="preserve"> Infected</w:t>
            </w: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:rsidR="00C5016F" w:rsidRPr="003656A8" w:rsidRDefault="00C5016F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16F" w:rsidRPr="003656A8" w:rsidRDefault="00C5016F" w:rsidP="003656A8">
            <w:pPr>
              <w:spacing w:after="0" w:line="240" w:lineRule="auto"/>
              <w:ind w:left="-74" w:right="-120"/>
              <w:jc w:val="center"/>
              <w:rPr>
                <w:rFonts w:asciiTheme="majorHAnsi" w:hAnsiTheme="majorHAnsi"/>
                <w:b/>
                <w:i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i/>
                <w:sz w:val="16"/>
                <w:szCs w:val="15"/>
                <w:lang w:val="en-GB"/>
              </w:rPr>
              <w:t>In utero</w:t>
            </w:r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-E</w:t>
            </w: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nriched Infected</w:t>
            </w:r>
          </w:p>
        </w:tc>
      </w:tr>
      <w:tr w:rsidR="002255F9" w:rsidRPr="003656A8" w:rsidTr="002255F9">
        <w:trPr>
          <w:trHeight w:val="607"/>
          <w:jc w:val="center"/>
        </w:trPr>
        <w:tc>
          <w:tcPr>
            <w:tcW w:w="1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jc w:val="center"/>
              <w:rPr>
                <w:rFonts w:asciiTheme="majorHAnsi" w:hAnsiTheme="majorHAnsi"/>
                <w:b/>
                <w:sz w:val="16"/>
                <w:szCs w:val="15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Univariate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AOR (95% CI), P value</w:t>
            </w:r>
          </w:p>
          <w:p w:rsidR="002255F9" w:rsidRPr="003656A8" w:rsidRDefault="002255F9" w:rsidP="003656A8">
            <w:pPr>
              <w:spacing w:after="0" w:line="240" w:lineRule="auto"/>
              <w:ind w:left="-60" w:right="-108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 xml:space="preserve">Adjusted for </w:t>
            </w:r>
            <w:proofErr w:type="spellStart"/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>mVL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2255F9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proofErr w:type="spellStart"/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</w:t>
            </w:r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vertAlign w:val="subscript"/>
                <w:lang w:val="en-GB"/>
              </w:rPr>
              <w:t>Bonf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jc w:val="center"/>
              <w:rPr>
                <w:rFonts w:asciiTheme="majorHAnsi" w:hAnsiTheme="majorHAnsi"/>
                <w:b/>
                <w:sz w:val="16"/>
                <w:szCs w:val="15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Univariate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AOR (95% CI), P value</w:t>
            </w:r>
          </w:p>
          <w:p w:rsidR="002255F9" w:rsidRPr="003656A8" w:rsidRDefault="002255F9" w:rsidP="003656A8">
            <w:pPr>
              <w:spacing w:after="0" w:line="240" w:lineRule="auto"/>
              <w:ind w:left="-73" w:right="-108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 xml:space="preserve">Adjusted for </w:t>
            </w:r>
            <w:proofErr w:type="spellStart"/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>mVL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2255F9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proofErr w:type="spellStart"/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</w:t>
            </w:r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vertAlign w:val="subscript"/>
                <w:lang w:val="en-GB"/>
              </w:rPr>
              <w:t>Bonf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jc w:val="center"/>
              <w:rPr>
                <w:rFonts w:asciiTheme="majorHAnsi" w:hAnsiTheme="majorHAnsi"/>
                <w:b/>
                <w:sz w:val="16"/>
                <w:szCs w:val="15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Univariate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AOR (95% CI), P value</w:t>
            </w:r>
          </w:p>
          <w:p w:rsidR="002255F9" w:rsidRPr="003656A8" w:rsidRDefault="002255F9" w:rsidP="003656A8">
            <w:pPr>
              <w:spacing w:after="0" w:line="240" w:lineRule="auto"/>
              <w:ind w:left="-38" w:right="-108"/>
              <w:jc w:val="center"/>
              <w:rPr>
                <w:rFonts w:asciiTheme="majorHAnsi" w:eastAsiaTheme="minorEastAsia" w:hAnsiTheme="majorHAnsi"/>
                <w:i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 xml:space="preserve">Adjusted for </w:t>
            </w:r>
            <w:proofErr w:type="spellStart"/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>mVL+</w:t>
            </w:r>
            <w:r>
              <w:rPr>
                <w:rFonts w:asciiTheme="majorHAnsi" w:hAnsiTheme="majorHAnsi"/>
                <w:sz w:val="16"/>
                <w:szCs w:val="15"/>
                <w:lang w:val="en-GB"/>
              </w:rPr>
              <w:t>bwt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2255F9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proofErr w:type="spellStart"/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</w:t>
            </w:r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vertAlign w:val="subscript"/>
                <w:lang w:val="en-GB"/>
              </w:rPr>
              <w:t>Bonf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jc w:val="center"/>
              <w:rPr>
                <w:rFonts w:asciiTheme="majorHAnsi" w:hAnsiTheme="majorHAnsi"/>
                <w:b/>
                <w:sz w:val="16"/>
                <w:szCs w:val="15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Univariate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b/>
                <w:sz w:val="16"/>
                <w:szCs w:val="15"/>
                <w:lang w:val="en-GB"/>
              </w:rPr>
              <w:t>AOR (95% CI), P value</w:t>
            </w:r>
          </w:p>
          <w:p w:rsidR="002255F9" w:rsidRPr="003656A8" w:rsidRDefault="002255F9" w:rsidP="003656A8">
            <w:pPr>
              <w:spacing w:after="0" w:line="240" w:lineRule="auto"/>
              <w:ind w:left="-74" w:right="-120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 xml:space="preserve">Adjusted for </w:t>
            </w:r>
            <w:proofErr w:type="spellStart"/>
            <w:r w:rsidRPr="003656A8">
              <w:rPr>
                <w:rFonts w:asciiTheme="majorHAnsi" w:hAnsiTheme="majorHAnsi"/>
                <w:sz w:val="16"/>
                <w:szCs w:val="15"/>
                <w:lang w:val="en-GB"/>
              </w:rPr>
              <w:t>mVL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5F9" w:rsidRPr="002255F9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proofErr w:type="spellStart"/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</w:t>
            </w:r>
            <w:r w:rsidRPr="002255F9">
              <w:rPr>
                <w:rFonts w:asciiTheme="majorHAnsi" w:eastAsiaTheme="minorEastAsia" w:hAnsiTheme="majorHAnsi"/>
                <w:b/>
                <w:sz w:val="16"/>
                <w:szCs w:val="15"/>
                <w:vertAlign w:val="subscript"/>
                <w:lang w:val="en-GB"/>
              </w:rPr>
              <w:t>Bonf</w:t>
            </w:r>
            <w:proofErr w:type="spellEnd"/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shd w:val="clear" w:color="auto" w:fill="EEECE1" w:themeFill="background2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HNA1a-/1b+/1c-</w:t>
            </w:r>
          </w:p>
        </w:tc>
        <w:tc>
          <w:tcPr>
            <w:tcW w:w="975" w:type="dxa"/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P=.290</w:t>
            </w:r>
          </w:p>
        </w:tc>
        <w:tc>
          <w:tcPr>
            <w:tcW w:w="1807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0.52 (0.15-1.85), P=.313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P=.905</w:t>
            </w:r>
          </w:p>
        </w:tc>
        <w:tc>
          <w:tcPr>
            <w:tcW w:w="1758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-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P=.827</w:t>
            </w:r>
          </w:p>
        </w:tc>
        <w:tc>
          <w:tcPr>
            <w:tcW w:w="1884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1.67 (0.16-18.16), P=.670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shd w:val="clear" w:color="auto" w:fill="EEECE1" w:themeFill="background2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P=.256</w:t>
            </w:r>
          </w:p>
        </w:tc>
        <w:tc>
          <w:tcPr>
            <w:tcW w:w="17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0.35 (0.09-1.39), P=.135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HNA1a-/1b-/1c+</w:t>
            </w:r>
          </w:p>
        </w:tc>
        <w:tc>
          <w:tcPr>
            <w:tcW w:w="975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P=.363</w:t>
            </w:r>
          </w:p>
        </w:tc>
        <w:tc>
          <w:tcPr>
            <w:tcW w:w="1807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0.40 (0.83-1.95), P=.259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-</w:t>
            </w:r>
          </w:p>
        </w:tc>
        <w:tc>
          <w:tcPr>
            <w:tcW w:w="1758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-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P=.787</w:t>
            </w:r>
          </w:p>
        </w:tc>
        <w:tc>
          <w:tcPr>
            <w:tcW w:w="1884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0.52 (0.04-5.97), P=.597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P=.214</w:t>
            </w:r>
          </w:p>
        </w:tc>
        <w:tc>
          <w:tcPr>
            <w:tcW w:w="17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0.27 (0.05-1.45), P=.127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shd w:val="clear" w:color="auto" w:fill="EEECE1" w:themeFill="background2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HNA1a+/1b+/1c-</w:t>
            </w:r>
          </w:p>
        </w:tc>
        <w:tc>
          <w:tcPr>
            <w:tcW w:w="975" w:type="dxa"/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left="57" w:right="-108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P=.040</w:t>
            </w:r>
          </w:p>
        </w:tc>
        <w:tc>
          <w:tcPr>
            <w:tcW w:w="1807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0.37 (0.13-1.02), P=.055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P=.035</w:t>
            </w:r>
          </w:p>
        </w:tc>
        <w:tc>
          <w:tcPr>
            <w:tcW w:w="1758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0.25 (0.05-1.21), P=.085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P=.709</w:t>
            </w:r>
          </w:p>
        </w:tc>
        <w:tc>
          <w:tcPr>
            <w:tcW w:w="1884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0.77 (0.15-3.86), P=.748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shd w:val="clear" w:color="auto" w:fill="EEECE1" w:themeFill="background2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P=.350</w:t>
            </w:r>
          </w:p>
        </w:tc>
        <w:tc>
          <w:tcPr>
            <w:tcW w:w="17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0.48 (0.14-1.64), P=.242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HNA1a+/1b-/1c+</w:t>
            </w:r>
          </w:p>
        </w:tc>
        <w:tc>
          <w:tcPr>
            <w:tcW w:w="975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P=.173</w:t>
            </w:r>
          </w:p>
        </w:tc>
        <w:tc>
          <w:tcPr>
            <w:tcW w:w="1807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0.47(0.15-1.48), P=.197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vAlign w:val="center"/>
          </w:tcPr>
          <w:p w:rsidR="002255F9" w:rsidRPr="00E83E9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P=.037</w:t>
            </w:r>
          </w:p>
        </w:tc>
        <w:tc>
          <w:tcPr>
            <w:tcW w:w="1758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0.27 (0.06-1.45), P=.126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P=.939</w:t>
            </w:r>
          </w:p>
        </w:tc>
        <w:tc>
          <w:tcPr>
            <w:tcW w:w="1884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1.18 (0.18-7.94), P=.862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P=.901</w:t>
            </w:r>
          </w:p>
        </w:tc>
        <w:tc>
          <w:tcPr>
            <w:tcW w:w="17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0.78 (0.17-3.48), P=.742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shd w:val="clear" w:color="auto" w:fill="EEECE1" w:themeFill="background2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HNA1a-/1b+/1c+</w:t>
            </w:r>
          </w:p>
        </w:tc>
        <w:tc>
          <w:tcPr>
            <w:tcW w:w="975" w:type="dxa"/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P=.008</w:t>
            </w:r>
          </w:p>
        </w:tc>
        <w:tc>
          <w:tcPr>
            <w:tcW w:w="1807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0.24 (0.07-0.77),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P=.016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P=.008</w:t>
            </w:r>
          </w:p>
        </w:tc>
        <w:tc>
          <w:tcPr>
            <w:tcW w:w="1758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0.16 (0.03-0.97),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P=.046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P=.055</w:t>
            </w:r>
          </w:p>
        </w:tc>
        <w:tc>
          <w:tcPr>
            <w:tcW w:w="1884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0.17 (0.03-0.99),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P=.049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shd w:val="clear" w:color="auto" w:fill="EEECE1" w:themeFill="background2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P=.181</w:t>
            </w:r>
          </w:p>
        </w:tc>
        <w:tc>
          <w:tcPr>
            <w:tcW w:w="1761" w:type="dxa"/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0.28 (0.07-1.23), P=.092</w:t>
            </w:r>
          </w:p>
        </w:tc>
        <w:tc>
          <w:tcPr>
            <w:tcW w:w="530" w:type="dxa"/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HNA1a+/1b+/1c+</w:t>
            </w:r>
          </w:p>
        </w:tc>
        <w:tc>
          <w:tcPr>
            <w:tcW w:w="975" w:type="dxa"/>
            <w:vAlign w:val="center"/>
          </w:tcPr>
          <w:p w:rsidR="002255F9" w:rsidRPr="00E83E9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P=.004</w:t>
            </w:r>
          </w:p>
        </w:tc>
        <w:tc>
          <w:tcPr>
            <w:tcW w:w="1807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0.15 (0.03-0.64),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P=.011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P=.270</w:t>
            </w:r>
          </w:p>
        </w:tc>
        <w:tc>
          <w:tcPr>
            <w:tcW w:w="1758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-</w:t>
            </w:r>
          </w:p>
        </w:tc>
        <w:tc>
          <w:tcPr>
            <w:tcW w:w="530" w:type="dxa"/>
            <w:vAlign w:val="center"/>
          </w:tcPr>
          <w:p w:rsidR="002255F9" w:rsidRPr="003656A8" w:rsidRDefault="00C5016F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P=.086</w:t>
            </w:r>
          </w:p>
        </w:tc>
        <w:tc>
          <w:tcPr>
            <w:tcW w:w="1884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0.23 (0.03-2.02), P=.184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vAlign w:val="center"/>
          </w:tcPr>
          <w:p w:rsidR="002255F9" w:rsidRPr="00E83E9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P=.004</w:t>
            </w:r>
          </w:p>
        </w:tc>
        <w:tc>
          <w:tcPr>
            <w:tcW w:w="1761" w:type="dxa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0.10 (0.02-0.47),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P=.004</w:t>
            </w:r>
          </w:p>
        </w:tc>
        <w:tc>
          <w:tcPr>
            <w:tcW w:w="530" w:type="dxa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  <w:tr w:rsidR="002255F9" w:rsidRPr="003656A8" w:rsidTr="002255F9">
        <w:trPr>
          <w:trHeight w:val="284"/>
          <w:jc w:val="center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="Times New Roman" w:hAnsiTheme="majorHAnsi" w:cs="Times New Roman"/>
                <w:color w:val="000000"/>
                <w:sz w:val="16"/>
                <w:szCs w:val="15"/>
                <w:lang w:val="en-GB"/>
              </w:rPr>
              <w:t>All other combinations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60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 xml:space="preserve">0.36 (0.14-0.91), </w:t>
            </w:r>
            <w:r w:rsidRPr="003656A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2255F9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E83E9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</w:pPr>
            <w:r w:rsidRPr="00E83E98">
              <w:rPr>
                <w:rFonts w:asciiTheme="majorHAnsi" w:eastAsiaTheme="minorEastAsia" w:hAnsiTheme="majorHAnsi"/>
                <w:b/>
                <w:sz w:val="16"/>
                <w:szCs w:val="15"/>
                <w:lang w:val="en-GB"/>
              </w:rPr>
              <w:t>P=.037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3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0.32 (0.07-1.45), P=.140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E83E98">
            <w:pPr>
              <w:spacing w:after="0" w:line="240" w:lineRule="auto"/>
              <w:ind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P=.388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38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0.63 (0.17-2.40), P=.497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BD776E">
            <w:pPr>
              <w:spacing w:after="0" w:line="240" w:lineRule="auto"/>
              <w:ind w:left="57" w:right="-108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P=.151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656A8">
            <w:pPr>
              <w:spacing w:after="0" w:line="240" w:lineRule="auto"/>
              <w:ind w:left="-74" w:right="-120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 w:rsidRPr="003656A8"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0.37 (0.12-1.23), P=.081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2255F9" w:rsidRPr="003656A8" w:rsidRDefault="002255F9" w:rsidP="00374FE3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</w:pPr>
            <w:r>
              <w:rPr>
                <w:rFonts w:asciiTheme="majorHAnsi" w:eastAsiaTheme="minorEastAsia" w:hAnsiTheme="majorHAnsi"/>
                <w:sz w:val="16"/>
                <w:szCs w:val="15"/>
                <w:lang w:val="en-GB"/>
              </w:rPr>
              <w:t>ns</w:t>
            </w:r>
          </w:p>
        </w:tc>
      </w:tr>
    </w:tbl>
    <w:p w:rsidR="004E42BB" w:rsidRPr="00A82ACC" w:rsidRDefault="004E42BB" w:rsidP="004E42BB">
      <w:pPr>
        <w:widowControl w:val="0"/>
        <w:spacing w:after="0" w:line="240" w:lineRule="auto"/>
        <w:ind w:left="142"/>
        <w:jc w:val="both"/>
        <w:rPr>
          <w:rFonts w:asciiTheme="majorHAnsi" w:hAnsiTheme="majorHAnsi"/>
          <w:sz w:val="16"/>
        </w:rPr>
      </w:pPr>
      <w:r w:rsidRPr="00A82ACC">
        <w:rPr>
          <w:rFonts w:asciiTheme="majorHAnsi" w:hAnsiTheme="majorHAnsi"/>
          <w:sz w:val="16"/>
        </w:rPr>
        <w:t>*</w:t>
      </w:r>
      <w:r>
        <w:rPr>
          <w:rFonts w:asciiTheme="majorHAnsi" w:hAnsiTheme="majorHAnsi"/>
          <w:sz w:val="16"/>
        </w:rPr>
        <w:t xml:space="preserve"> The multivariate analysis adjusted for demographic and clinical variables that independently associated with transmission. Due to high correlation with viral load, CD4 T cell counts were not included in the multivariate model</w:t>
      </w:r>
    </w:p>
    <w:p w:rsidR="004E42BB" w:rsidRDefault="004E42BB" w:rsidP="004E42BB">
      <w:pPr>
        <w:spacing w:after="0" w:line="240" w:lineRule="auto"/>
        <w:ind w:left="142"/>
        <w:contextualSpacing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P-values less than 0.05 are indicated in bold</w:t>
      </w:r>
    </w:p>
    <w:p w:rsidR="00C5016F" w:rsidRPr="007771D9" w:rsidRDefault="00C5016F" w:rsidP="00C5016F">
      <w:pPr>
        <w:spacing w:after="0" w:line="240" w:lineRule="auto"/>
        <w:ind w:left="142"/>
        <w:contextualSpacing/>
        <w:rPr>
          <w:rFonts w:asciiTheme="majorHAnsi" w:hAnsiTheme="majorHAnsi"/>
          <w:sz w:val="16"/>
        </w:rPr>
      </w:pPr>
      <w:proofErr w:type="spellStart"/>
      <w:r w:rsidRPr="007771D9">
        <w:rPr>
          <w:rFonts w:asciiTheme="majorHAnsi" w:hAnsiTheme="majorHAnsi"/>
          <w:sz w:val="16"/>
        </w:rPr>
        <w:t>P</w:t>
      </w:r>
      <w:r w:rsidRPr="001F71D1">
        <w:rPr>
          <w:rFonts w:asciiTheme="majorHAnsi" w:hAnsiTheme="majorHAnsi"/>
          <w:sz w:val="16"/>
          <w:vertAlign w:val="subscript"/>
        </w:rPr>
        <w:t>Bonf</w:t>
      </w:r>
      <w:proofErr w:type="spellEnd"/>
      <w:r w:rsidRPr="001F71D1">
        <w:rPr>
          <w:rFonts w:asciiTheme="majorHAnsi" w:hAnsiTheme="majorHAnsi"/>
          <w:sz w:val="16"/>
          <w:vertAlign w:val="subscript"/>
        </w:rPr>
        <w:t xml:space="preserve"> </w:t>
      </w:r>
      <w:r w:rsidRPr="007771D9">
        <w:rPr>
          <w:rFonts w:asciiTheme="majorHAnsi" w:hAnsiTheme="majorHAnsi"/>
          <w:sz w:val="16"/>
        </w:rPr>
        <w:t xml:space="preserve">– </w:t>
      </w:r>
      <w:proofErr w:type="spellStart"/>
      <w:r w:rsidR="00BA5DF1">
        <w:rPr>
          <w:rFonts w:asciiTheme="majorHAnsi" w:hAnsiTheme="majorHAnsi"/>
          <w:sz w:val="16"/>
        </w:rPr>
        <w:t>Bonferroni</w:t>
      </w:r>
      <w:proofErr w:type="spellEnd"/>
      <w:r w:rsidR="00BA5DF1">
        <w:rPr>
          <w:rFonts w:asciiTheme="majorHAnsi" w:hAnsiTheme="majorHAnsi"/>
          <w:sz w:val="16"/>
        </w:rPr>
        <w:t xml:space="preserve"> corrected P-value</w:t>
      </w:r>
      <w:bookmarkStart w:id="0" w:name="_GoBack"/>
      <w:bookmarkEnd w:id="0"/>
    </w:p>
    <w:p w:rsidR="004E42BB" w:rsidRPr="00540789" w:rsidRDefault="004E42BB" w:rsidP="004E42BB">
      <w:pPr>
        <w:spacing w:after="0" w:line="240" w:lineRule="auto"/>
        <w:ind w:left="142"/>
        <w:contextualSpacing/>
        <w:rPr>
          <w:sz w:val="18"/>
        </w:rPr>
      </w:pPr>
      <w:r>
        <w:rPr>
          <w:rFonts w:asciiTheme="majorHAnsi" w:hAnsiTheme="majorHAnsi"/>
          <w:sz w:val="16"/>
        </w:rPr>
        <w:t xml:space="preserve">AOR – adjusted odds ratio; CI – confidence interval; VL – viral load; </w:t>
      </w:r>
      <w:proofErr w:type="spellStart"/>
      <w:r>
        <w:rPr>
          <w:rFonts w:asciiTheme="majorHAnsi" w:hAnsiTheme="majorHAnsi"/>
          <w:sz w:val="16"/>
        </w:rPr>
        <w:t>bwt</w:t>
      </w:r>
      <w:proofErr w:type="spellEnd"/>
      <w:r>
        <w:rPr>
          <w:rFonts w:asciiTheme="majorHAnsi" w:hAnsiTheme="majorHAnsi"/>
          <w:sz w:val="16"/>
        </w:rPr>
        <w:t xml:space="preserve"> – birth weight; (-): The variable of interest was not detected in any of the cases and thus </w:t>
      </w:r>
      <w:r w:rsidRPr="00815340">
        <w:rPr>
          <w:rFonts w:asciiTheme="majorHAnsi" w:hAnsiTheme="majorHAnsi"/>
          <w:sz w:val="16"/>
        </w:rPr>
        <w:t xml:space="preserve">could not be </w:t>
      </w:r>
      <w:r>
        <w:rPr>
          <w:rFonts w:asciiTheme="majorHAnsi" w:hAnsiTheme="majorHAnsi"/>
          <w:sz w:val="16"/>
        </w:rPr>
        <w:t>analysed</w:t>
      </w:r>
    </w:p>
    <w:p w:rsidR="003656A8" w:rsidRPr="003656A8" w:rsidRDefault="003656A8" w:rsidP="004E42BB">
      <w:pPr>
        <w:widowControl w:val="0"/>
        <w:spacing w:after="0" w:line="240" w:lineRule="auto"/>
        <w:ind w:left="142"/>
        <w:jc w:val="both"/>
        <w:rPr>
          <w:rFonts w:asciiTheme="majorHAnsi" w:hAnsiTheme="majorHAnsi" w:cs="Times New Roman"/>
          <w:sz w:val="24"/>
          <w:lang w:val="en-GB"/>
        </w:rPr>
      </w:pPr>
    </w:p>
    <w:p w:rsidR="0055510F" w:rsidRDefault="0055510F"/>
    <w:sectPr w:rsidR="0055510F" w:rsidSect="003656A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8" w:rsidRDefault="00DD54B8">
      <w:pPr>
        <w:spacing w:after="0" w:line="240" w:lineRule="auto"/>
      </w:pPr>
      <w:r>
        <w:separator/>
      </w:r>
    </w:p>
  </w:endnote>
  <w:endnote w:type="continuationSeparator" w:id="0">
    <w:p w:rsidR="00DD54B8" w:rsidRDefault="00DD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3" w:rsidRDefault="00DD5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8" w:rsidRDefault="00DD54B8">
      <w:pPr>
        <w:spacing w:after="0" w:line="240" w:lineRule="auto"/>
      </w:pPr>
      <w:r>
        <w:separator/>
      </w:r>
    </w:p>
  </w:footnote>
  <w:footnote w:type="continuationSeparator" w:id="0">
    <w:p w:rsidR="00DD54B8" w:rsidRDefault="00DD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3" w:rsidRDefault="00DD5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8"/>
    <w:rsid w:val="00123DEB"/>
    <w:rsid w:val="00167BCD"/>
    <w:rsid w:val="002255F9"/>
    <w:rsid w:val="003656A8"/>
    <w:rsid w:val="004E42BB"/>
    <w:rsid w:val="0055510F"/>
    <w:rsid w:val="00562CEC"/>
    <w:rsid w:val="006D5B97"/>
    <w:rsid w:val="00732D50"/>
    <w:rsid w:val="00786D21"/>
    <w:rsid w:val="00791AAD"/>
    <w:rsid w:val="00844AA3"/>
    <w:rsid w:val="00BA5DF1"/>
    <w:rsid w:val="00C5016F"/>
    <w:rsid w:val="00DD54B8"/>
    <w:rsid w:val="00E83E9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A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56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6A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56A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A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56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6A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56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Lassauniere</dc:creator>
  <cp:lastModifiedBy>Ria Lassauniere</cp:lastModifiedBy>
  <cp:revision>8</cp:revision>
  <dcterms:created xsi:type="dcterms:W3CDTF">2016-01-12T13:34:00Z</dcterms:created>
  <dcterms:modified xsi:type="dcterms:W3CDTF">2016-03-11T07:59:00Z</dcterms:modified>
</cp:coreProperties>
</file>