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540" w:rsidRPr="00E113FA" w:rsidRDefault="00E113FA" w:rsidP="00BF0C00">
      <w:pPr>
        <w:spacing w:after="0" w:line="480" w:lineRule="auto"/>
        <w:rPr>
          <w:rFonts w:ascii="Times New Roman" w:hAnsi="Times New Roman"/>
          <w:sz w:val="24"/>
          <w:szCs w:val="24"/>
        </w:rPr>
      </w:pPr>
      <w:bookmarkStart w:id="0" w:name="_GoBack"/>
      <w:bookmarkEnd w:id="0"/>
      <w:r>
        <w:rPr>
          <w:rFonts w:ascii="Times New Roman" w:hAnsi="Times New Roman"/>
          <w:sz w:val="24"/>
          <w:szCs w:val="24"/>
        </w:rPr>
        <w:t>Online Supplement</w:t>
      </w:r>
    </w:p>
    <w:p w:rsidR="00DF7512" w:rsidRDefault="00DF7512" w:rsidP="007723CB">
      <w:pPr>
        <w:spacing w:after="0" w:line="480" w:lineRule="auto"/>
        <w:jc w:val="center"/>
        <w:rPr>
          <w:rFonts w:ascii="Times New Roman" w:hAnsi="Times New Roman"/>
          <w:b/>
          <w:sz w:val="24"/>
          <w:szCs w:val="24"/>
        </w:rPr>
      </w:pPr>
    </w:p>
    <w:p w:rsidR="007723CB" w:rsidRDefault="007723CB" w:rsidP="001E0CF5">
      <w:pPr>
        <w:spacing w:after="0" w:line="480" w:lineRule="auto"/>
        <w:rPr>
          <w:rFonts w:ascii="Times New Roman" w:hAnsi="Times New Roman"/>
          <w:b/>
          <w:sz w:val="24"/>
          <w:szCs w:val="24"/>
        </w:rPr>
      </w:pPr>
      <w:r w:rsidRPr="00BF0C00">
        <w:rPr>
          <w:rFonts w:ascii="Times New Roman" w:hAnsi="Times New Roman"/>
          <w:b/>
          <w:sz w:val="24"/>
          <w:szCs w:val="24"/>
        </w:rPr>
        <w:t>Supplementary Analyses</w:t>
      </w:r>
      <w:r>
        <w:rPr>
          <w:rFonts w:ascii="Times New Roman" w:hAnsi="Times New Roman"/>
          <w:b/>
          <w:sz w:val="24"/>
          <w:szCs w:val="24"/>
        </w:rPr>
        <w:t xml:space="preserve"> </w:t>
      </w:r>
    </w:p>
    <w:p w:rsidR="001E0CF5" w:rsidRPr="001E0CF5" w:rsidRDefault="001E0CF5" w:rsidP="007723CB">
      <w:pPr>
        <w:spacing w:after="0" w:line="480" w:lineRule="auto"/>
        <w:rPr>
          <w:rFonts w:ascii="Times New Roman" w:hAnsi="Times New Roman"/>
          <w:sz w:val="24"/>
          <w:szCs w:val="24"/>
          <w:u w:val="single"/>
        </w:rPr>
      </w:pPr>
      <w:r w:rsidRPr="001E0CF5">
        <w:rPr>
          <w:rFonts w:ascii="Times New Roman" w:hAnsi="Times New Roman"/>
          <w:sz w:val="24"/>
          <w:szCs w:val="24"/>
          <w:u w:val="single"/>
        </w:rPr>
        <w:t>Results from estimation of 12 month data</w:t>
      </w:r>
    </w:p>
    <w:p w:rsidR="007723CB" w:rsidRDefault="007723CB" w:rsidP="007723CB">
      <w:pPr>
        <w:spacing w:after="0" w:line="480" w:lineRule="auto"/>
        <w:rPr>
          <w:rFonts w:ascii="Times New Roman" w:hAnsi="Times New Roman"/>
          <w:sz w:val="24"/>
          <w:szCs w:val="24"/>
        </w:rPr>
      </w:pPr>
      <w:r>
        <w:rPr>
          <w:rFonts w:ascii="Times New Roman" w:hAnsi="Times New Roman"/>
          <w:sz w:val="24"/>
          <w:szCs w:val="24"/>
        </w:rPr>
        <w:t xml:space="preserve">We provide results of Marginal Structural Model analysis defining exposure as occupational injury or no occupational injury and outcome as job loss versus no job loss. This analysis was conducted among the 1,116 workers for whom we can investigate the data </w:t>
      </w:r>
      <w:r w:rsidR="001A3722">
        <w:rPr>
          <w:rFonts w:ascii="Times New Roman" w:hAnsi="Times New Roman"/>
          <w:sz w:val="24"/>
          <w:szCs w:val="24"/>
        </w:rPr>
        <w:t>in annual interval.</w:t>
      </w:r>
    </w:p>
    <w:p w:rsidR="001A3722" w:rsidRDefault="001A3722" w:rsidP="001A3722">
      <w:pPr>
        <w:spacing w:after="0" w:line="480" w:lineRule="auto"/>
        <w:rPr>
          <w:rFonts w:ascii="Times New Roman" w:hAnsi="Times New Roman"/>
          <w:sz w:val="24"/>
          <w:szCs w:val="24"/>
        </w:rPr>
      </w:pPr>
    </w:p>
    <w:p w:rsidR="007723CB" w:rsidRPr="001A3722" w:rsidRDefault="001A3722" w:rsidP="001A3722">
      <w:pPr>
        <w:spacing w:after="0" w:line="480" w:lineRule="auto"/>
        <w:rPr>
          <w:rFonts w:ascii="Times New Roman" w:hAnsi="Times New Roman"/>
          <w:sz w:val="24"/>
          <w:szCs w:val="24"/>
        </w:rPr>
      </w:pPr>
      <w:r w:rsidRPr="001A3722">
        <w:rPr>
          <w:rFonts w:ascii="Times New Roman" w:hAnsi="Times New Roman"/>
          <w:sz w:val="24"/>
          <w:szCs w:val="24"/>
        </w:rPr>
        <w:t xml:space="preserve">Supplementary </w:t>
      </w:r>
      <w:r w:rsidR="007723CB" w:rsidRPr="001A3722">
        <w:rPr>
          <w:rFonts w:ascii="Times New Roman" w:hAnsi="Times New Roman"/>
          <w:sz w:val="24"/>
          <w:szCs w:val="24"/>
        </w:rPr>
        <w:t>Table A.</w:t>
      </w:r>
      <w:r w:rsidRPr="001A3722">
        <w:rPr>
          <w:rFonts w:ascii="Times New Roman" w:hAnsi="Times New Roman"/>
          <w:sz w:val="24"/>
          <w:szCs w:val="24"/>
        </w:rPr>
        <w:t xml:space="preserve"> MSM results of the associations between </w:t>
      </w:r>
      <w:r>
        <w:rPr>
          <w:rFonts w:ascii="Times New Roman" w:hAnsi="Times New Roman"/>
          <w:sz w:val="24"/>
          <w:szCs w:val="24"/>
        </w:rPr>
        <w:t xml:space="preserve">those reporting experience of </w:t>
      </w:r>
      <w:r w:rsidRPr="001A3722">
        <w:rPr>
          <w:rFonts w:ascii="Times New Roman" w:hAnsi="Times New Roman"/>
          <w:sz w:val="24"/>
          <w:szCs w:val="24"/>
        </w:rPr>
        <w:t xml:space="preserve">occupational injuries </w:t>
      </w:r>
      <w:r>
        <w:rPr>
          <w:rFonts w:ascii="Times New Roman" w:hAnsi="Times New Roman"/>
          <w:sz w:val="24"/>
          <w:szCs w:val="24"/>
        </w:rPr>
        <w:t xml:space="preserve">in past six months </w:t>
      </w:r>
      <w:r w:rsidRPr="001A3722">
        <w:rPr>
          <w:rFonts w:ascii="Times New Roman" w:hAnsi="Times New Roman"/>
          <w:sz w:val="24"/>
          <w:szCs w:val="24"/>
        </w:rPr>
        <w:t>and</w:t>
      </w:r>
      <w:r>
        <w:rPr>
          <w:rFonts w:ascii="Times New Roman" w:hAnsi="Times New Roman"/>
          <w:sz w:val="24"/>
          <w:szCs w:val="24"/>
        </w:rPr>
        <w:t xml:space="preserve"> subsequent experience of</w:t>
      </w:r>
      <w:r w:rsidRPr="001A3722">
        <w:rPr>
          <w:rFonts w:ascii="Times New Roman" w:hAnsi="Times New Roman"/>
          <w:sz w:val="24"/>
          <w:szCs w:val="24"/>
        </w:rPr>
        <w:t xml:space="preserve"> job loss </w:t>
      </w:r>
      <w:r>
        <w:rPr>
          <w:rFonts w:ascii="Times New Roman" w:hAnsi="Times New Roman"/>
          <w:sz w:val="24"/>
          <w:szCs w:val="24"/>
        </w:rPr>
        <w:t>within year</w:t>
      </w:r>
    </w:p>
    <w:tbl>
      <w:tblPr>
        <w:tblW w:w="0" w:type="auto"/>
        <w:tblInd w:w="480" w:type="dxa"/>
        <w:tblLook w:val="04A0" w:firstRow="1" w:lastRow="0" w:firstColumn="1" w:lastColumn="0" w:noHBand="0" w:noVBand="1"/>
      </w:tblPr>
      <w:tblGrid>
        <w:gridCol w:w="5040"/>
        <w:gridCol w:w="2367"/>
      </w:tblGrid>
      <w:tr w:rsidR="001A3722" w:rsidRPr="0010072A" w:rsidTr="001A3722">
        <w:trPr>
          <w:trHeight w:val="568"/>
        </w:trPr>
        <w:tc>
          <w:tcPr>
            <w:tcW w:w="5040" w:type="dxa"/>
            <w:tcBorders>
              <w:top w:val="single" w:sz="4" w:space="0" w:color="auto"/>
              <w:bottom w:val="single" w:sz="4" w:space="0" w:color="auto"/>
            </w:tcBorders>
            <w:shd w:val="clear" w:color="auto" w:fill="auto"/>
          </w:tcPr>
          <w:p w:rsidR="001A3722" w:rsidRPr="0010072A" w:rsidRDefault="001A3722" w:rsidP="005E1BD1">
            <w:pPr>
              <w:spacing w:after="0" w:line="480" w:lineRule="auto"/>
              <w:rPr>
                <w:rFonts w:ascii="Times New Roman" w:hAnsi="Times New Roman"/>
                <w:sz w:val="24"/>
                <w:szCs w:val="24"/>
              </w:rPr>
            </w:pPr>
          </w:p>
        </w:tc>
        <w:tc>
          <w:tcPr>
            <w:tcW w:w="2367" w:type="dxa"/>
            <w:tcBorders>
              <w:top w:val="single" w:sz="4" w:space="0" w:color="auto"/>
              <w:bottom w:val="single" w:sz="4" w:space="0" w:color="auto"/>
            </w:tcBorders>
            <w:shd w:val="clear" w:color="auto" w:fill="auto"/>
          </w:tcPr>
          <w:p w:rsidR="001A3722" w:rsidRPr="0010072A" w:rsidRDefault="001A3722" w:rsidP="005E1BD1">
            <w:pPr>
              <w:spacing w:after="0" w:line="480" w:lineRule="auto"/>
              <w:rPr>
                <w:rFonts w:ascii="Times New Roman" w:eastAsia="Times New Roman" w:hAnsi="Times New Roman"/>
                <w:color w:val="000000"/>
                <w:sz w:val="24"/>
                <w:szCs w:val="24"/>
              </w:rPr>
            </w:pPr>
            <w:r w:rsidRPr="0010072A">
              <w:rPr>
                <w:rFonts w:ascii="Times New Roman" w:eastAsia="Times New Roman" w:hAnsi="Times New Roman"/>
                <w:color w:val="000000"/>
                <w:sz w:val="24"/>
                <w:szCs w:val="24"/>
              </w:rPr>
              <w:t>12 month (N= 1,116)</w:t>
            </w:r>
          </w:p>
          <w:p w:rsidR="001A3722" w:rsidRPr="0010072A" w:rsidRDefault="001A3722" w:rsidP="005E1BD1">
            <w:pPr>
              <w:spacing w:after="0" w:line="480" w:lineRule="auto"/>
              <w:rPr>
                <w:rFonts w:ascii="Times New Roman" w:eastAsia="Times New Roman" w:hAnsi="Times New Roman"/>
                <w:color w:val="000000"/>
                <w:sz w:val="24"/>
                <w:szCs w:val="24"/>
              </w:rPr>
            </w:pPr>
            <w:r w:rsidRPr="0010072A">
              <w:rPr>
                <w:rFonts w:ascii="Times New Roman" w:eastAsia="Times New Roman" w:hAnsi="Times New Roman"/>
                <w:color w:val="000000"/>
                <w:sz w:val="24"/>
                <w:szCs w:val="24"/>
              </w:rPr>
              <w:t>RR (95% CI)</w:t>
            </w:r>
          </w:p>
        </w:tc>
      </w:tr>
      <w:tr w:rsidR="001A3722" w:rsidRPr="0010072A" w:rsidTr="001A3722">
        <w:trPr>
          <w:trHeight w:val="283"/>
        </w:trPr>
        <w:tc>
          <w:tcPr>
            <w:tcW w:w="5040" w:type="dxa"/>
            <w:tcBorders>
              <w:top w:val="single" w:sz="4" w:space="0" w:color="auto"/>
            </w:tcBorders>
            <w:shd w:val="clear" w:color="auto" w:fill="auto"/>
          </w:tcPr>
          <w:p w:rsidR="001A3722" w:rsidRPr="0010072A" w:rsidRDefault="001A3722" w:rsidP="005E1BD1">
            <w:pPr>
              <w:spacing w:after="0" w:line="480" w:lineRule="auto"/>
              <w:rPr>
                <w:rFonts w:ascii="Times New Roman" w:hAnsi="Times New Roman"/>
                <w:sz w:val="24"/>
                <w:szCs w:val="24"/>
              </w:rPr>
            </w:pPr>
            <w:r w:rsidRPr="004236A8">
              <w:rPr>
                <w:rFonts w:ascii="Times New Roman" w:hAnsi="Times New Roman"/>
                <w:sz w:val="24"/>
                <w:szCs w:val="24"/>
              </w:rPr>
              <w:t>Crude</w:t>
            </w:r>
            <w:r w:rsidRPr="0010072A">
              <w:rPr>
                <w:rFonts w:ascii="Times New Roman" w:hAnsi="Times New Roman"/>
                <w:sz w:val="24"/>
                <w:szCs w:val="24"/>
              </w:rPr>
              <w:t xml:space="preserve"> </w:t>
            </w:r>
            <w:r>
              <w:rPr>
                <w:rFonts w:ascii="Times New Roman" w:hAnsi="Times New Roman"/>
                <w:sz w:val="24"/>
                <w:szCs w:val="24"/>
              </w:rPr>
              <w:t xml:space="preserve">MSM </w:t>
            </w:r>
          </w:p>
        </w:tc>
        <w:tc>
          <w:tcPr>
            <w:tcW w:w="2367" w:type="dxa"/>
            <w:tcBorders>
              <w:top w:val="single" w:sz="4" w:space="0" w:color="auto"/>
            </w:tcBorders>
            <w:shd w:val="clear" w:color="auto" w:fill="auto"/>
          </w:tcPr>
          <w:p w:rsidR="001A3722" w:rsidRPr="0010072A" w:rsidRDefault="009B0033" w:rsidP="005E1BD1">
            <w:pPr>
              <w:spacing w:after="0" w:line="480" w:lineRule="auto"/>
              <w:rPr>
                <w:rFonts w:ascii="Times New Roman" w:hAnsi="Times New Roman"/>
                <w:sz w:val="24"/>
                <w:szCs w:val="24"/>
              </w:rPr>
            </w:pPr>
            <w:r>
              <w:rPr>
                <w:rFonts w:ascii="Times New Roman" w:hAnsi="Times New Roman"/>
                <w:sz w:val="24"/>
                <w:szCs w:val="24"/>
              </w:rPr>
              <w:t>1.90</w:t>
            </w:r>
            <w:r w:rsidR="001A3722" w:rsidRPr="0010072A">
              <w:rPr>
                <w:rFonts w:ascii="Times New Roman" w:hAnsi="Times New Roman"/>
                <w:sz w:val="24"/>
                <w:szCs w:val="24"/>
              </w:rPr>
              <w:t xml:space="preserve"> </w:t>
            </w:r>
            <w:r>
              <w:rPr>
                <w:rFonts w:ascii="Times New Roman" w:hAnsi="Times New Roman"/>
                <w:sz w:val="24"/>
                <w:szCs w:val="24"/>
              </w:rPr>
              <w:t>(1.21, 2.99</w:t>
            </w:r>
            <w:r w:rsidR="001A3722" w:rsidRPr="0010072A">
              <w:rPr>
                <w:rFonts w:ascii="Times New Roman" w:hAnsi="Times New Roman"/>
                <w:sz w:val="24"/>
                <w:szCs w:val="24"/>
              </w:rPr>
              <w:t>)</w:t>
            </w:r>
          </w:p>
        </w:tc>
      </w:tr>
      <w:tr w:rsidR="001A3722" w:rsidRPr="0010072A" w:rsidTr="001A3722">
        <w:trPr>
          <w:trHeight w:val="279"/>
        </w:trPr>
        <w:tc>
          <w:tcPr>
            <w:tcW w:w="5040" w:type="dxa"/>
            <w:tcBorders>
              <w:bottom w:val="single" w:sz="4" w:space="0" w:color="auto"/>
            </w:tcBorders>
            <w:shd w:val="clear" w:color="auto" w:fill="auto"/>
          </w:tcPr>
          <w:p w:rsidR="001A3722" w:rsidRPr="0010072A" w:rsidRDefault="001A3722" w:rsidP="005E1BD1">
            <w:pPr>
              <w:spacing w:after="0" w:line="480" w:lineRule="auto"/>
              <w:rPr>
                <w:rFonts w:ascii="Times New Roman" w:hAnsi="Times New Roman"/>
                <w:sz w:val="24"/>
                <w:szCs w:val="24"/>
              </w:rPr>
            </w:pPr>
            <w:r>
              <w:rPr>
                <w:rFonts w:ascii="Times New Roman" w:hAnsi="Times New Roman"/>
                <w:sz w:val="24"/>
                <w:szCs w:val="24"/>
              </w:rPr>
              <w:t>M</w:t>
            </w:r>
            <w:r w:rsidRPr="0010072A">
              <w:rPr>
                <w:rFonts w:ascii="Times New Roman" w:hAnsi="Times New Roman"/>
                <w:sz w:val="24"/>
                <w:szCs w:val="24"/>
              </w:rPr>
              <w:t xml:space="preserve">ultivariable </w:t>
            </w:r>
            <w:r>
              <w:rPr>
                <w:rFonts w:ascii="Times New Roman" w:hAnsi="Times New Roman"/>
                <w:sz w:val="24"/>
                <w:szCs w:val="24"/>
              </w:rPr>
              <w:t>MSM</w:t>
            </w:r>
          </w:p>
        </w:tc>
        <w:tc>
          <w:tcPr>
            <w:tcW w:w="2367" w:type="dxa"/>
            <w:tcBorders>
              <w:bottom w:val="single" w:sz="4" w:space="0" w:color="auto"/>
            </w:tcBorders>
            <w:shd w:val="clear" w:color="auto" w:fill="auto"/>
          </w:tcPr>
          <w:p w:rsidR="001A3722" w:rsidRPr="0010072A" w:rsidRDefault="009B0033" w:rsidP="005E1BD1">
            <w:pPr>
              <w:spacing w:after="0" w:line="48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1.61 (1.03, 2.53</w:t>
            </w:r>
            <w:r w:rsidR="001A3722" w:rsidRPr="0010072A">
              <w:rPr>
                <w:rFonts w:ascii="Times New Roman" w:eastAsia="Times New Roman" w:hAnsi="Times New Roman"/>
                <w:color w:val="000000"/>
                <w:sz w:val="24"/>
                <w:szCs w:val="24"/>
              </w:rPr>
              <w:t>)</w:t>
            </w:r>
          </w:p>
        </w:tc>
      </w:tr>
    </w:tbl>
    <w:p w:rsidR="001A3722" w:rsidRDefault="001A3722">
      <w:pPr>
        <w:spacing w:after="0" w:line="240" w:lineRule="auto"/>
        <w:rPr>
          <w:rFonts w:ascii="Times New Roman" w:hAnsi="Times New Roman"/>
          <w:b/>
          <w:sz w:val="24"/>
          <w:szCs w:val="24"/>
        </w:rPr>
      </w:pPr>
    </w:p>
    <w:p w:rsidR="007723CB" w:rsidRDefault="007723CB" w:rsidP="00BF0C00">
      <w:pPr>
        <w:spacing w:after="0" w:line="480" w:lineRule="auto"/>
        <w:jc w:val="center"/>
        <w:rPr>
          <w:rFonts w:ascii="Times New Roman" w:hAnsi="Times New Roman"/>
          <w:b/>
          <w:sz w:val="24"/>
          <w:szCs w:val="24"/>
        </w:rPr>
      </w:pPr>
    </w:p>
    <w:p w:rsidR="008D5808" w:rsidRDefault="008D5808" w:rsidP="00BF0C00">
      <w:pPr>
        <w:spacing w:after="0" w:line="480" w:lineRule="auto"/>
        <w:jc w:val="center"/>
        <w:rPr>
          <w:rFonts w:ascii="Times New Roman" w:hAnsi="Times New Roman"/>
          <w:b/>
          <w:sz w:val="24"/>
          <w:szCs w:val="24"/>
        </w:rPr>
      </w:pPr>
    </w:p>
    <w:p w:rsidR="007723CB" w:rsidRDefault="007723CB">
      <w:pPr>
        <w:spacing w:after="0" w:line="240" w:lineRule="auto"/>
        <w:rPr>
          <w:rFonts w:ascii="Times New Roman" w:hAnsi="Times New Roman"/>
          <w:b/>
          <w:sz w:val="24"/>
          <w:szCs w:val="24"/>
        </w:rPr>
      </w:pPr>
      <w:r>
        <w:rPr>
          <w:rFonts w:ascii="Times New Roman" w:hAnsi="Times New Roman"/>
          <w:b/>
          <w:sz w:val="24"/>
          <w:szCs w:val="24"/>
        </w:rPr>
        <w:br w:type="page"/>
      </w:r>
    </w:p>
    <w:p w:rsidR="00EE43CA" w:rsidRPr="00F70F04" w:rsidRDefault="00F70F04" w:rsidP="00BF0C00">
      <w:pPr>
        <w:spacing w:after="0" w:line="480" w:lineRule="auto"/>
        <w:rPr>
          <w:rFonts w:ascii="Times New Roman" w:hAnsi="Times New Roman"/>
          <w:sz w:val="24"/>
          <w:szCs w:val="24"/>
          <w:u w:val="single"/>
        </w:rPr>
      </w:pPr>
      <w:r w:rsidRPr="00F70F04">
        <w:rPr>
          <w:rFonts w:ascii="Times New Roman" w:hAnsi="Times New Roman"/>
          <w:sz w:val="24"/>
          <w:szCs w:val="24"/>
          <w:u w:val="single"/>
        </w:rPr>
        <w:lastRenderedPageBreak/>
        <w:t>Understanding associations between turnover intentions and job loss</w:t>
      </w:r>
    </w:p>
    <w:p w:rsidR="001D3540" w:rsidRPr="00E113FA" w:rsidRDefault="001D3540" w:rsidP="00BF0C00">
      <w:pPr>
        <w:spacing w:after="0" w:line="480" w:lineRule="auto"/>
        <w:rPr>
          <w:rFonts w:ascii="Times New Roman" w:hAnsi="Times New Roman"/>
          <w:sz w:val="24"/>
          <w:szCs w:val="24"/>
        </w:rPr>
      </w:pPr>
      <w:r w:rsidRPr="00E113FA">
        <w:rPr>
          <w:rFonts w:ascii="Times New Roman" w:hAnsi="Times New Roman"/>
          <w:sz w:val="24"/>
          <w:szCs w:val="24"/>
        </w:rPr>
        <w:t>Methods:</w:t>
      </w:r>
    </w:p>
    <w:p w:rsidR="001D3540" w:rsidRPr="00E113FA" w:rsidRDefault="001D3540" w:rsidP="00BF0C00">
      <w:pPr>
        <w:spacing w:after="0" w:line="480" w:lineRule="auto"/>
        <w:rPr>
          <w:rFonts w:ascii="Times New Roman" w:hAnsi="Times New Roman"/>
          <w:sz w:val="24"/>
          <w:szCs w:val="24"/>
        </w:rPr>
      </w:pPr>
      <w:r w:rsidRPr="00E113FA">
        <w:rPr>
          <w:rFonts w:ascii="Times New Roman" w:hAnsi="Times New Roman"/>
          <w:sz w:val="24"/>
          <w:szCs w:val="24"/>
        </w:rPr>
        <w:t>We conducted two supplemental analyses to further understand the sample. First, we sought to understand if those who subsequently reported occupational injuries had higher turnover intentions at baseline. We ran separate mixed effects logistic regression models with turnover intentions at baseline predicting risks of occupational injury at 6, 12, and 18 months among the 1076 workers who were uninjured at baseline. The second set of mixed effects linear regression models estimated the impact of injury at each time point on turnover intentions at the next assessment point (e.g., baseline injury predicted turnover intentions at 6 months).</w:t>
      </w:r>
    </w:p>
    <w:p w:rsidR="001D3540" w:rsidRPr="00E113FA" w:rsidRDefault="001D3540" w:rsidP="00BF0C00">
      <w:pPr>
        <w:spacing w:after="0" w:line="480" w:lineRule="auto"/>
        <w:rPr>
          <w:rFonts w:ascii="Times New Roman" w:hAnsi="Times New Roman"/>
          <w:sz w:val="24"/>
          <w:szCs w:val="24"/>
        </w:rPr>
      </w:pPr>
    </w:p>
    <w:p w:rsidR="001D3540" w:rsidRPr="00E113FA" w:rsidRDefault="001D3540" w:rsidP="00BF0C00">
      <w:pPr>
        <w:spacing w:after="0" w:line="480" w:lineRule="auto"/>
        <w:rPr>
          <w:rFonts w:ascii="Times New Roman" w:hAnsi="Times New Roman"/>
          <w:sz w:val="24"/>
          <w:szCs w:val="24"/>
        </w:rPr>
      </w:pPr>
      <w:r w:rsidRPr="00E113FA">
        <w:rPr>
          <w:rFonts w:ascii="Times New Roman" w:hAnsi="Times New Roman"/>
          <w:sz w:val="24"/>
          <w:szCs w:val="24"/>
        </w:rPr>
        <w:t>Results</w:t>
      </w:r>
    </w:p>
    <w:p w:rsidR="001D3540" w:rsidRPr="00E113FA" w:rsidRDefault="001D3540" w:rsidP="00BF0C00">
      <w:pPr>
        <w:spacing w:after="0" w:line="480" w:lineRule="auto"/>
        <w:rPr>
          <w:rFonts w:ascii="Times New Roman" w:hAnsi="Times New Roman"/>
          <w:sz w:val="24"/>
          <w:szCs w:val="24"/>
        </w:rPr>
      </w:pPr>
      <w:r w:rsidRPr="00E113FA">
        <w:rPr>
          <w:rFonts w:ascii="Times New Roman" w:hAnsi="Times New Roman"/>
          <w:sz w:val="24"/>
          <w:szCs w:val="24"/>
        </w:rPr>
        <w:t>At baseline, 255 (19.2%) workers reported having an injury in the past 6 months, thereby leaving 1076 for our longitudinal investigation of whether those who subsequently reported an occupational injury had higher turnover intentions at baseline. These multivariable models demonstrated that baseline turnover intentions did not predict subsequent reports</w:t>
      </w:r>
      <w:r w:rsidR="00D0272B" w:rsidRPr="00E113FA">
        <w:rPr>
          <w:rFonts w:ascii="Times New Roman" w:hAnsi="Times New Roman"/>
          <w:sz w:val="24"/>
          <w:szCs w:val="24"/>
        </w:rPr>
        <w:t xml:space="preserve"> of occupational injury (Table </w:t>
      </w:r>
      <w:r w:rsidR="00F70F04">
        <w:rPr>
          <w:rFonts w:ascii="Times New Roman" w:hAnsi="Times New Roman"/>
          <w:sz w:val="24"/>
          <w:szCs w:val="24"/>
        </w:rPr>
        <w:t>A</w:t>
      </w:r>
      <w:r w:rsidRPr="00E113FA">
        <w:rPr>
          <w:rFonts w:ascii="Times New Roman" w:hAnsi="Times New Roman"/>
          <w:sz w:val="24"/>
          <w:szCs w:val="24"/>
        </w:rPr>
        <w:t>). In contrast, worker reports of occupational injury at baseline significantly predicted increases in turnover intentions at 6- and 12-month assessments; however, occupational injuries at 6 and 12 months did not predict subsequ</w:t>
      </w:r>
      <w:r w:rsidR="00D0272B" w:rsidRPr="00E113FA">
        <w:rPr>
          <w:rFonts w:ascii="Times New Roman" w:hAnsi="Times New Roman"/>
          <w:sz w:val="24"/>
          <w:szCs w:val="24"/>
        </w:rPr>
        <w:t xml:space="preserve">ent turnover intentions (Table </w:t>
      </w:r>
      <w:r w:rsidR="00F70F04">
        <w:rPr>
          <w:rFonts w:ascii="Times New Roman" w:hAnsi="Times New Roman"/>
          <w:sz w:val="24"/>
          <w:szCs w:val="24"/>
        </w:rPr>
        <w:t>B</w:t>
      </w:r>
      <w:r w:rsidRPr="00E113FA">
        <w:rPr>
          <w:rFonts w:ascii="Times New Roman" w:hAnsi="Times New Roman"/>
          <w:sz w:val="24"/>
          <w:szCs w:val="24"/>
        </w:rPr>
        <w:t xml:space="preserve">). </w:t>
      </w:r>
    </w:p>
    <w:p w:rsidR="001D3540" w:rsidRPr="00E113FA" w:rsidRDefault="001D3540" w:rsidP="00BF0C00">
      <w:pPr>
        <w:spacing w:after="0" w:line="480" w:lineRule="auto"/>
        <w:rPr>
          <w:rFonts w:ascii="Times New Roman" w:hAnsi="Times New Roman"/>
          <w:sz w:val="24"/>
          <w:szCs w:val="24"/>
        </w:rPr>
      </w:pPr>
    </w:p>
    <w:p w:rsidR="00904211" w:rsidRPr="00E113FA" w:rsidRDefault="00904211" w:rsidP="00BF0C00">
      <w:pPr>
        <w:spacing w:after="0" w:line="480" w:lineRule="auto"/>
        <w:rPr>
          <w:rFonts w:ascii="Times New Roman" w:hAnsi="Times New Roman"/>
          <w:sz w:val="24"/>
          <w:szCs w:val="24"/>
        </w:rPr>
      </w:pPr>
      <w:r w:rsidRPr="00E113FA">
        <w:rPr>
          <w:rFonts w:ascii="Times New Roman" w:hAnsi="Times New Roman"/>
          <w:sz w:val="24"/>
          <w:szCs w:val="24"/>
        </w:rPr>
        <w:br w:type="page"/>
      </w:r>
    </w:p>
    <w:p w:rsidR="001D3540" w:rsidRPr="00E113FA" w:rsidRDefault="001D3540" w:rsidP="00BF0C00">
      <w:pPr>
        <w:spacing w:after="0" w:line="480" w:lineRule="auto"/>
        <w:rPr>
          <w:rFonts w:ascii="Times New Roman" w:hAnsi="Times New Roman"/>
          <w:sz w:val="24"/>
          <w:szCs w:val="24"/>
        </w:rPr>
      </w:pPr>
    </w:p>
    <w:p w:rsidR="001D3540" w:rsidRPr="00E113FA" w:rsidRDefault="001D3540" w:rsidP="00BF0C00">
      <w:pPr>
        <w:spacing w:after="0" w:line="480" w:lineRule="auto"/>
        <w:rPr>
          <w:rFonts w:ascii="Times New Roman" w:hAnsi="Times New Roman"/>
          <w:sz w:val="24"/>
          <w:szCs w:val="24"/>
        </w:rPr>
      </w:pPr>
    </w:p>
    <w:p w:rsidR="00904211" w:rsidRPr="00E113FA" w:rsidRDefault="00D0272B" w:rsidP="00BF0C00">
      <w:pPr>
        <w:spacing w:after="0" w:line="480" w:lineRule="auto"/>
        <w:rPr>
          <w:rFonts w:ascii="Times New Roman" w:hAnsi="Times New Roman"/>
          <w:sz w:val="24"/>
          <w:szCs w:val="24"/>
          <w:vertAlign w:val="superscript"/>
        </w:rPr>
      </w:pPr>
      <w:r w:rsidRPr="00E113FA">
        <w:rPr>
          <w:rFonts w:ascii="Times New Roman" w:hAnsi="Times New Roman"/>
          <w:sz w:val="24"/>
          <w:szCs w:val="24"/>
        </w:rPr>
        <w:t xml:space="preserve">Supplemental Table </w:t>
      </w:r>
      <w:r w:rsidR="00F70F04">
        <w:rPr>
          <w:rFonts w:ascii="Times New Roman" w:hAnsi="Times New Roman"/>
          <w:sz w:val="24"/>
          <w:szCs w:val="24"/>
        </w:rPr>
        <w:t>A</w:t>
      </w:r>
      <w:r w:rsidR="001D3540" w:rsidRPr="00E113FA">
        <w:rPr>
          <w:rFonts w:ascii="Times New Roman" w:hAnsi="Times New Roman"/>
          <w:sz w:val="24"/>
          <w:szCs w:val="24"/>
        </w:rPr>
        <w:t xml:space="preserve">. The association of baseline turnover intentions with occupational injury </w:t>
      </w:r>
      <w:r w:rsidR="00904211" w:rsidRPr="00E113FA">
        <w:rPr>
          <w:rFonts w:ascii="Times New Roman" w:hAnsi="Times New Roman"/>
          <w:sz w:val="24"/>
          <w:szCs w:val="24"/>
        </w:rPr>
        <w:t>at 6, 12, and 18 months for workers who report no occupational injury at baseline (N=1076).</w:t>
      </w:r>
      <w:r w:rsidR="00904211" w:rsidRPr="00E113FA">
        <w:rPr>
          <w:rFonts w:ascii="Times New Roman" w:hAnsi="Times New Roman"/>
          <w:sz w:val="24"/>
          <w:szCs w:val="24"/>
          <w:vertAlign w:val="superscript"/>
        </w:rPr>
        <w:t xml:space="preserve"> a</w:t>
      </w:r>
    </w:p>
    <w:tbl>
      <w:tblPr>
        <w:tblpPr w:leftFromText="180" w:rightFromText="180" w:vertAnchor="text" w:horzAnchor="margin" w:tblpXSpec="center" w:tblpY="694"/>
        <w:tblW w:w="10489" w:type="dxa"/>
        <w:tblBorders>
          <w:top w:val="single" w:sz="4" w:space="0" w:color="auto"/>
          <w:bottom w:val="single" w:sz="4" w:space="0" w:color="auto"/>
        </w:tblBorders>
        <w:tblLayout w:type="fixed"/>
        <w:tblLook w:val="04A0" w:firstRow="1" w:lastRow="0" w:firstColumn="1" w:lastColumn="0" w:noHBand="0" w:noVBand="1"/>
      </w:tblPr>
      <w:tblGrid>
        <w:gridCol w:w="3091"/>
        <w:gridCol w:w="682"/>
        <w:gridCol w:w="1569"/>
        <w:gridCol w:w="939"/>
        <w:gridCol w:w="1368"/>
        <w:gridCol w:w="1428"/>
        <w:gridCol w:w="1412"/>
      </w:tblGrid>
      <w:tr w:rsidR="00904211" w:rsidRPr="00E113FA" w:rsidTr="00A93B8A">
        <w:trPr>
          <w:trHeight w:val="438"/>
        </w:trPr>
        <w:tc>
          <w:tcPr>
            <w:tcW w:w="3091" w:type="dxa"/>
            <w:tcBorders>
              <w:top w:val="single" w:sz="4" w:space="0" w:color="auto"/>
              <w:bottom w:val="single" w:sz="4" w:space="0" w:color="auto"/>
            </w:tcBorders>
            <w:shd w:val="clear" w:color="auto" w:fill="auto"/>
          </w:tcPr>
          <w:p w:rsidR="00904211" w:rsidRPr="00E113FA" w:rsidRDefault="00904211" w:rsidP="00BF0C00">
            <w:pPr>
              <w:spacing w:after="0" w:line="480" w:lineRule="auto"/>
              <w:rPr>
                <w:rFonts w:ascii="Times New Roman" w:hAnsi="Times New Roman"/>
                <w:sz w:val="24"/>
                <w:szCs w:val="24"/>
              </w:rPr>
            </w:pPr>
          </w:p>
        </w:tc>
        <w:tc>
          <w:tcPr>
            <w:tcW w:w="2251" w:type="dxa"/>
            <w:gridSpan w:val="2"/>
            <w:tcBorders>
              <w:top w:val="single" w:sz="4" w:space="0" w:color="auto"/>
              <w:bottom w:val="single" w:sz="4" w:space="0" w:color="auto"/>
            </w:tcBorders>
            <w:shd w:val="clear" w:color="auto" w:fill="auto"/>
          </w:tcPr>
          <w:p w:rsidR="00904211" w:rsidRPr="00E113FA" w:rsidRDefault="00904211" w:rsidP="00BF0C00">
            <w:pPr>
              <w:spacing w:after="0" w:line="480" w:lineRule="auto"/>
              <w:rPr>
                <w:rFonts w:ascii="Times New Roman" w:hAnsi="Times New Roman"/>
                <w:sz w:val="24"/>
                <w:szCs w:val="24"/>
              </w:rPr>
            </w:pPr>
            <w:r w:rsidRPr="00E113FA">
              <w:rPr>
                <w:rFonts w:ascii="Times New Roman" w:hAnsi="Times New Roman"/>
                <w:sz w:val="24"/>
                <w:szCs w:val="24"/>
              </w:rPr>
              <w:t>Injury at 6 months</w:t>
            </w:r>
          </w:p>
          <w:p w:rsidR="00904211" w:rsidRPr="00E113FA" w:rsidRDefault="00904211" w:rsidP="00BF0C00">
            <w:pPr>
              <w:spacing w:after="0" w:line="480" w:lineRule="auto"/>
              <w:rPr>
                <w:rFonts w:ascii="Times New Roman" w:hAnsi="Times New Roman"/>
                <w:sz w:val="24"/>
                <w:szCs w:val="24"/>
              </w:rPr>
            </w:pPr>
            <w:r w:rsidRPr="00E113FA">
              <w:rPr>
                <w:rFonts w:ascii="Times New Roman" w:hAnsi="Times New Roman"/>
                <w:sz w:val="24"/>
                <w:szCs w:val="24"/>
              </w:rPr>
              <w:t>(N=848)</w:t>
            </w:r>
          </w:p>
        </w:tc>
        <w:tc>
          <w:tcPr>
            <w:tcW w:w="2307" w:type="dxa"/>
            <w:gridSpan w:val="2"/>
            <w:tcBorders>
              <w:top w:val="single" w:sz="4" w:space="0" w:color="auto"/>
              <w:bottom w:val="single" w:sz="4" w:space="0" w:color="auto"/>
            </w:tcBorders>
            <w:shd w:val="clear" w:color="auto" w:fill="auto"/>
          </w:tcPr>
          <w:p w:rsidR="00904211" w:rsidRPr="00E113FA" w:rsidRDefault="00904211" w:rsidP="00BF0C00">
            <w:pPr>
              <w:spacing w:after="0" w:line="480" w:lineRule="auto"/>
              <w:rPr>
                <w:rFonts w:ascii="Times New Roman" w:hAnsi="Times New Roman"/>
                <w:sz w:val="24"/>
                <w:szCs w:val="24"/>
              </w:rPr>
            </w:pPr>
            <w:r w:rsidRPr="00E113FA">
              <w:rPr>
                <w:rFonts w:ascii="Times New Roman" w:hAnsi="Times New Roman"/>
                <w:sz w:val="24"/>
                <w:szCs w:val="24"/>
              </w:rPr>
              <w:t>Injury at 12 months</w:t>
            </w:r>
          </w:p>
          <w:p w:rsidR="00904211" w:rsidRPr="00E113FA" w:rsidRDefault="00904211" w:rsidP="00BF0C00">
            <w:pPr>
              <w:spacing w:after="0" w:line="480" w:lineRule="auto"/>
              <w:rPr>
                <w:rFonts w:ascii="Times New Roman" w:hAnsi="Times New Roman"/>
                <w:sz w:val="24"/>
                <w:szCs w:val="24"/>
              </w:rPr>
            </w:pPr>
            <w:r w:rsidRPr="00E113FA">
              <w:rPr>
                <w:rFonts w:ascii="Times New Roman" w:hAnsi="Times New Roman"/>
                <w:sz w:val="24"/>
                <w:szCs w:val="24"/>
              </w:rPr>
              <w:t>(N=745)</w:t>
            </w:r>
          </w:p>
        </w:tc>
        <w:tc>
          <w:tcPr>
            <w:tcW w:w="2839" w:type="dxa"/>
            <w:gridSpan w:val="2"/>
            <w:tcBorders>
              <w:top w:val="single" w:sz="4" w:space="0" w:color="auto"/>
              <w:bottom w:val="single" w:sz="4" w:space="0" w:color="auto"/>
            </w:tcBorders>
            <w:shd w:val="clear" w:color="auto" w:fill="auto"/>
          </w:tcPr>
          <w:p w:rsidR="00904211" w:rsidRPr="00E113FA" w:rsidRDefault="00904211" w:rsidP="00BF0C00">
            <w:pPr>
              <w:spacing w:after="0" w:line="480" w:lineRule="auto"/>
              <w:rPr>
                <w:rFonts w:ascii="Times New Roman" w:hAnsi="Times New Roman"/>
                <w:sz w:val="24"/>
                <w:szCs w:val="24"/>
              </w:rPr>
            </w:pPr>
            <w:r w:rsidRPr="00E113FA">
              <w:rPr>
                <w:rFonts w:ascii="Times New Roman" w:hAnsi="Times New Roman"/>
                <w:sz w:val="24"/>
                <w:szCs w:val="24"/>
              </w:rPr>
              <w:t>Injury at 18 months</w:t>
            </w:r>
          </w:p>
          <w:p w:rsidR="00904211" w:rsidRPr="00E113FA" w:rsidRDefault="00904211" w:rsidP="00BF0C00">
            <w:pPr>
              <w:spacing w:after="0" w:line="480" w:lineRule="auto"/>
              <w:rPr>
                <w:rFonts w:ascii="Times New Roman" w:hAnsi="Times New Roman"/>
                <w:sz w:val="24"/>
                <w:szCs w:val="24"/>
              </w:rPr>
            </w:pPr>
            <w:r w:rsidRPr="00E113FA">
              <w:rPr>
                <w:rFonts w:ascii="Times New Roman" w:hAnsi="Times New Roman"/>
                <w:sz w:val="24"/>
                <w:szCs w:val="24"/>
              </w:rPr>
              <w:t>(N=691)</w:t>
            </w:r>
          </w:p>
        </w:tc>
      </w:tr>
      <w:tr w:rsidR="00904211" w:rsidRPr="00E113FA" w:rsidTr="00A93B8A">
        <w:trPr>
          <w:trHeight w:val="275"/>
        </w:trPr>
        <w:tc>
          <w:tcPr>
            <w:tcW w:w="3091" w:type="dxa"/>
            <w:tcBorders>
              <w:top w:val="single" w:sz="4" w:space="0" w:color="auto"/>
            </w:tcBorders>
            <w:shd w:val="clear" w:color="auto" w:fill="auto"/>
          </w:tcPr>
          <w:p w:rsidR="00904211" w:rsidRPr="00E113FA" w:rsidRDefault="00904211" w:rsidP="00BF0C00">
            <w:pPr>
              <w:spacing w:after="0" w:line="480" w:lineRule="auto"/>
              <w:rPr>
                <w:rFonts w:ascii="Times New Roman" w:hAnsi="Times New Roman"/>
                <w:sz w:val="24"/>
                <w:szCs w:val="24"/>
              </w:rPr>
            </w:pPr>
          </w:p>
        </w:tc>
        <w:tc>
          <w:tcPr>
            <w:tcW w:w="682" w:type="dxa"/>
            <w:tcBorders>
              <w:top w:val="single" w:sz="4" w:space="0" w:color="auto"/>
            </w:tcBorders>
            <w:shd w:val="clear" w:color="auto" w:fill="auto"/>
          </w:tcPr>
          <w:p w:rsidR="00904211" w:rsidRPr="00E113FA" w:rsidRDefault="00904211" w:rsidP="00BF0C00">
            <w:pPr>
              <w:spacing w:after="0" w:line="480" w:lineRule="auto"/>
              <w:rPr>
                <w:rFonts w:ascii="Times New Roman" w:hAnsi="Times New Roman"/>
                <w:sz w:val="24"/>
                <w:szCs w:val="24"/>
              </w:rPr>
            </w:pPr>
            <w:r w:rsidRPr="00E113FA">
              <w:rPr>
                <w:rFonts w:ascii="Times New Roman" w:hAnsi="Times New Roman"/>
                <w:sz w:val="24"/>
                <w:szCs w:val="24"/>
              </w:rPr>
              <w:t>OR</w:t>
            </w:r>
          </w:p>
        </w:tc>
        <w:tc>
          <w:tcPr>
            <w:tcW w:w="1569" w:type="dxa"/>
            <w:tcBorders>
              <w:top w:val="single" w:sz="4" w:space="0" w:color="auto"/>
            </w:tcBorders>
            <w:shd w:val="clear" w:color="auto" w:fill="auto"/>
          </w:tcPr>
          <w:p w:rsidR="00904211" w:rsidRPr="00E113FA" w:rsidRDefault="00904211" w:rsidP="00BF0C00">
            <w:pPr>
              <w:spacing w:after="0" w:line="480" w:lineRule="auto"/>
              <w:rPr>
                <w:rFonts w:ascii="Times New Roman" w:hAnsi="Times New Roman"/>
                <w:sz w:val="24"/>
                <w:szCs w:val="24"/>
              </w:rPr>
            </w:pPr>
            <w:r w:rsidRPr="00E113FA">
              <w:rPr>
                <w:rFonts w:ascii="Times New Roman" w:hAnsi="Times New Roman"/>
                <w:sz w:val="24"/>
                <w:szCs w:val="24"/>
              </w:rPr>
              <w:t>95% CI</w:t>
            </w:r>
          </w:p>
        </w:tc>
        <w:tc>
          <w:tcPr>
            <w:tcW w:w="939" w:type="dxa"/>
            <w:tcBorders>
              <w:top w:val="single" w:sz="4" w:space="0" w:color="auto"/>
            </w:tcBorders>
            <w:shd w:val="clear" w:color="auto" w:fill="auto"/>
          </w:tcPr>
          <w:p w:rsidR="00904211" w:rsidRPr="00E113FA" w:rsidRDefault="00904211" w:rsidP="00BF0C00">
            <w:pPr>
              <w:spacing w:after="0" w:line="480" w:lineRule="auto"/>
              <w:rPr>
                <w:rFonts w:ascii="Times New Roman" w:hAnsi="Times New Roman"/>
                <w:sz w:val="24"/>
                <w:szCs w:val="24"/>
              </w:rPr>
            </w:pPr>
            <w:r w:rsidRPr="00E113FA">
              <w:rPr>
                <w:rFonts w:ascii="Times New Roman" w:hAnsi="Times New Roman"/>
                <w:sz w:val="24"/>
                <w:szCs w:val="24"/>
              </w:rPr>
              <w:t>OR</w:t>
            </w:r>
          </w:p>
        </w:tc>
        <w:tc>
          <w:tcPr>
            <w:tcW w:w="1368" w:type="dxa"/>
            <w:tcBorders>
              <w:top w:val="single" w:sz="4" w:space="0" w:color="auto"/>
            </w:tcBorders>
            <w:shd w:val="clear" w:color="auto" w:fill="auto"/>
          </w:tcPr>
          <w:p w:rsidR="00904211" w:rsidRPr="00E113FA" w:rsidRDefault="00904211" w:rsidP="00BF0C00">
            <w:pPr>
              <w:spacing w:after="0" w:line="480" w:lineRule="auto"/>
              <w:rPr>
                <w:rFonts w:ascii="Times New Roman" w:hAnsi="Times New Roman"/>
                <w:sz w:val="24"/>
                <w:szCs w:val="24"/>
              </w:rPr>
            </w:pPr>
            <w:r w:rsidRPr="00E113FA">
              <w:rPr>
                <w:rFonts w:ascii="Times New Roman" w:hAnsi="Times New Roman"/>
                <w:sz w:val="24"/>
                <w:szCs w:val="24"/>
              </w:rPr>
              <w:t>95% CI</w:t>
            </w:r>
          </w:p>
        </w:tc>
        <w:tc>
          <w:tcPr>
            <w:tcW w:w="1428" w:type="dxa"/>
            <w:tcBorders>
              <w:top w:val="single" w:sz="4" w:space="0" w:color="auto"/>
            </w:tcBorders>
            <w:shd w:val="clear" w:color="auto" w:fill="auto"/>
          </w:tcPr>
          <w:p w:rsidR="00904211" w:rsidRPr="00E113FA" w:rsidRDefault="00904211" w:rsidP="00BF0C00">
            <w:pPr>
              <w:spacing w:after="0" w:line="480" w:lineRule="auto"/>
              <w:rPr>
                <w:rFonts w:ascii="Times New Roman" w:hAnsi="Times New Roman"/>
                <w:sz w:val="24"/>
                <w:szCs w:val="24"/>
              </w:rPr>
            </w:pPr>
            <w:r w:rsidRPr="00E113FA">
              <w:rPr>
                <w:rFonts w:ascii="Times New Roman" w:hAnsi="Times New Roman"/>
                <w:sz w:val="24"/>
                <w:szCs w:val="24"/>
              </w:rPr>
              <w:t>OR</w:t>
            </w:r>
          </w:p>
        </w:tc>
        <w:tc>
          <w:tcPr>
            <w:tcW w:w="1412" w:type="dxa"/>
            <w:tcBorders>
              <w:top w:val="single" w:sz="4" w:space="0" w:color="auto"/>
            </w:tcBorders>
            <w:shd w:val="clear" w:color="auto" w:fill="auto"/>
          </w:tcPr>
          <w:p w:rsidR="00904211" w:rsidRPr="00E113FA" w:rsidRDefault="00904211" w:rsidP="00BF0C00">
            <w:pPr>
              <w:spacing w:after="0" w:line="480" w:lineRule="auto"/>
              <w:rPr>
                <w:rFonts w:ascii="Times New Roman" w:hAnsi="Times New Roman"/>
                <w:sz w:val="24"/>
                <w:szCs w:val="24"/>
              </w:rPr>
            </w:pPr>
            <w:r w:rsidRPr="00E113FA">
              <w:rPr>
                <w:rFonts w:ascii="Times New Roman" w:hAnsi="Times New Roman"/>
                <w:sz w:val="24"/>
                <w:szCs w:val="24"/>
              </w:rPr>
              <w:t>95% CI</w:t>
            </w:r>
          </w:p>
        </w:tc>
      </w:tr>
      <w:tr w:rsidR="00904211" w:rsidRPr="00E113FA" w:rsidTr="00A93B8A">
        <w:trPr>
          <w:trHeight w:val="338"/>
        </w:trPr>
        <w:tc>
          <w:tcPr>
            <w:tcW w:w="3091" w:type="dxa"/>
            <w:shd w:val="clear" w:color="auto" w:fill="auto"/>
          </w:tcPr>
          <w:p w:rsidR="00904211" w:rsidRPr="00E113FA" w:rsidRDefault="00904211" w:rsidP="00BF0C00">
            <w:pPr>
              <w:spacing w:after="0" w:line="480" w:lineRule="auto"/>
              <w:rPr>
                <w:rFonts w:ascii="Times New Roman" w:hAnsi="Times New Roman"/>
                <w:sz w:val="24"/>
                <w:szCs w:val="24"/>
              </w:rPr>
            </w:pPr>
            <w:r w:rsidRPr="00E113FA">
              <w:rPr>
                <w:rFonts w:ascii="Times New Roman" w:hAnsi="Times New Roman"/>
                <w:sz w:val="24"/>
                <w:szCs w:val="24"/>
              </w:rPr>
              <w:t>Baseline turnover intentions</w:t>
            </w:r>
          </w:p>
        </w:tc>
        <w:tc>
          <w:tcPr>
            <w:tcW w:w="682" w:type="dxa"/>
            <w:shd w:val="clear" w:color="auto" w:fill="auto"/>
          </w:tcPr>
          <w:p w:rsidR="00904211" w:rsidRPr="00E113FA" w:rsidRDefault="00904211" w:rsidP="00BF0C00">
            <w:pPr>
              <w:spacing w:after="0" w:line="480" w:lineRule="auto"/>
              <w:rPr>
                <w:rFonts w:ascii="Times New Roman" w:hAnsi="Times New Roman"/>
                <w:sz w:val="24"/>
                <w:szCs w:val="24"/>
              </w:rPr>
            </w:pPr>
            <w:r w:rsidRPr="00E113FA">
              <w:rPr>
                <w:rFonts w:ascii="Times New Roman" w:hAnsi="Times New Roman"/>
                <w:sz w:val="24"/>
                <w:szCs w:val="24"/>
              </w:rPr>
              <w:t>1.24</w:t>
            </w:r>
          </w:p>
        </w:tc>
        <w:tc>
          <w:tcPr>
            <w:tcW w:w="1569" w:type="dxa"/>
            <w:shd w:val="clear" w:color="auto" w:fill="auto"/>
          </w:tcPr>
          <w:p w:rsidR="00904211" w:rsidRPr="00E113FA" w:rsidRDefault="00904211" w:rsidP="00BF0C00">
            <w:pPr>
              <w:spacing w:after="0" w:line="480" w:lineRule="auto"/>
              <w:rPr>
                <w:rFonts w:ascii="Times New Roman" w:hAnsi="Times New Roman"/>
                <w:sz w:val="24"/>
                <w:szCs w:val="24"/>
              </w:rPr>
            </w:pPr>
            <w:r w:rsidRPr="00E113FA">
              <w:rPr>
                <w:rFonts w:ascii="Times New Roman" w:hAnsi="Times New Roman"/>
                <w:sz w:val="24"/>
                <w:szCs w:val="24"/>
              </w:rPr>
              <w:t>(0.95, 1.62)</w:t>
            </w:r>
          </w:p>
        </w:tc>
        <w:tc>
          <w:tcPr>
            <w:tcW w:w="939" w:type="dxa"/>
            <w:shd w:val="clear" w:color="auto" w:fill="auto"/>
          </w:tcPr>
          <w:p w:rsidR="00904211" w:rsidRPr="00E113FA" w:rsidRDefault="00904211" w:rsidP="00BF0C00">
            <w:pPr>
              <w:spacing w:after="0" w:line="480" w:lineRule="auto"/>
              <w:rPr>
                <w:rFonts w:ascii="Times New Roman" w:hAnsi="Times New Roman"/>
                <w:sz w:val="24"/>
                <w:szCs w:val="24"/>
              </w:rPr>
            </w:pPr>
            <w:r w:rsidRPr="00E113FA">
              <w:rPr>
                <w:rFonts w:ascii="Times New Roman" w:hAnsi="Times New Roman"/>
                <w:sz w:val="24"/>
                <w:szCs w:val="24"/>
              </w:rPr>
              <w:t>1.26</w:t>
            </w:r>
          </w:p>
        </w:tc>
        <w:tc>
          <w:tcPr>
            <w:tcW w:w="1368" w:type="dxa"/>
            <w:shd w:val="clear" w:color="auto" w:fill="auto"/>
          </w:tcPr>
          <w:p w:rsidR="00904211" w:rsidRPr="00E113FA" w:rsidRDefault="00904211" w:rsidP="00BF0C00">
            <w:pPr>
              <w:spacing w:after="0" w:line="480" w:lineRule="auto"/>
              <w:rPr>
                <w:rFonts w:ascii="Times New Roman" w:hAnsi="Times New Roman"/>
                <w:sz w:val="24"/>
                <w:szCs w:val="24"/>
              </w:rPr>
            </w:pPr>
            <w:r w:rsidRPr="00E113FA">
              <w:rPr>
                <w:rFonts w:ascii="Times New Roman" w:hAnsi="Times New Roman"/>
                <w:sz w:val="24"/>
                <w:szCs w:val="24"/>
              </w:rPr>
              <w:t>(0.96, 1.65)</w:t>
            </w:r>
          </w:p>
        </w:tc>
        <w:tc>
          <w:tcPr>
            <w:tcW w:w="1428" w:type="dxa"/>
            <w:shd w:val="clear" w:color="auto" w:fill="auto"/>
          </w:tcPr>
          <w:p w:rsidR="00904211" w:rsidRPr="00E113FA" w:rsidRDefault="00904211" w:rsidP="00BF0C00">
            <w:pPr>
              <w:spacing w:after="0" w:line="480" w:lineRule="auto"/>
              <w:rPr>
                <w:rFonts w:ascii="Times New Roman" w:hAnsi="Times New Roman"/>
                <w:sz w:val="24"/>
                <w:szCs w:val="24"/>
              </w:rPr>
            </w:pPr>
            <w:r w:rsidRPr="00E113FA">
              <w:rPr>
                <w:rFonts w:ascii="Times New Roman" w:hAnsi="Times New Roman"/>
                <w:sz w:val="24"/>
                <w:szCs w:val="24"/>
              </w:rPr>
              <w:t>0.87</w:t>
            </w:r>
          </w:p>
        </w:tc>
        <w:tc>
          <w:tcPr>
            <w:tcW w:w="1412" w:type="dxa"/>
            <w:shd w:val="clear" w:color="auto" w:fill="auto"/>
          </w:tcPr>
          <w:p w:rsidR="00904211" w:rsidRPr="00E113FA" w:rsidRDefault="00904211" w:rsidP="00BF0C00">
            <w:pPr>
              <w:spacing w:after="0" w:line="480" w:lineRule="auto"/>
              <w:rPr>
                <w:rFonts w:ascii="Times New Roman" w:hAnsi="Times New Roman"/>
                <w:sz w:val="24"/>
                <w:szCs w:val="24"/>
              </w:rPr>
            </w:pPr>
            <w:r w:rsidRPr="00E113FA">
              <w:rPr>
                <w:rFonts w:ascii="Times New Roman" w:hAnsi="Times New Roman"/>
                <w:sz w:val="24"/>
                <w:szCs w:val="24"/>
              </w:rPr>
              <w:t>(0.62, 1.23)</w:t>
            </w:r>
          </w:p>
        </w:tc>
      </w:tr>
    </w:tbl>
    <w:p w:rsidR="00904211" w:rsidRPr="00E113FA" w:rsidRDefault="00904211" w:rsidP="00BF0C00">
      <w:pPr>
        <w:spacing w:after="0" w:line="480" w:lineRule="auto"/>
        <w:rPr>
          <w:rFonts w:ascii="Times New Roman" w:hAnsi="Times New Roman"/>
          <w:sz w:val="24"/>
          <w:szCs w:val="24"/>
        </w:rPr>
      </w:pPr>
    </w:p>
    <w:p w:rsidR="001D3540" w:rsidRPr="00E113FA" w:rsidRDefault="001D3540" w:rsidP="00BF0C00">
      <w:pPr>
        <w:spacing w:after="0" w:line="480" w:lineRule="auto"/>
        <w:rPr>
          <w:rFonts w:ascii="Times New Roman" w:hAnsi="Times New Roman"/>
          <w:sz w:val="24"/>
          <w:szCs w:val="24"/>
        </w:rPr>
      </w:pPr>
    </w:p>
    <w:p w:rsidR="001D3540" w:rsidRPr="00E113FA" w:rsidRDefault="001D3540" w:rsidP="00BF0C00">
      <w:pPr>
        <w:spacing w:after="0" w:line="480" w:lineRule="auto"/>
        <w:rPr>
          <w:rFonts w:ascii="Times New Roman" w:hAnsi="Times New Roman"/>
          <w:sz w:val="24"/>
          <w:szCs w:val="24"/>
        </w:rPr>
      </w:pPr>
      <w:r w:rsidRPr="00E113FA">
        <w:rPr>
          <w:rFonts w:ascii="Times New Roman" w:hAnsi="Times New Roman"/>
          <w:sz w:val="24"/>
          <w:szCs w:val="24"/>
          <w:vertAlign w:val="superscript"/>
        </w:rPr>
        <w:t>a</w:t>
      </w:r>
      <w:r w:rsidRPr="00E113FA">
        <w:rPr>
          <w:rFonts w:ascii="Times New Roman" w:hAnsi="Times New Roman"/>
          <w:sz w:val="24"/>
          <w:szCs w:val="24"/>
        </w:rPr>
        <w:t>Models control for the clustering of employees in worksites, race, age, gender, education, poverty level, marital status, job tenure, job satisfaction, and intervention condition.</w:t>
      </w:r>
    </w:p>
    <w:p w:rsidR="001D3540" w:rsidRPr="00E113FA" w:rsidRDefault="001D3540" w:rsidP="00BF0C00">
      <w:pPr>
        <w:spacing w:after="0" w:line="480" w:lineRule="auto"/>
        <w:ind w:hanging="180"/>
        <w:rPr>
          <w:rFonts w:ascii="Times New Roman" w:hAnsi="Times New Roman"/>
          <w:sz w:val="24"/>
          <w:szCs w:val="24"/>
        </w:rPr>
      </w:pPr>
    </w:p>
    <w:p w:rsidR="001D3540" w:rsidRPr="00E113FA" w:rsidRDefault="001D3540" w:rsidP="00BF0C00">
      <w:pPr>
        <w:spacing w:after="0" w:line="480" w:lineRule="auto"/>
        <w:ind w:hanging="180"/>
        <w:rPr>
          <w:rFonts w:ascii="Times New Roman" w:hAnsi="Times New Roman"/>
          <w:sz w:val="24"/>
          <w:szCs w:val="24"/>
        </w:rPr>
      </w:pPr>
    </w:p>
    <w:p w:rsidR="001D3540" w:rsidRPr="00E113FA" w:rsidRDefault="001D3540" w:rsidP="00BF0C00">
      <w:pPr>
        <w:spacing w:after="0" w:line="480" w:lineRule="auto"/>
        <w:ind w:hanging="180"/>
        <w:rPr>
          <w:rFonts w:ascii="Times New Roman" w:hAnsi="Times New Roman"/>
          <w:sz w:val="24"/>
          <w:szCs w:val="24"/>
        </w:rPr>
      </w:pPr>
    </w:p>
    <w:p w:rsidR="001D3540" w:rsidRPr="00E113FA" w:rsidRDefault="001D3540" w:rsidP="00BF0C00">
      <w:pPr>
        <w:spacing w:after="0" w:line="480" w:lineRule="auto"/>
        <w:rPr>
          <w:rFonts w:ascii="Times New Roman" w:hAnsi="Times New Roman"/>
          <w:sz w:val="24"/>
          <w:szCs w:val="24"/>
        </w:rPr>
      </w:pPr>
      <w:r w:rsidRPr="00E113FA">
        <w:rPr>
          <w:rFonts w:ascii="Times New Roman" w:hAnsi="Times New Roman"/>
          <w:sz w:val="24"/>
          <w:szCs w:val="24"/>
        </w:rPr>
        <w:br w:type="page"/>
      </w:r>
    </w:p>
    <w:p w:rsidR="001D3540" w:rsidRPr="00E113FA" w:rsidRDefault="00D0272B" w:rsidP="00BF0C00">
      <w:pPr>
        <w:spacing w:after="0" w:line="480" w:lineRule="auto"/>
        <w:rPr>
          <w:rFonts w:ascii="Times New Roman" w:hAnsi="Times New Roman"/>
          <w:sz w:val="24"/>
          <w:szCs w:val="24"/>
        </w:rPr>
      </w:pPr>
      <w:r w:rsidRPr="00E113FA">
        <w:rPr>
          <w:rFonts w:ascii="Times New Roman" w:hAnsi="Times New Roman"/>
          <w:sz w:val="24"/>
          <w:szCs w:val="24"/>
        </w:rPr>
        <w:lastRenderedPageBreak/>
        <w:t xml:space="preserve">Supplemental Table </w:t>
      </w:r>
      <w:r w:rsidR="00F70F04">
        <w:rPr>
          <w:rFonts w:ascii="Times New Roman" w:hAnsi="Times New Roman"/>
          <w:sz w:val="24"/>
          <w:szCs w:val="24"/>
        </w:rPr>
        <w:t>B</w:t>
      </w:r>
      <w:r w:rsidR="001D3540" w:rsidRPr="00E113FA">
        <w:rPr>
          <w:rFonts w:ascii="Times New Roman" w:hAnsi="Times New Roman"/>
          <w:sz w:val="24"/>
          <w:szCs w:val="24"/>
        </w:rPr>
        <w:t>. Injury at baseline, 6-month, and 12-month assessment predicting subsequent turnover intentions (n=1331).</w:t>
      </w:r>
      <w:r w:rsidR="001D3540" w:rsidRPr="00E113FA">
        <w:rPr>
          <w:rFonts w:ascii="Times New Roman" w:hAnsi="Times New Roman"/>
          <w:sz w:val="24"/>
          <w:szCs w:val="24"/>
          <w:vertAlign w:val="superscript"/>
        </w:rPr>
        <w:t>a</w:t>
      </w:r>
    </w:p>
    <w:tbl>
      <w:tblPr>
        <w:tblW w:w="8444" w:type="dxa"/>
        <w:tblBorders>
          <w:top w:val="single" w:sz="8" w:space="0" w:color="000000"/>
          <w:bottom w:val="single" w:sz="8" w:space="0" w:color="000000"/>
        </w:tblBorders>
        <w:tblLook w:val="04A0" w:firstRow="1" w:lastRow="0" w:firstColumn="1" w:lastColumn="0" w:noHBand="0" w:noVBand="1"/>
      </w:tblPr>
      <w:tblGrid>
        <w:gridCol w:w="1756"/>
        <w:gridCol w:w="716"/>
        <w:gridCol w:w="716"/>
        <w:gridCol w:w="828"/>
        <w:gridCol w:w="716"/>
        <w:gridCol w:w="716"/>
        <w:gridCol w:w="828"/>
        <w:gridCol w:w="716"/>
        <w:gridCol w:w="716"/>
        <w:gridCol w:w="736"/>
      </w:tblGrid>
      <w:tr w:rsidR="001D3540" w:rsidRPr="00E113FA" w:rsidTr="00B804D1">
        <w:tc>
          <w:tcPr>
            <w:tcW w:w="1756" w:type="dxa"/>
            <w:tcBorders>
              <w:top w:val="single" w:sz="8" w:space="0" w:color="000000"/>
              <w:bottom w:val="single" w:sz="8" w:space="0" w:color="000000"/>
            </w:tcBorders>
            <w:shd w:val="clear" w:color="auto" w:fill="auto"/>
          </w:tcPr>
          <w:p w:rsidR="001D3540" w:rsidRPr="00E113FA" w:rsidRDefault="001D3540" w:rsidP="00BF0C00">
            <w:pPr>
              <w:spacing w:after="0" w:line="480" w:lineRule="auto"/>
              <w:rPr>
                <w:rFonts w:ascii="Times New Roman" w:hAnsi="Times New Roman"/>
                <w:b/>
                <w:bCs/>
                <w:color w:val="000000"/>
                <w:sz w:val="24"/>
                <w:szCs w:val="24"/>
              </w:rPr>
            </w:pPr>
          </w:p>
        </w:tc>
        <w:tc>
          <w:tcPr>
            <w:tcW w:w="2260" w:type="dxa"/>
            <w:gridSpan w:val="3"/>
            <w:tcBorders>
              <w:top w:val="single" w:sz="8" w:space="0" w:color="000000"/>
              <w:bottom w:val="single" w:sz="8" w:space="0" w:color="000000"/>
            </w:tcBorders>
            <w:shd w:val="clear" w:color="auto" w:fill="auto"/>
          </w:tcPr>
          <w:p w:rsidR="001D3540" w:rsidRPr="00E113FA" w:rsidRDefault="001D3540" w:rsidP="00BF0C00">
            <w:pPr>
              <w:spacing w:after="0" w:line="480" w:lineRule="auto"/>
              <w:rPr>
                <w:rFonts w:ascii="Times New Roman" w:hAnsi="Times New Roman"/>
                <w:bCs/>
                <w:color w:val="000000"/>
                <w:sz w:val="24"/>
                <w:szCs w:val="24"/>
              </w:rPr>
            </w:pPr>
            <w:r w:rsidRPr="00E113FA">
              <w:rPr>
                <w:rFonts w:ascii="Times New Roman" w:hAnsi="Times New Roman"/>
                <w:bCs/>
                <w:color w:val="000000"/>
                <w:sz w:val="24"/>
                <w:szCs w:val="24"/>
              </w:rPr>
              <w:t xml:space="preserve">Turnover intentions </w:t>
            </w:r>
          </w:p>
          <w:p w:rsidR="001D3540" w:rsidRPr="00E113FA" w:rsidRDefault="001D3540" w:rsidP="00BF0C00">
            <w:pPr>
              <w:spacing w:after="0" w:line="480" w:lineRule="auto"/>
              <w:rPr>
                <w:rFonts w:ascii="Times New Roman" w:hAnsi="Times New Roman"/>
                <w:bCs/>
                <w:color w:val="000000"/>
                <w:sz w:val="24"/>
                <w:szCs w:val="24"/>
              </w:rPr>
            </w:pPr>
            <w:r w:rsidRPr="00E113FA">
              <w:rPr>
                <w:rFonts w:ascii="Times New Roman" w:hAnsi="Times New Roman"/>
                <w:bCs/>
                <w:color w:val="000000"/>
                <w:sz w:val="24"/>
                <w:szCs w:val="24"/>
              </w:rPr>
              <w:t xml:space="preserve">at 6 months </w:t>
            </w:r>
          </w:p>
        </w:tc>
        <w:tc>
          <w:tcPr>
            <w:tcW w:w="2260" w:type="dxa"/>
            <w:gridSpan w:val="3"/>
            <w:tcBorders>
              <w:top w:val="single" w:sz="8" w:space="0" w:color="000000"/>
              <w:bottom w:val="single" w:sz="8" w:space="0" w:color="000000"/>
            </w:tcBorders>
            <w:shd w:val="clear" w:color="auto" w:fill="auto"/>
          </w:tcPr>
          <w:p w:rsidR="001D3540" w:rsidRPr="00E113FA" w:rsidRDefault="001D3540" w:rsidP="00BF0C00">
            <w:pPr>
              <w:spacing w:after="0" w:line="480" w:lineRule="auto"/>
              <w:rPr>
                <w:rFonts w:ascii="Times New Roman" w:hAnsi="Times New Roman"/>
                <w:bCs/>
                <w:color w:val="000000"/>
                <w:sz w:val="24"/>
                <w:szCs w:val="24"/>
              </w:rPr>
            </w:pPr>
            <w:r w:rsidRPr="00E113FA">
              <w:rPr>
                <w:rFonts w:ascii="Times New Roman" w:hAnsi="Times New Roman"/>
                <w:bCs/>
                <w:color w:val="000000"/>
                <w:sz w:val="24"/>
                <w:szCs w:val="24"/>
              </w:rPr>
              <w:t xml:space="preserve">Turnover intentions </w:t>
            </w:r>
          </w:p>
          <w:p w:rsidR="001D3540" w:rsidRPr="00E113FA" w:rsidRDefault="001D3540" w:rsidP="00BF0C00">
            <w:pPr>
              <w:spacing w:after="0" w:line="480" w:lineRule="auto"/>
              <w:rPr>
                <w:rFonts w:ascii="Times New Roman" w:hAnsi="Times New Roman"/>
                <w:bCs/>
                <w:color w:val="000000"/>
                <w:sz w:val="24"/>
                <w:szCs w:val="24"/>
              </w:rPr>
            </w:pPr>
            <w:r w:rsidRPr="00E113FA">
              <w:rPr>
                <w:rFonts w:ascii="Times New Roman" w:hAnsi="Times New Roman"/>
                <w:bCs/>
                <w:color w:val="000000"/>
                <w:sz w:val="24"/>
                <w:szCs w:val="24"/>
              </w:rPr>
              <w:t>at 12 months</w:t>
            </w:r>
          </w:p>
        </w:tc>
        <w:tc>
          <w:tcPr>
            <w:tcW w:w="2168" w:type="dxa"/>
            <w:gridSpan w:val="3"/>
            <w:tcBorders>
              <w:top w:val="single" w:sz="8" w:space="0" w:color="000000"/>
              <w:bottom w:val="single" w:sz="8" w:space="0" w:color="000000"/>
            </w:tcBorders>
            <w:shd w:val="clear" w:color="auto" w:fill="auto"/>
          </w:tcPr>
          <w:p w:rsidR="001D3540" w:rsidRPr="00E113FA" w:rsidRDefault="001D3540" w:rsidP="00BF0C00">
            <w:pPr>
              <w:spacing w:after="0" w:line="480" w:lineRule="auto"/>
              <w:rPr>
                <w:rFonts w:ascii="Times New Roman" w:hAnsi="Times New Roman"/>
                <w:bCs/>
                <w:color w:val="000000"/>
                <w:sz w:val="24"/>
                <w:szCs w:val="24"/>
              </w:rPr>
            </w:pPr>
            <w:r w:rsidRPr="00E113FA">
              <w:rPr>
                <w:rFonts w:ascii="Times New Roman" w:hAnsi="Times New Roman"/>
                <w:bCs/>
                <w:color w:val="000000"/>
                <w:sz w:val="24"/>
                <w:szCs w:val="24"/>
              </w:rPr>
              <w:t xml:space="preserve">Turnover intentions </w:t>
            </w:r>
          </w:p>
          <w:p w:rsidR="001D3540" w:rsidRPr="00E113FA" w:rsidRDefault="001D3540" w:rsidP="00BF0C00">
            <w:pPr>
              <w:spacing w:after="0" w:line="480" w:lineRule="auto"/>
              <w:rPr>
                <w:rFonts w:ascii="Times New Roman" w:hAnsi="Times New Roman"/>
                <w:bCs/>
                <w:color w:val="000000"/>
                <w:sz w:val="24"/>
                <w:szCs w:val="24"/>
              </w:rPr>
            </w:pPr>
            <w:r w:rsidRPr="00E113FA">
              <w:rPr>
                <w:rFonts w:ascii="Times New Roman" w:hAnsi="Times New Roman"/>
                <w:bCs/>
                <w:color w:val="000000"/>
                <w:sz w:val="24"/>
                <w:szCs w:val="24"/>
              </w:rPr>
              <w:t xml:space="preserve">at 18 months  </w:t>
            </w:r>
          </w:p>
        </w:tc>
      </w:tr>
      <w:tr w:rsidR="001D3540" w:rsidRPr="00E113FA" w:rsidTr="00B804D1">
        <w:tc>
          <w:tcPr>
            <w:tcW w:w="1756" w:type="dxa"/>
            <w:tcBorders>
              <w:left w:val="nil"/>
              <w:right w:val="nil"/>
            </w:tcBorders>
            <w:shd w:val="clear" w:color="auto" w:fill="auto"/>
          </w:tcPr>
          <w:p w:rsidR="001D3540" w:rsidRPr="00E113FA" w:rsidRDefault="001D3540" w:rsidP="00BF0C00">
            <w:pPr>
              <w:spacing w:after="0" w:line="480" w:lineRule="auto"/>
              <w:rPr>
                <w:rFonts w:ascii="Times New Roman" w:hAnsi="Times New Roman"/>
                <w:b/>
                <w:bCs/>
                <w:color w:val="000000"/>
                <w:sz w:val="24"/>
                <w:szCs w:val="24"/>
              </w:rPr>
            </w:pPr>
          </w:p>
        </w:tc>
        <w:tc>
          <w:tcPr>
            <w:tcW w:w="716" w:type="dxa"/>
            <w:tcBorders>
              <w:left w:val="nil"/>
              <w:right w:val="nil"/>
            </w:tcBorders>
            <w:shd w:val="clear" w:color="auto" w:fill="auto"/>
          </w:tcPr>
          <w:p w:rsidR="001D3540" w:rsidRPr="00E113FA" w:rsidRDefault="001D3540" w:rsidP="00BF0C00">
            <w:pPr>
              <w:spacing w:after="0" w:line="480" w:lineRule="auto"/>
              <w:rPr>
                <w:rFonts w:ascii="Times New Roman" w:hAnsi="Times New Roman"/>
                <w:color w:val="000000"/>
                <w:sz w:val="24"/>
                <w:szCs w:val="24"/>
              </w:rPr>
            </w:pPr>
            <w:r w:rsidRPr="00E113FA">
              <w:rPr>
                <w:rFonts w:ascii="Times New Roman" w:hAnsi="Times New Roman"/>
                <w:color w:val="000000"/>
                <w:sz w:val="24"/>
                <w:szCs w:val="24"/>
              </w:rPr>
              <w:t>β</w:t>
            </w:r>
          </w:p>
        </w:tc>
        <w:tc>
          <w:tcPr>
            <w:tcW w:w="716" w:type="dxa"/>
            <w:tcBorders>
              <w:left w:val="nil"/>
              <w:right w:val="nil"/>
            </w:tcBorders>
            <w:shd w:val="clear" w:color="auto" w:fill="auto"/>
          </w:tcPr>
          <w:p w:rsidR="001D3540" w:rsidRPr="00E113FA" w:rsidRDefault="001D3540" w:rsidP="00BF0C00">
            <w:pPr>
              <w:spacing w:after="0" w:line="480" w:lineRule="auto"/>
              <w:rPr>
                <w:rFonts w:ascii="Times New Roman" w:hAnsi="Times New Roman"/>
                <w:color w:val="000000"/>
                <w:sz w:val="24"/>
                <w:szCs w:val="24"/>
              </w:rPr>
            </w:pPr>
            <w:r w:rsidRPr="00E113FA">
              <w:rPr>
                <w:rFonts w:ascii="Times New Roman" w:hAnsi="Times New Roman"/>
                <w:color w:val="000000"/>
                <w:sz w:val="24"/>
                <w:szCs w:val="24"/>
              </w:rPr>
              <w:t>SE</w:t>
            </w:r>
          </w:p>
        </w:tc>
        <w:tc>
          <w:tcPr>
            <w:tcW w:w="828" w:type="dxa"/>
            <w:tcBorders>
              <w:left w:val="nil"/>
              <w:right w:val="nil"/>
            </w:tcBorders>
            <w:shd w:val="clear" w:color="auto" w:fill="auto"/>
          </w:tcPr>
          <w:p w:rsidR="001D3540" w:rsidRPr="00E113FA" w:rsidRDefault="001D3540" w:rsidP="00BF0C00">
            <w:pPr>
              <w:spacing w:after="0" w:line="480" w:lineRule="auto"/>
              <w:rPr>
                <w:rFonts w:ascii="Times New Roman" w:hAnsi="Times New Roman"/>
                <w:color w:val="000000"/>
                <w:sz w:val="24"/>
                <w:szCs w:val="24"/>
              </w:rPr>
            </w:pPr>
            <w:r w:rsidRPr="00E113FA">
              <w:rPr>
                <w:rFonts w:ascii="Times New Roman" w:hAnsi="Times New Roman"/>
                <w:color w:val="000000"/>
                <w:sz w:val="24"/>
                <w:szCs w:val="24"/>
              </w:rPr>
              <w:t>P</w:t>
            </w:r>
          </w:p>
        </w:tc>
        <w:tc>
          <w:tcPr>
            <w:tcW w:w="716" w:type="dxa"/>
            <w:tcBorders>
              <w:left w:val="nil"/>
              <w:right w:val="nil"/>
            </w:tcBorders>
            <w:shd w:val="clear" w:color="auto" w:fill="auto"/>
          </w:tcPr>
          <w:p w:rsidR="001D3540" w:rsidRPr="00E113FA" w:rsidRDefault="001D3540" w:rsidP="00BF0C00">
            <w:pPr>
              <w:spacing w:after="0" w:line="480" w:lineRule="auto"/>
              <w:rPr>
                <w:rFonts w:ascii="Times New Roman" w:hAnsi="Times New Roman"/>
                <w:color w:val="000000"/>
                <w:sz w:val="24"/>
                <w:szCs w:val="24"/>
              </w:rPr>
            </w:pPr>
            <w:r w:rsidRPr="00E113FA">
              <w:rPr>
                <w:rFonts w:ascii="Times New Roman" w:hAnsi="Times New Roman"/>
                <w:color w:val="000000"/>
                <w:sz w:val="24"/>
                <w:szCs w:val="24"/>
              </w:rPr>
              <w:t>β</w:t>
            </w:r>
          </w:p>
        </w:tc>
        <w:tc>
          <w:tcPr>
            <w:tcW w:w="716" w:type="dxa"/>
            <w:tcBorders>
              <w:left w:val="nil"/>
              <w:right w:val="nil"/>
            </w:tcBorders>
            <w:shd w:val="clear" w:color="auto" w:fill="auto"/>
          </w:tcPr>
          <w:p w:rsidR="001D3540" w:rsidRPr="00E113FA" w:rsidRDefault="001D3540" w:rsidP="00BF0C00">
            <w:pPr>
              <w:spacing w:after="0" w:line="480" w:lineRule="auto"/>
              <w:rPr>
                <w:rFonts w:ascii="Times New Roman" w:hAnsi="Times New Roman"/>
                <w:color w:val="000000"/>
                <w:sz w:val="24"/>
                <w:szCs w:val="24"/>
              </w:rPr>
            </w:pPr>
            <w:r w:rsidRPr="00E113FA">
              <w:rPr>
                <w:rFonts w:ascii="Times New Roman" w:hAnsi="Times New Roman"/>
                <w:color w:val="000000"/>
                <w:sz w:val="24"/>
                <w:szCs w:val="24"/>
              </w:rPr>
              <w:t>SE</w:t>
            </w:r>
          </w:p>
        </w:tc>
        <w:tc>
          <w:tcPr>
            <w:tcW w:w="828" w:type="dxa"/>
            <w:tcBorders>
              <w:left w:val="nil"/>
              <w:right w:val="nil"/>
            </w:tcBorders>
            <w:shd w:val="clear" w:color="auto" w:fill="auto"/>
          </w:tcPr>
          <w:p w:rsidR="001D3540" w:rsidRPr="00E113FA" w:rsidRDefault="001D3540" w:rsidP="00BF0C00">
            <w:pPr>
              <w:spacing w:after="0" w:line="480" w:lineRule="auto"/>
              <w:rPr>
                <w:rFonts w:ascii="Times New Roman" w:hAnsi="Times New Roman"/>
                <w:color w:val="000000"/>
                <w:sz w:val="24"/>
                <w:szCs w:val="24"/>
              </w:rPr>
            </w:pPr>
            <w:r w:rsidRPr="00E113FA">
              <w:rPr>
                <w:rFonts w:ascii="Times New Roman" w:hAnsi="Times New Roman"/>
                <w:color w:val="000000"/>
                <w:sz w:val="24"/>
                <w:szCs w:val="24"/>
              </w:rPr>
              <w:t>P</w:t>
            </w:r>
          </w:p>
        </w:tc>
        <w:tc>
          <w:tcPr>
            <w:tcW w:w="716" w:type="dxa"/>
            <w:tcBorders>
              <w:left w:val="nil"/>
              <w:right w:val="nil"/>
            </w:tcBorders>
            <w:shd w:val="clear" w:color="auto" w:fill="auto"/>
          </w:tcPr>
          <w:p w:rsidR="001D3540" w:rsidRPr="00E113FA" w:rsidRDefault="001D3540" w:rsidP="00BF0C00">
            <w:pPr>
              <w:spacing w:after="0" w:line="480" w:lineRule="auto"/>
              <w:rPr>
                <w:rFonts w:ascii="Times New Roman" w:hAnsi="Times New Roman"/>
                <w:color w:val="000000"/>
                <w:sz w:val="24"/>
                <w:szCs w:val="24"/>
              </w:rPr>
            </w:pPr>
            <w:r w:rsidRPr="00E113FA">
              <w:rPr>
                <w:rFonts w:ascii="Times New Roman" w:hAnsi="Times New Roman"/>
                <w:color w:val="000000"/>
                <w:sz w:val="24"/>
                <w:szCs w:val="24"/>
              </w:rPr>
              <w:t>β</w:t>
            </w:r>
          </w:p>
        </w:tc>
        <w:tc>
          <w:tcPr>
            <w:tcW w:w="716" w:type="dxa"/>
            <w:tcBorders>
              <w:left w:val="nil"/>
              <w:right w:val="nil"/>
            </w:tcBorders>
            <w:shd w:val="clear" w:color="auto" w:fill="auto"/>
          </w:tcPr>
          <w:p w:rsidR="001D3540" w:rsidRPr="00E113FA" w:rsidRDefault="001D3540" w:rsidP="00BF0C00">
            <w:pPr>
              <w:spacing w:after="0" w:line="480" w:lineRule="auto"/>
              <w:rPr>
                <w:rFonts w:ascii="Times New Roman" w:hAnsi="Times New Roman"/>
                <w:color w:val="000000"/>
                <w:sz w:val="24"/>
                <w:szCs w:val="24"/>
              </w:rPr>
            </w:pPr>
            <w:r w:rsidRPr="00E113FA">
              <w:rPr>
                <w:rFonts w:ascii="Times New Roman" w:hAnsi="Times New Roman"/>
                <w:color w:val="000000"/>
                <w:sz w:val="24"/>
                <w:szCs w:val="24"/>
              </w:rPr>
              <w:t>SE</w:t>
            </w:r>
          </w:p>
        </w:tc>
        <w:tc>
          <w:tcPr>
            <w:tcW w:w="736" w:type="dxa"/>
            <w:tcBorders>
              <w:left w:val="nil"/>
              <w:right w:val="nil"/>
            </w:tcBorders>
            <w:shd w:val="clear" w:color="auto" w:fill="auto"/>
          </w:tcPr>
          <w:p w:rsidR="001D3540" w:rsidRPr="00E113FA" w:rsidRDefault="001D3540" w:rsidP="00BF0C00">
            <w:pPr>
              <w:spacing w:after="0" w:line="480" w:lineRule="auto"/>
              <w:rPr>
                <w:rFonts w:ascii="Times New Roman" w:hAnsi="Times New Roman"/>
                <w:color w:val="000000"/>
                <w:sz w:val="24"/>
                <w:szCs w:val="24"/>
              </w:rPr>
            </w:pPr>
            <w:r w:rsidRPr="00E113FA">
              <w:rPr>
                <w:rFonts w:ascii="Times New Roman" w:hAnsi="Times New Roman"/>
                <w:color w:val="000000"/>
                <w:sz w:val="24"/>
                <w:szCs w:val="24"/>
              </w:rPr>
              <w:t>P</w:t>
            </w:r>
          </w:p>
        </w:tc>
      </w:tr>
      <w:tr w:rsidR="001D3540" w:rsidRPr="00E113FA" w:rsidTr="00B804D1">
        <w:tc>
          <w:tcPr>
            <w:tcW w:w="1756" w:type="dxa"/>
            <w:shd w:val="clear" w:color="auto" w:fill="auto"/>
          </w:tcPr>
          <w:p w:rsidR="001D3540" w:rsidRPr="00E113FA" w:rsidRDefault="001D3540" w:rsidP="00BF0C00">
            <w:pPr>
              <w:spacing w:after="0" w:line="480" w:lineRule="auto"/>
              <w:rPr>
                <w:rFonts w:ascii="Times New Roman" w:hAnsi="Times New Roman"/>
                <w:bCs/>
                <w:color w:val="000000"/>
                <w:sz w:val="24"/>
                <w:szCs w:val="24"/>
              </w:rPr>
            </w:pPr>
            <w:r w:rsidRPr="00E113FA">
              <w:rPr>
                <w:rFonts w:ascii="Times New Roman" w:hAnsi="Times New Roman"/>
                <w:bCs/>
                <w:color w:val="000000"/>
                <w:sz w:val="24"/>
                <w:szCs w:val="24"/>
              </w:rPr>
              <w:t>Baseline injury</w:t>
            </w:r>
          </w:p>
        </w:tc>
        <w:tc>
          <w:tcPr>
            <w:tcW w:w="716" w:type="dxa"/>
            <w:shd w:val="clear" w:color="auto" w:fill="auto"/>
          </w:tcPr>
          <w:p w:rsidR="001D3540" w:rsidRPr="00E113FA" w:rsidRDefault="001D3540" w:rsidP="00BF0C00">
            <w:pPr>
              <w:spacing w:after="0" w:line="480" w:lineRule="auto"/>
              <w:rPr>
                <w:rFonts w:ascii="Times New Roman" w:hAnsi="Times New Roman"/>
                <w:color w:val="000000"/>
                <w:sz w:val="24"/>
                <w:szCs w:val="24"/>
              </w:rPr>
            </w:pPr>
            <w:r w:rsidRPr="00E113FA">
              <w:rPr>
                <w:rFonts w:ascii="Times New Roman" w:hAnsi="Times New Roman"/>
                <w:color w:val="000000"/>
                <w:sz w:val="24"/>
                <w:szCs w:val="24"/>
              </w:rPr>
              <w:t>0.24</w:t>
            </w:r>
          </w:p>
        </w:tc>
        <w:tc>
          <w:tcPr>
            <w:tcW w:w="716" w:type="dxa"/>
            <w:shd w:val="clear" w:color="auto" w:fill="auto"/>
          </w:tcPr>
          <w:p w:rsidR="001D3540" w:rsidRPr="00E113FA" w:rsidRDefault="001D3540" w:rsidP="00BF0C00">
            <w:pPr>
              <w:spacing w:after="0" w:line="480" w:lineRule="auto"/>
              <w:rPr>
                <w:rFonts w:ascii="Times New Roman" w:hAnsi="Times New Roman"/>
                <w:color w:val="000000"/>
                <w:sz w:val="24"/>
                <w:szCs w:val="24"/>
              </w:rPr>
            </w:pPr>
            <w:r w:rsidRPr="00E113FA">
              <w:rPr>
                <w:rFonts w:ascii="Times New Roman" w:hAnsi="Times New Roman"/>
                <w:color w:val="000000"/>
                <w:sz w:val="24"/>
                <w:szCs w:val="24"/>
              </w:rPr>
              <w:t>0.08</w:t>
            </w:r>
          </w:p>
        </w:tc>
        <w:tc>
          <w:tcPr>
            <w:tcW w:w="828" w:type="dxa"/>
            <w:shd w:val="clear" w:color="auto" w:fill="auto"/>
          </w:tcPr>
          <w:p w:rsidR="001D3540" w:rsidRPr="00E113FA" w:rsidRDefault="001D3540" w:rsidP="00BF0C00">
            <w:pPr>
              <w:spacing w:after="0" w:line="480" w:lineRule="auto"/>
              <w:rPr>
                <w:rFonts w:ascii="Times New Roman" w:hAnsi="Times New Roman"/>
                <w:color w:val="000000"/>
                <w:sz w:val="24"/>
                <w:szCs w:val="24"/>
              </w:rPr>
            </w:pPr>
            <w:r w:rsidRPr="00E113FA">
              <w:rPr>
                <w:rFonts w:ascii="Times New Roman" w:hAnsi="Times New Roman"/>
                <w:color w:val="000000"/>
                <w:sz w:val="24"/>
                <w:szCs w:val="24"/>
              </w:rPr>
              <w:t>0.002</w:t>
            </w:r>
          </w:p>
        </w:tc>
        <w:tc>
          <w:tcPr>
            <w:tcW w:w="716" w:type="dxa"/>
            <w:shd w:val="clear" w:color="auto" w:fill="auto"/>
          </w:tcPr>
          <w:p w:rsidR="001D3540" w:rsidRPr="00E113FA" w:rsidRDefault="001D3540" w:rsidP="00BF0C00">
            <w:pPr>
              <w:spacing w:after="0" w:line="480" w:lineRule="auto"/>
              <w:rPr>
                <w:rFonts w:ascii="Times New Roman" w:hAnsi="Times New Roman"/>
                <w:color w:val="000000"/>
                <w:sz w:val="24"/>
                <w:szCs w:val="24"/>
              </w:rPr>
            </w:pPr>
            <w:r w:rsidRPr="00E113FA">
              <w:rPr>
                <w:rFonts w:ascii="Times New Roman" w:hAnsi="Times New Roman"/>
                <w:color w:val="000000"/>
                <w:sz w:val="24"/>
                <w:szCs w:val="24"/>
              </w:rPr>
              <w:t>0.24</w:t>
            </w:r>
          </w:p>
        </w:tc>
        <w:tc>
          <w:tcPr>
            <w:tcW w:w="716" w:type="dxa"/>
            <w:shd w:val="clear" w:color="auto" w:fill="auto"/>
          </w:tcPr>
          <w:p w:rsidR="001D3540" w:rsidRPr="00E113FA" w:rsidRDefault="001D3540" w:rsidP="00BF0C00">
            <w:pPr>
              <w:spacing w:after="0" w:line="480" w:lineRule="auto"/>
              <w:rPr>
                <w:rFonts w:ascii="Times New Roman" w:hAnsi="Times New Roman"/>
                <w:color w:val="000000"/>
                <w:sz w:val="24"/>
                <w:szCs w:val="24"/>
              </w:rPr>
            </w:pPr>
            <w:r w:rsidRPr="00E113FA">
              <w:rPr>
                <w:rFonts w:ascii="Times New Roman" w:hAnsi="Times New Roman"/>
                <w:color w:val="000000"/>
                <w:sz w:val="24"/>
                <w:szCs w:val="24"/>
              </w:rPr>
              <w:t>0.08</w:t>
            </w:r>
          </w:p>
        </w:tc>
        <w:tc>
          <w:tcPr>
            <w:tcW w:w="828" w:type="dxa"/>
            <w:shd w:val="clear" w:color="auto" w:fill="auto"/>
          </w:tcPr>
          <w:p w:rsidR="001D3540" w:rsidRPr="00E113FA" w:rsidRDefault="001D3540" w:rsidP="00BF0C00">
            <w:pPr>
              <w:spacing w:after="0" w:line="480" w:lineRule="auto"/>
              <w:rPr>
                <w:rFonts w:ascii="Times New Roman" w:hAnsi="Times New Roman"/>
                <w:color w:val="000000"/>
                <w:sz w:val="24"/>
                <w:szCs w:val="24"/>
              </w:rPr>
            </w:pPr>
            <w:r w:rsidRPr="00E113FA">
              <w:rPr>
                <w:rFonts w:ascii="Times New Roman" w:hAnsi="Times New Roman"/>
                <w:color w:val="000000"/>
                <w:sz w:val="24"/>
                <w:szCs w:val="24"/>
              </w:rPr>
              <w:t>0.004</w:t>
            </w:r>
          </w:p>
        </w:tc>
        <w:tc>
          <w:tcPr>
            <w:tcW w:w="716" w:type="dxa"/>
            <w:shd w:val="clear" w:color="auto" w:fill="auto"/>
          </w:tcPr>
          <w:p w:rsidR="001D3540" w:rsidRPr="00E113FA" w:rsidRDefault="001D3540" w:rsidP="00BF0C00">
            <w:pPr>
              <w:spacing w:after="0" w:line="480" w:lineRule="auto"/>
              <w:rPr>
                <w:rFonts w:ascii="Times New Roman" w:hAnsi="Times New Roman"/>
                <w:color w:val="000000"/>
                <w:sz w:val="24"/>
                <w:szCs w:val="24"/>
              </w:rPr>
            </w:pPr>
            <w:r w:rsidRPr="00E113FA">
              <w:rPr>
                <w:rFonts w:ascii="Times New Roman" w:hAnsi="Times New Roman"/>
                <w:color w:val="000000"/>
                <w:sz w:val="24"/>
                <w:szCs w:val="24"/>
              </w:rPr>
              <w:t>0.04</w:t>
            </w:r>
          </w:p>
        </w:tc>
        <w:tc>
          <w:tcPr>
            <w:tcW w:w="716" w:type="dxa"/>
            <w:shd w:val="clear" w:color="auto" w:fill="auto"/>
          </w:tcPr>
          <w:p w:rsidR="001D3540" w:rsidRPr="00E113FA" w:rsidRDefault="001D3540" w:rsidP="00BF0C00">
            <w:pPr>
              <w:spacing w:after="0" w:line="480" w:lineRule="auto"/>
              <w:rPr>
                <w:rFonts w:ascii="Times New Roman" w:hAnsi="Times New Roman"/>
                <w:color w:val="000000"/>
                <w:sz w:val="24"/>
                <w:szCs w:val="24"/>
              </w:rPr>
            </w:pPr>
            <w:r w:rsidRPr="00E113FA">
              <w:rPr>
                <w:rFonts w:ascii="Times New Roman" w:hAnsi="Times New Roman"/>
                <w:color w:val="000000"/>
                <w:sz w:val="24"/>
                <w:szCs w:val="24"/>
              </w:rPr>
              <w:t>0.09</w:t>
            </w:r>
          </w:p>
        </w:tc>
        <w:tc>
          <w:tcPr>
            <w:tcW w:w="736" w:type="dxa"/>
            <w:shd w:val="clear" w:color="auto" w:fill="auto"/>
          </w:tcPr>
          <w:p w:rsidR="001D3540" w:rsidRPr="00E113FA" w:rsidRDefault="001D3540" w:rsidP="00BF0C00">
            <w:pPr>
              <w:spacing w:after="0" w:line="480" w:lineRule="auto"/>
              <w:rPr>
                <w:rFonts w:ascii="Times New Roman" w:hAnsi="Times New Roman"/>
                <w:color w:val="000000"/>
                <w:sz w:val="24"/>
                <w:szCs w:val="24"/>
              </w:rPr>
            </w:pPr>
            <w:r w:rsidRPr="00E113FA">
              <w:rPr>
                <w:rFonts w:ascii="Times New Roman" w:hAnsi="Times New Roman"/>
                <w:color w:val="000000"/>
                <w:sz w:val="24"/>
                <w:szCs w:val="24"/>
              </w:rPr>
              <w:t>0.65</w:t>
            </w:r>
          </w:p>
        </w:tc>
      </w:tr>
      <w:tr w:rsidR="001D3540" w:rsidRPr="00E113FA" w:rsidTr="00B804D1">
        <w:tc>
          <w:tcPr>
            <w:tcW w:w="1756" w:type="dxa"/>
            <w:tcBorders>
              <w:left w:val="nil"/>
              <w:right w:val="nil"/>
            </w:tcBorders>
            <w:shd w:val="clear" w:color="auto" w:fill="auto"/>
          </w:tcPr>
          <w:p w:rsidR="001D3540" w:rsidRPr="00E113FA" w:rsidRDefault="001D3540" w:rsidP="00BF0C00">
            <w:pPr>
              <w:spacing w:after="0" w:line="480" w:lineRule="auto"/>
              <w:rPr>
                <w:rFonts w:ascii="Times New Roman" w:hAnsi="Times New Roman"/>
                <w:bCs/>
                <w:color w:val="000000"/>
                <w:sz w:val="24"/>
                <w:szCs w:val="24"/>
              </w:rPr>
            </w:pPr>
            <w:r w:rsidRPr="00E113FA">
              <w:rPr>
                <w:rFonts w:ascii="Times New Roman" w:hAnsi="Times New Roman"/>
                <w:bCs/>
                <w:color w:val="000000"/>
                <w:sz w:val="24"/>
                <w:szCs w:val="24"/>
              </w:rPr>
              <w:t>6-month injury</w:t>
            </w:r>
          </w:p>
        </w:tc>
        <w:tc>
          <w:tcPr>
            <w:tcW w:w="716" w:type="dxa"/>
            <w:tcBorders>
              <w:left w:val="nil"/>
              <w:right w:val="nil"/>
            </w:tcBorders>
            <w:shd w:val="clear" w:color="auto" w:fill="auto"/>
          </w:tcPr>
          <w:p w:rsidR="001D3540" w:rsidRPr="00E113FA" w:rsidRDefault="001D3540" w:rsidP="00BF0C00">
            <w:pPr>
              <w:spacing w:after="0" w:line="480" w:lineRule="auto"/>
              <w:rPr>
                <w:rFonts w:ascii="Times New Roman" w:hAnsi="Times New Roman"/>
                <w:color w:val="000000"/>
                <w:sz w:val="24"/>
                <w:szCs w:val="24"/>
              </w:rPr>
            </w:pPr>
            <w:r w:rsidRPr="00E113FA">
              <w:rPr>
                <w:rFonts w:ascii="Times New Roman" w:hAnsi="Times New Roman"/>
                <w:color w:val="000000"/>
                <w:sz w:val="24"/>
                <w:szCs w:val="24"/>
              </w:rPr>
              <w:t>N/A</w:t>
            </w:r>
          </w:p>
        </w:tc>
        <w:tc>
          <w:tcPr>
            <w:tcW w:w="716" w:type="dxa"/>
            <w:tcBorders>
              <w:left w:val="nil"/>
              <w:right w:val="nil"/>
            </w:tcBorders>
            <w:shd w:val="clear" w:color="auto" w:fill="auto"/>
          </w:tcPr>
          <w:p w:rsidR="001D3540" w:rsidRPr="00E113FA" w:rsidRDefault="001D3540" w:rsidP="00BF0C00">
            <w:pPr>
              <w:spacing w:after="0" w:line="480" w:lineRule="auto"/>
              <w:rPr>
                <w:rFonts w:ascii="Times New Roman" w:hAnsi="Times New Roman"/>
                <w:color w:val="000000"/>
                <w:sz w:val="24"/>
                <w:szCs w:val="24"/>
              </w:rPr>
            </w:pPr>
            <w:r w:rsidRPr="00E113FA">
              <w:rPr>
                <w:rFonts w:ascii="Times New Roman" w:hAnsi="Times New Roman"/>
                <w:color w:val="000000"/>
                <w:sz w:val="24"/>
                <w:szCs w:val="24"/>
              </w:rPr>
              <w:t>N/A</w:t>
            </w:r>
          </w:p>
        </w:tc>
        <w:tc>
          <w:tcPr>
            <w:tcW w:w="828" w:type="dxa"/>
            <w:tcBorders>
              <w:left w:val="nil"/>
              <w:right w:val="nil"/>
            </w:tcBorders>
            <w:shd w:val="clear" w:color="auto" w:fill="auto"/>
          </w:tcPr>
          <w:p w:rsidR="001D3540" w:rsidRPr="00E113FA" w:rsidRDefault="001D3540" w:rsidP="00BF0C00">
            <w:pPr>
              <w:spacing w:after="0" w:line="480" w:lineRule="auto"/>
              <w:rPr>
                <w:rFonts w:ascii="Times New Roman" w:hAnsi="Times New Roman"/>
                <w:color w:val="000000"/>
                <w:sz w:val="24"/>
                <w:szCs w:val="24"/>
              </w:rPr>
            </w:pPr>
            <w:r w:rsidRPr="00E113FA">
              <w:rPr>
                <w:rFonts w:ascii="Times New Roman" w:hAnsi="Times New Roman"/>
                <w:color w:val="000000"/>
                <w:sz w:val="24"/>
                <w:szCs w:val="24"/>
              </w:rPr>
              <w:t>N/A</w:t>
            </w:r>
          </w:p>
        </w:tc>
        <w:tc>
          <w:tcPr>
            <w:tcW w:w="716" w:type="dxa"/>
            <w:tcBorders>
              <w:left w:val="nil"/>
              <w:right w:val="nil"/>
            </w:tcBorders>
            <w:shd w:val="clear" w:color="auto" w:fill="auto"/>
          </w:tcPr>
          <w:p w:rsidR="001D3540" w:rsidRPr="00E113FA" w:rsidRDefault="001D3540" w:rsidP="00BF0C00">
            <w:pPr>
              <w:spacing w:after="0" w:line="480" w:lineRule="auto"/>
              <w:rPr>
                <w:rFonts w:ascii="Times New Roman" w:hAnsi="Times New Roman"/>
                <w:color w:val="000000"/>
                <w:sz w:val="24"/>
                <w:szCs w:val="24"/>
              </w:rPr>
            </w:pPr>
            <w:r w:rsidRPr="00E113FA">
              <w:rPr>
                <w:rFonts w:ascii="Times New Roman" w:hAnsi="Times New Roman"/>
                <w:color w:val="000000"/>
                <w:sz w:val="24"/>
                <w:szCs w:val="24"/>
              </w:rPr>
              <w:t>0.12</w:t>
            </w:r>
          </w:p>
        </w:tc>
        <w:tc>
          <w:tcPr>
            <w:tcW w:w="716" w:type="dxa"/>
            <w:tcBorders>
              <w:left w:val="nil"/>
              <w:right w:val="nil"/>
            </w:tcBorders>
            <w:shd w:val="clear" w:color="auto" w:fill="auto"/>
          </w:tcPr>
          <w:p w:rsidR="001D3540" w:rsidRPr="00E113FA" w:rsidRDefault="001D3540" w:rsidP="00BF0C00">
            <w:pPr>
              <w:spacing w:after="0" w:line="480" w:lineRule="auto"/>
              <w:rPr>
                <w:rFonts w:ascii="Times New Roman" w:hAnsi="Times New Roman"/>
                <w:color w:val="000000"/>
                <w:sz w:val="24"/>
                <w:szCs w:val="24"/>
              </w:rPr>
            </w:pPr>
            <w:r w:rsidRPr="00E113FA">
              <w:rPr>
                <w:rFonts w:ascii="Times New Roman" w:hAnsi="Times New Roman"/>
                <w:color w:val="000000"/>
                <w:sz w:val="24"/>
                <w:szCs w:val="24"/>
              </w:rPr>
              <w:t>0.09</w:t>
            </w:r>
          </w:p>
        </w:tc>
        <w:tc>
          <w:tcPr>
            <w:tcW w:w="828" w:type="dxa"/>
            <w:tcBorders>
              <w:left w:val="nil"/>
              <w:right w:val="nil"/>
            </w:tcBorders>
            <w:shd w:val="clear" w:color="auto" w:fill="auto"/>
          </w:tcPr>
          <w:p w:rsidR="001D3540" w:rsidRPr="00E113FA" w:rsidRDefault="001D3540" w:rsidP="00BF0C00">
            <w:pPr>
              <w:spacing w:after="0" w:line="480" w:lineRule="auto"/>
              <w:rPr>
                <w:rFonts w:ascii="Times New Roman" w:hAnsi="Times New Roman"/>
                <w:color w:val="000000"/>
                <w:sz w:val="24"/>
                <w:szCs w:val="24"/>
              </w:rPr>
            </w:pPr>
            <w:r w:rsidRPr="00E113FA">
              <w:rPr>
                <w:rFonts w:ascii="Times New Roman" w:hAnsi="Times New Roman"/>
                <w:color w:val="000000"/>
                <w:sz w:val="24"/>
                <w:szCs w:val="24"/>
              </w:rPr>
              <w:t>0.19</w:t>
            </w:r>
          </w:p>
        </w:tc>
        <w:tc>
          <w:tcPr>
            <w:tcW w:w="716" w:type="dxa"/>
            <w:tcBorders>
              <w:left w:val="nil"/>
              <w:right w:val="nil"/>
            </w:tcBorders>
            <w:shd w:val="clear" w:color="auto" w:fill="auto"/>
          </w:tcPr>
          <w:p w:rsidR="001D3540" w:rsidRPr="00E113FA" w:rsidRDefault="001D3540" w:rsidP="00BF0C00">
            <w:pPr>
              <w:spacing w:after="0" w:line="480" w:lineRule="auto"/>
              <w:rPr>
                <w:rFonts w:ascii="Times New Roman" w:hAnsi="Times New Roman"/>
                <w:color w:val="000000"/>
                <w:sz w:val="24"/>
                <w:szCs w:val="24"/>
              </w:rPr>
            </w:pPr>
            <w:r w:rsidRPr="00E113FA">
              <w:rPr>
                <w:rFonts w:ascii="Times New Roman" w:hAnsi="Times New Roman"/>
                <w:color w:val="000000"/>
                <w:sz w:val="24"/>
                <w:szCs w:val="24"/>
              </w:rPr>
              <w:t>0.07</w:t>
            </w:r>
          </w:p>
        </w:tc>
        <w:tc>
          <w:tcPr>
            <w:tcW w:w="716" w:type="dxa"/>
            <w:tcBorders>
              <w:left w:val="nil"/>
              <w:right w:val="nil"/>
            </w:tcBorders>
            <w:shd w:val="clear" w:color="auto" w:fill="auto"/>
          </w:tcPr>
          <w:p w:rsidR="001D3540" w:rsidRPr="00E113FA" w:rsidRDefault="001D3540" w:rsidP="00BF0C00">
            <w:pPr>
              <w:spacing w:after="0" w:line="480" w:lineRule="auto"/>
              <w:rPr>
                <w:rFonts w:ascii="Times New Roman" w:hAnsi="Times New Roman"/>
                <w:color w:val="000000"/>
                <w:sz w:val="24"/>
                <w:szCs w:val="24"/>
              </w:rPr>
            </w:pPr>
            <w:r w:rsidRPr="00E113FA">
              <w:rPr>
                <w:rFonts w:ascii="Times New Roman" w:hAnsi="Times New Roman"/>
                <w:color w:val="000000"/>
                <w:sz w:val="24"/>
                <w:szCs w:val="24"/>
              </w:rPr>
              <w:t>0.10</w:t>
            </w:r>
          </w:p>
        </w:tc>
        <w:tc>
          <w:tcPr>
            <w:tcW w:w="736" w:type="dxa"/>
            <w:tcBorders>
              <w:left w:val="nil"/>
              <w:right w:val="nil"/>
            </w:tcBorders>
            <w:shd w:val="clear" w:color="auto" w:fill="auto"/>
          </w:tcPr>
          <w:p w:rsidR="001D3540" w:rsidRPr="00E113FA" w:rsidRDefault="001D3540" w:rsidP="00BF0C00">
            <w:pPr>
              <w:spacing w:after="0" w:line="480" w:lineRule="auto"/>
              <w:rPr>
                <w:rFonts w:ascii="Times New Roman" w:hAnsi="Times New Roman"/>
                <w:color w:val="000000"/>
                <w:sz w:val="24"/>
                <w:szCs w:val="24"/>
              </w:rPr>
            </w:pPr>
            <w:r w:rsidRPr="00E113FA">
              <w:rPr>
                <w:rFonts w:ascii="Times New Roman" w:hAnsi="Times New Roman"/>
                <w:color w:val="000000"/>
                <w:sz w:val="24"/>
                <w:szCs w:val="24"/>
              </w:rPr>
              <w:t>0.45</w:t>
            </w:r>
          </w:p>
        </w:tc>
      </w:tr>
      <w:tr w:rsidR="001D3540" w:rsidRPr="00E113FA" w:rsidTr="00B804D1">
        <w:tc>
          <w:tcPr>
            <w:tcW w:w="1756" w:type="dxa"/>
            <w:tcBorders>
              <w:bottom w:val="single" w:sz="8" w:space="0" w:color="000000"/>
            </w:tcBorders>
            <w:shd w:val="clear" w:color="auto" w:fill="auto"/>
          </w:tcPr>
          <w:p w:rsidR="001D3540" w:rsidRPr="00E113FA" w:rsidRDefault="001D3540" w:rsidP="00BF0C00">
            <w:pPr>
              <w:spacing w:after="0" w:line="480" w:lineRule="auto"/>
              <w:rPr>
                <w:rFonts w:ascii="Times New Roman" w:hAnsi="Times New Roman"/>
                <w:bCs/>
                <w:color w:val="000000"/>
                <w:sz w:val="24"/>
                <w:szCs w:val="24"/>
              </w:rPr>
            </w:pPr>
            <w:r w:rsidRPr="00E113FA">
              <w:rPr>
                <w:rFonts w:ascii="Times New Roman" w:hAnsi="Times New Roman"/>
                <w:bCs/>
                <w:color w:val="000000"/>
                <w:sz w:val="24"/>
                <w:szCs w:val="24"/>
              </w:rPr>
              <w:t>12-month injury</w:t>
            </w:r>
          </w:p>
        </w:tc>
        <w:tc>
          <w:tcPr>
            <w:tcW w:w="716" w:type="dxa"/>
            <w:tcBorders>
              <w:bottom w:val="single" w:sz="8" w:space="0" w:color="000000"/>
            </w:tcBorders>
            <w:shd w:val="clear" w:color="auto" w:fill="auto"/>
          </w:tcPr>
          <w:p w:rsidR="001D3540" w:rsidRPr="00E113FA" w:rsidRDefault="001D3540" w:rsidP="00BF0C00">
            <w:pPr>
              <w:spacing w:after="0" w:line="480" w:lineRule="auto"/>
              <w:rPr>
                <w:rFonts w:ascii="Times New Roman" w:hAnsi="Times New Roman"/>
                <w:color w:val="000000"/>
                <w:sz w:val="24"/>
                <w:szCs w:val="24"/>
              </w:rPr>
            </w:pPr>
            <w:r w:rsidRPr="00E113FA">
              <w:rPr>
                <w:rFonts w:ascii="Times New Roman" w:hAnsi="Times New Roman"/>
                <w:color w:val="000000"/>
                <w:sz w:val="24"/>
                <w:szCs w:val="24"/>
              </w:rPr>
              <w:t>N/A</w:t>
            </w:r>
          </w:p>
        </w:tc>
        <w:tc>
          <w:tcPr>
            <w:tcW w:w="716" w:type="dxa"/>
            <w:tcBorders>
              <w:bottom w:val="single" w:sz="8" w:space="0" w:color="000000"/>
            </w:tcBorders>
            <w:shd w:val="clear" w:color="auto" w:fill="auto"/>
          </w:tcPr>
          <w:p w:rsidR="001D3540" w:rsidRPr="00E113FA" w:rsidRDefault="001D3540" w:rsidP="00BF0C00">
            <w:pPr>
              <w:spacing w:after="0" w:line="480" w:lineRule="auto"/>
              <w:rPr>
                <w:rFonts w:ascii="Times New Roman" w:hAnsi="Times New Roman"/>
                <w:color w:val="000000"/>
                <w:sz w:val="24"/>
                <w:szCs w:val="24"/>
              </w:rPr>
            </w:pPr>
            <w:r w:rsidRPr="00E113FA">
              <w:rPr>
                <w:rFonts w:ascii="Times New Roman" w:hAnsi="Times New Roman"/>
                <w:color w:val="000000"/>
                <w:sz w:val="24"/>
                <w:szCs w:val="24"/>
              </w:rPr>
              <w:t>N/A</w:t>
            </w:r>
          </w:p>
        </w:tc>
        <w:tc>
          <w:tcPr>
            <w:tcW w:w="828" w:type="dxa"/>
            <w:tcBorders>
              <w:bottom w:val="single" w:sz="8" w:space="0" w:color="000000"/>
            </w:tcBorders>
            <w:shd w:val="clear" w:color="auto" w:fill="auto"/>
          </w:tcPr>
          <w:p w:rsidR="001D3540" w:rsidRPr="00E113FA" w:rsidRDefault="001D3540" w:rsidP="00BF0C00">
            <w:pPr>
              <w:spacing w:after="0" w:line="480" w:lineRule="auto"/>
              <w:rPr>
                <w:rFonts w:ascii="Times New Roman" w:hAnsi="Times New Roman"/>
                <w:color w:val="000000"/>
                <w:sz w:val="24"/>
                <w:szCs w:val="24"/>
              </w:rPr>
            </w:pPr>
            <w:r w:rsidRPr="00E113FA">
              <w:rPr>
                <w:rFonts w:ascii="Times New Roman" w:hAnsi="Times New Roman"/>
                <w:color w:val="000000"/>
                <w:sz w:val="24"/>
                <w:szCs w:val="24"/>
              </w:rPr>
              <w:t>N/A</w:t>
            </w:r>
          </w:p>
        </w:tc>
        <w:tc>
          <w:tcPr>
            <w:tcW w:w="716" w:type="dxa"/>
            <w:tcBorders>
              <w:bottom w:val="single" w:sz="8" w:space="0" w:color="000000"/>
            </w:tcBorders>
            <w:shd w:val="clear" w:color="auto" w:fill="auto"/>
          </w:tcPr>
          <w:p w:rsidR="001D3540" w:rsidRPr="00E113FA" w:rsidRDefault="001D3540" w:rsidP="00BF0C00">
            <w:pPr>
              <w:spacing w:after="0" w:line="480" w:lineRule="auto"/>
              <w:rPr>
                <w:rFonts w:ascii="Times New Roman" w:hAnsi="Times New Roman"/>
                <w:color w:val="000000"/>
                <w:sz w:val="24"/>
                <w:szCs w:val="24"/>
              </w:rPr>
            </w:pPr>
            <w:r w:rsidRPr="00E113FA">
              <w:rPr>
                <w:rFonts w:ascii="Times New Roman" w:hAnsi="Times New Roman"/>
                <w:color w:val="000000"/>
                <w:sz w:val="24"/>
                <w:szCs w:val="24"/>
              </w:rPr>
              <w:t>N/A</w:t>
            </w:r>
          </w:p>
        </w:tc>
        <w:tc>
          <w:tcPr>
            <w:tcW w:w="716" w:type="dxa"/>
            <w:tcBorders>
              <w:bottom w:val="single" w:sz="8" w:space="0" w:color="000000"/>
            </w:tcBorders>
            <w:shd w:val="clear" w:color="auto" w:fill="auto"/>
          </w:tcPr>
          <w:p w:rsidR="001D3540" w:rsidRPr="00E113FA" w:rsidRDefault="001D3540" w:rsidP="00BF0C00">
            <w:pPr>
              <w:spacing w:after="0" w:line="480" w:lineRule="auto"/>
              <w:rPr>
                <w:rFonts w:ascii="Times New Roman" w:hAnsi="Times New Roman"/>
                <w:color w:val="000000"/>
                <w:sz w:val="24"/>
                <w:szCs w:val="24"/>
              </w:rPr>
            </w:pPr>
            <w:r w:rsidRPr="00E113FA">
              <w:rPr>
                <w:rFonts w:ascii="Times New Roman" w:hAnsi="Times New Roman"/>
                <w:color w:val="000000"/>
                <w:sz w:val="24"/>
                <w:szCs w:val="24"/>
              </w:rPr>
              <w:t>N/A</w:t>
            </w:r>
          </w:p>
        </w:tc>
        <w:tc>
          <w:tcPr>
            <w:tcW w:w="828" w:type="dxa"/>
            <w:tcBorders>
              <w:bottom w:val="single" w:sz="8" w:space="0" w:color="000000"/>
            </w:tcBorders>
            <w:shd w:val="clear" w:color="auto" w:fill="auto"/>
          </w:tcPr>
          <w:p w:rsidR="001D3540" w:rsidRPr="00E113FA" w:rsidRDefault="001D3540" w:rsidP="00BF0C00">
            <w:pPr>
              <w:spacing w:after="0" w:line="480" w:lineRule="auto"/>
              <w:rPr>
                <w:rFonts w:ascii="Times New Roman" w:hAnsi="Times New Roman"/>
                <w:color w:val="000000"/>
                <w:sz w:val="24"/>
                <w:szCs w:val="24"/>
              </w:rPr>
            </w:pPr>
            <w:r w:rsidRPr="00E113FA">
              <w:rPr>
                <w:rFonts w:ascii="Times New Roman" w:hAnsi="Times New Roman"/>
                <w:color w:val="000000"/>
                <w:sz w:val="24"/>
                <w:szCs w:val="24"/>
              </w:rPr>
              <w:t>N/A</w:t>
            </w:r>
          </w:p>
        </w:tc>
        <w:tc>
          <w:tcPr>
            <w:tcW w:w="716" w:type="dxa"/>
            <w:tcBorders>
              <w:bottom w:val="single" w:sz="8" w:space="0" w:color="000000"/>
            </w:tcBorders>
            <w:shd w:val="clear" w:color="auto" w:fill="auto"/>
          </w:tcPr>
          <w:p w:rsidR="001D3540" w:rsidRPr="00E113FA" w:rsidRDefault="001D3540" w:rsidP="00BF0C00">
            <w:pPr>
              <w:spacing w:after="0" w:line="480" w:lineRule="auto"/>
              <w:rPr>
                <w:rFonts w:ascii="Times New Roman" w:hAnsi="Times New Roman"/>
                <w:color w:val="000000"/>
                <w:sz w:val="24"/>
                <w:szCs w:val="24"/>
              </w:rPr>
            </w:pPr>
            <w:r w:rsidRPr="00E113FA">
              <w:rPr>
                <w:rFonts w:ascii="Times New Roman" w:hAnsi="Times New Roman"/>
                <w:color w:val="000000"/>
                <w:sz w:val="24"/>
                <w:szCs w:val="24"/>
              </w:rPr>
              <w:t>0.10</w:t>
            </w:r>
          </w:p>
        </w:tc>
        <w:tc>
          <w:tcPr>
            <w:tcW w:w="716" w:type="dxa"/>
            <w:tcBorders>
              <w:bottom w:val="single" w:sz="8" w:space="0" w:color="000000"/>
            </w:tcBorders>
            <w:shd w:val="clear" w:color="auto" w:fill="auto"/>
          </w:tcPr>
          <w:p w:rsidR="001D3540" w:rsidRPr="00E113FA" w:rsidRDefault="001D3540" w:rsidP="00BF0C00">
            <w:pPr>
              <w:spacing w:after="0" w:line="480" w:lineRule="auto"/>
              <w:rPr>
                <w:rFonts w:ascii="Times New Roman" w:hAnsi="Times New Roman"/>
                <w:color w:val="000000"/>
                <w:sz w:val="24"/>
                <w:szCs w:val="24"/>
              </w:rPr>
            </w:pPr>
            <w:r w:rsidRPr="00E113FA">
              <w:rPr>
                <w:rFonts w:ascii="Times New Roman" w:hAnsi="Times New Roman"/>
                <w:color w:val="000000"/>
                <w:sz w:val="24"/>
                <w:szCs w:val="24"/>
              </w:rPr>
              <w:t>0.10</w:t>
            </w:r>
          </w:p>
        </w:tc>
        <w:tc>
          <w:tcPr>
            <w:tcW w:w="736" w:type="dxa"/>
            <w:tcBorders>
              <w:bottom w:val="single" w:sz="8" w:space="0" w:color="000000"/>
            </w:tcBorders>
            <w:shd w:val="clear" w:color="auto" w:fill="auto"/>
          </w:tcPr>
          <w:p w:rsidR="001D3540" w:rsidRPr="00E113FA" w:rsidRDefault="001D3540" w:rsidP="00BF0C00">
            <w:pPr>
              <w:spacing w:after="0" w:line="480" w:lineRule="auto"/>
              <w:rPr>
                <w:rFonts w:ascii="Times New Roman" w:hAnsi="Times New Roman"/>
                <w:color w:val="000000"/>
                <w:sz w:val="24"/>
                <w:szCs w:val="24"/>
              </w:rPr>
            </w:pPr>
            <w:r w:rsidRPr="00E113FA">
              <w:rPr>
                <w:rFonts w:ascii="Times New Roman" w:hAnsi="Times New Roman"/>
                <w:color w:val="000000"/>
                <w:sz w:val="24"/>
                <w:szCs w:val="24"/>
              </w:rPr>
              <w:t>0.32</w:t>
            </w:r>
          </w:p>
        </w:tc>
      </w:tr>
    </w:tbl>
    <w:p w:rsidR="001D3540" w:rsidRPr="00E113FA" w:rsidRDefault="001D3540" w:rsidP="00BF0C00">
      <w:pPr>
        <w:spacing w:after="0" w:line="480" w:lineRule="auto"/>
        <w:ind w:hanging="180"/>
        <w:rPr>
          <w:rFonts w:ascii="Times New Roman" w:hAnsi="Times New Roman"/>
          <w:sz w:val="24"/>
          <w:szCs w:val="24"/>
        </w:rPr>
      </w:pPr>
      <w:r w:rsidRPr="00E113FA">
        <w:rPr>
          <w:rFonts w:ascii="Times New Roman" w:hAnsi="Times New Roman"/>
          <w:sz w:val="24"/>
          <w:szCs w:val="24"/>
          <w:vertAlign w:val="superscript"/>
        </w:rPr>
        <w:t>a</w:t>
      </w:r>
      <w:r w:rsidRPr="00E113FA">
        <w:rPr>
          <w:rFonts w:ascii="Times New Roman" w:hAnsi="Times New Roman"/>
          <w:sz w:val="24"/>
          <w:szCs w:val="24"/>
        </w:rPr>
        <w:t>Models control for the clustering of employees in worksites, race, age, gender, education, poverty level, marital status, job tenure, job satisfaction, and intervention condition</w:t>
      </w:r>
    </w:p>
    <w:p w:rsidR="001D3540" w:rsidRPr="00E113FA" w:rsidRDefault="001D3540" w:rsidP="00BF0C00">
      <w:pPr>
        <w:spacing w:after="0" w:line="480" w:lineRule="auto"/>
        <w:rPr>
          <w:rFonts w:ascii="Times New Roman" w:hAnsi="Times New Roman"/>
          <w:sz w:val="24"/>
          <w:szCs w:val="24"/>
        </w:rPr>
      </w:pPr>
    </w:p>
    <w:p w:rsidR="001D3540" w:rsidRPr="00E113FA" w:rsidRDefault="001D3540" w:rsidP="00BF0C00">
      <w:pPr>
        <w:spacing w:after="0" w:line="480" w:lineRule="auto"/>
        <w:ind w:hanging="180"/>
        <w:rPr>
          <w:rFonts w:ascii="Times New Roman" w:hAnsi="Times New Roman"/>
          <w:sz w:val="24"/>
          <w:szCs w:val="24"/>
        </w:rPr>
      </w:pPr>
    </w:p>
    <w:p w:rsidR="001D3540" w:rsidRPr="00E113FA" w:rsidRDefault="001D3540" w:rsidP="00BF0C00">
      <w:pPr>
        <w:spacing w:after="0" w:line="480" w:lineRule="auto"/>
        <w:rPr>
          <w:rFonts w:ascii="Times New Roman" w:hAnsi="Times New Roman"/>
          <w:sz w:val="24"/>
          <w:szCs w:val="24"/>
        </w:rPr>
      </w:pPr>
    </w:p>
    <w:p w:rsidR="001D3540" w:rsidRPr="00E113FA" w:rsidRDefault="001D3540" w:rsidP="00BF0C00">
      <w:pPr>
        <w:spacing w:after="0" w:line="480" w:lineRule="auto"/>
        <w:rPr>
          <w:rFonts w:ascii="Times New Roman" w:hAnsi="Times New Roman"/>
          <w:sz w:val="24"/>
          <w:szCs w:val="24"/>
        </w:rPr>
      </w:pPr>
    </w:p>
    <w:p w:rsidR="001D3540" w:rsidRPr="00E113FA" w:rsidRDefault="001D3540" w:rsidP="00BF0C00">
      <w:pPr>
        <w:spacing w:after="0" w:line="480" w:lineRule="auto"/>
        <w:rPr>
          <w:rFonts w:ascii="Times New Roman" w:hAnsi="Times New Roman"/>
          <w:sz w:val="24"/>
          <w:szCs w:val="24"/>
        </w:rPr>
      </w:pPr>
    </w:p>
    <w:p w:rsidR="002E6339" w:rsidRPr="00E113FA" w:rsidRDefault="002E6339" w:rsidP="00BF0C00">
      <w:pPr>
        <w:spacing w:after="0" w:line="480" w:lineRule="auto"/>
        <w:rPr>
          <w:rFonts w:ascii="Times New Roman" w:hAnsi="Times New Roman"/>
          <w:sz w:val="24"/>
          <w:szCs w:val="24"/>
        </w:rPr>
      </w:pPr>
    </w:p>
    <w:sectPr w:rsidR="002E6339" w:rsidRPr="00E113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540"/>
    <w:rsid w:val="001A3722"/>
    <w:rsid w:val="001D3540"/>
    <w:rsid w:val="001E0CF5"/>
    <w:rsid w:val="001E70B5"/>
    <w:rsid w:val="00253B0F"/>
    <w:rsid w:val="002E6339"/>
    <w:rsid w:val="00326D85"/>
    <w:rsid w:val="00640451"/>
    <w:rsid w:val="00717859"/>
    <w:rsid w:val="007723CB"/>
    <w:rsid w:val="00795D4A"/>
    <w:rsid w:val="00841FC3"/>
    <w:rsid w:val="008D5808"/>
    <w:rsid w:val="00904211"/>
    <w:rsid w:val="009B0033"/>
    <w:rsid w:val="00A250B4"/>
    <w:rsid w:val="00B8530A"/>
    <w:rsid w:val="00BF0C00"/>
    <w:rsid w:val="00C07525"/>
    <w:rsid w:val="00C32E51"/>
    <w:rsid w:val="00CC2EA5"/>
    <w:rsid w:val="00D0272B"/>
    <w:rsid w:val="00DF7512"/>
    <w:rsid w:val="00E113FA"/>
    <w:rsid w:val="00E26F07"/>
    <w:rsid w:val="00E37303"/>
    <w:rsid w:val="00EE43CA"/>
    <w:rsid w:val="00F70F04"/>
    <w:rsid w:val="00FC0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540"/>
    <w:pPr>
      <w:spacing w:after="200" w:line="276" w:lineRule="auto"/>
    </w:pPr>
    <w:rPr>
      <w:rFonts w:ascii="Calibri" w:eastAsia="Calibri"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841FC3"/>
    <w:rPr>
      <w:sz w:val="16"/>
      <w:szCs w:val="16"/>
    </w:rPr>
  </w:style>
  <w:style w:type="paragraph" w:styleId="CommentText">
    <w:name w:val="annotation text"/>
    <w:basedOn w:val="Normal"/>
    <w:link w:val="CommentTextChar"/>
    <w:uiPriority w:val="99"/>
    <w:unhideWhenUsed/>
    <w:rsid w:val="00841FC3"/>
    <w:pPr>
      <w:spacing w:line="240" w:lineRule="auto"/>
    </w:pPr>
    <w:rPr>
      <w:sz w:val="20"/>
      <w:szCs w:val="20"/>
    </w:rPr>
  </w:style>
  <w:style w:type="character" w:customStyle="1" w:styleId="CommentTextChar">
    <w:name w:val="Comment Text Char"/>
    <w:basedOn w:val="DefaultParagraphFont"/>
    <w:link w:val="CommentText"/>
    <w:uiPriority w:val="99"/>
    <w:rsid w:val="00841FC3"/>
    <w:rPr>
      <w:rFonts w:ascii="Calibri" w:eastAsia="Calibri" w:hAnsi="Calibri"/>
      <w:sz w:val="20"/>
      <w:szCs w:val="20"/>
    </w:rPr>
  </w:style>
  <w:style w:type="paragraph" w:styleId="BalloonText">
    <w:name w:val="Balloon Text"/>
    <w:basedOn w:val="Normal"/>
    <w:link w:val="BalloonTextChar"/>
    <w:uiPriority w:val="99"/>
    <w:semiHidden/>
    <w:unhideWhenUsed/>
    <w:rsid w:val="00841F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FC3"/>
    <w:rPr>
      <w:rFonts w:ascii="Tahoma" w:eastAsia="Calibri" w:hAnsi="Tahoma" w:cs="Tahoma"/>
      <w:sz w:val="16"/>
      <w:szCs w:val="16"/>
    </w:rPr>
  </w:style>
  <w:style w:type="paragraph" w:styleId="CommentSubject">
    <w:name w:val="annotation subject"/>
    <w:basedOn w:val="CommentText"/>
    <w:next w:val="CommentText"/>
    <w:link w:val="CommentSubjectChar"/>
    <w:uiPriority w:val="99"/>
    <w:semiHidden/>
    <w:unhideWhenUsed/>
    <w:rsid w:val="001A3722"/>
    <w:rPr>
      <w:b/>
      <w:bCs/>
    </w:rPr>
  </w:style>
  <w:style w:type="character" w:customStyle="1" w:styleId="CommentSubjectChar">
    <w:name w:val="Comment Subject Char"/>
    <w:basedOn w:val="CommentTextChar"/>
    <w:link w:val="CommentSubject"/>
    <w:uiPriority w:val="99"/>
    <w:semiHidden/>
    <w:rsid w:val="001A3722"/>
    <w:rPr>
      <w:rFonts w:ascii="Calibri" w:eastAsia="Calibri" w:hAnsi="Calibr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540"/>
    <w:pPr>
      <w:spacing w:after="200" w:line="276" w:lineRule="auto"/>
    </w:pPr>
    <w:rPr>
      <w:rFonts w:ascii="Calibri" w:eastAsia="Calibri"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841FC3"/>
    <w:rPr>
      <w:sz w:val="16"/>
      <w:szCs w:val="16"/>
    </w:rPr>
  </w:style>
  <w:style w:type="paragraph" w:styleId="CommentText">
    <w:name w:val="annotation text"/>
    <w:basedOn w:val="Normal"/>
    <w:link w:val="CommentTextChar"/>
    <w:uiPriority w:val="99"/>
    <w:unhideWhenUsed/>
    <w:rsid w:val="00841FC3"/>
    <w:pPr>
      <w:spacing w:line="240" w:lineRule="auto"/>
    </w:pPr>
    <w:rPr>
      <w:sz w:val="20"/>
      <w:szCs w:val="20"/>
    </w:rPr>
  </w:style>
  <w:style w:type="character" w:customStyle="1" w:styleId="CommentTextChar">
    <w:name w:val="Comment Text Char"/>
    <w:basedOn w:val="DefaultParagraphFont"/>
    <w:link w:val="CommentText"/>
    <w:uiPriority w:val="99"/>
    <w:rsid w:val="00841FC3"/>
    <w:rPr>
      <w:rFonts w:ascii="Calibri" w:eastAsia="Calibri" w:hAnsi="Calibri"/>
      <w:sz w:val="20"/>
      <w:szCs w:val="20"/>
    </w:rPr>
  </w:style>
  <w:style w:type="paragraph" w:styleId="BalloonText">
    <w:name w:val="Balloon Text"/>
    <w:basedOn w:val="Normal"/>
    <w:link w:val="BalloonTextChar"/>
    <w:uiPriority w:val="99"/>
    <w:semiHidden/>
    <w:unhideWhenUsed/>
    <w:rsid w:val="00841F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FC3"/>
    <w:rPr>
      <w:rFonts w:ascii="Tahoma" w:eastAsia="Calibri" w:hAnsi="Tahoma" w:cs="Tahoma"/>
      <w:sz w:val="16"/>
      <w:szCs w:val="16"/>
    </w:rPr>
  </w:style>
  <w:style w:type="paragraph" w:styleId="CommentSubject">
    <w:name w:val="annotation subject"/>
    <w:basedOn w:val="CommentText"/>
    <w:next w:val="CommentText"/>
    <w:link w:val="CommentSubjectChar"/>
    <w:uiPriority w:val="99"/>
    <w:semiHidden/>
    <w:unhideWhenUsed/>
    <w:rsid w:val="001A3722"/>
    <w:rPr>
      <w:b/>
      <w:bCs/>
    </w:rPr>
  </w:style>
  <w:style w:type="character" w:customStyle="1" w:styleId="CommentSubjectChar">
    <w:name w:val="Comment Subject Char"/>
    <w:basedOn w:val="CommentTextChar"/>
    <w:link w:val="CommentSubject"/>
    <w:uiPriority w:val="99"/>
    <w:semiHidden/>
    <w:rsid w:val="001A3722"/>
    <w:rPr>
      <w:rFonts w:ascii="Calibri" w:eastAsia="Calibri" w:hAnsi="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483</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HSPH</Company>
  <LinksUpToDate>false</LinksUpToDate>
  <CharactersWithSpaces>3231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Okechukwu</dc:creator>
  <cp:lastModifiedBy>Janine Molino</cp:lastModifiedBy>
  <cp:revision>2</cp:revision>
  <dcterms:created xsi:type="dcterms:W3CDTF">2015-12-04T16:50:00Z</dcterms:created>
  <dcterms:modified xsi:type="dcterms:W3CDTF">2015-12-04T16:50:00Z</dcterms:modified>
</cp:coreProperties>
</file>