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697D84" w:rsidP="00EC3DD2">
      <w:pPr>
        <w:jc w:val="center"/>
      </w:pPr>
      <w:r>
        <w:t>Supplemental Table 1</w:t>
      </w:r>
    </w:p>
    <w:tbl>
      <w:tblPr>
        <w:tblStyle w:val="PlainTable5"/>
        <w:tblW w:w="13950" w:type="dxa"/>
        <w:tblLook w:val="0600" w:firstRow="0" w:lastRow="0" w:firstColumn="0" w:lastColumn="0" w:noHBand="1" w:noVBand="1"/>
      </w:tblPr>
      <w:tblGrid>
        <w:gridCol w:w="1872"/>
        <w:gridCol w:w="1070"/>
        <w:gridCol w:w="1289"/>
        <w:gridCol w:w="1183"/>
        <w:gridCol w:w="777"/>
        <w:gridCol w:w="914"/>
        <w:gridCol w:w="1173"/>
        <w:gridCol w:w="271"/>
        <w:gridCol w:w="1261"/>
        <w:gridCol w:w="1259"/>
        <w:gridCol w:w="811"/>
        <w:gridCol w:w="810"/>
        <w:gridCol w:w="1260"/>
      </w:tblGrid>
      <w:tr w:rsidR="00091C23" w:rsidTr="004B23AE">
        <w:trPr>
          <w:trHeight w:val="288"/>
        </w:trPr>
        <w:tc>
          <w:tcPr>
            <w:tcW w:w="0" w:type="auto"/>
          </w:tcPr>
          <w:p w:rsidR="001800B5" w:rsidRDefault="001800B5" w:rsidP="000B28E7">
            <w:pPr>
              <w:widowControl w:val="0"/>
              <w:spacing w:before="240"/>
              <w:rPr>
                <w:vertAlign w:val="superscript"/>
              </w:rPr>
            </w:pPr>
          </w:p>
        </w:tc>
        <w:tc>
          <w:tcPr>
            <w:tcW w:w="1070" w:type="dxa"/>
          </w:tcPr>
          <w:p w:rsidR="001800B5" w:rsidRDefault="001800B5" w:rsidP="000B28E7">
            <w:pPr>
              <w:widowControl w:val="0"/>
              <w:spacing w:before="240"/>
              <w:rPr>
                <w:vertAlign w:val="superscript"/>
              </w:rPr>
            </w:pPr>
          </w:p>
        </w:tc>
        <w:tc>
          <w:tcPr>
            <w:tcW w:w="5336" w:type="dxa"/>
            <w:gridSpan w:val="5"/>
            <w:tcBorders>
              <w:bottom w:val="single" w:sz="12" w:space="0" w:color="auto"/>
            </w:tcBorders>
          </w:tcPr>
          <w:p w:rsidR="001800B5" w:rsidRPr="001800B5" w:rsidRDefault="00697D84" w:rsidP="00C72BAB">
            <w:pPr>
              <w:widowControl w:val="0"/>
              <w:spacing w:before="240"/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 xml:space="preserve">T. gondii </w:t>
            </w:r>
            <w:r w:rsidRPr="00697D84">
              <w:rPr>
                <w:b/>
              </w:rPr>
              <w:t>SAG2A</w:t>
            </w:r>
            <w:r w:rsidR="001800B5" w:rsidRPr="00697D84">
              <w:rPr>
                <w:b/>
              </w:rPr>
              <w:t xml:space="preserve"> </w:t>
            </w:r>
            <w:proofErr w:type="spellStart"/>
            <w:r w:rsidR="001800B5" w:rsidRPr="001800B5">
              <w:rPr>
                <w:b/>
              </w:rPr>
              <w:t>MBA</w:t>
            </w:r>
            <w:r w:rsidR="001800B5" w:rsidRPr="001800B5">
              <w:rPr>
                <w:b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271" w:type="dxa"/>
          </w:tcPr>
          <w:p w:rsidR="001800B5" w:rsidRDefault="001800B5" w:rsidP="000B28E7">
            <w:pPr>
              <w:widowControl w:val="0"/>
              <w:spacing w:before="24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401" w:type="dxa"/>
            <w:gridSpan w:val="5"/>
            <w:tcBorders>
              <w:bottom w:val="single" w:sz="12" w:space="0" w:color="auto"/>
            </w:tcBorders>
          </w:tcPr>
          <w:p w:rsidR="001800B5" w:rsidRPr="001800B5" w:rsidRDefault="00697D84" w:rsidP="000B28E7">
            <w:pPr>
              <w:widowControl w:val="0"/>
              <w:spacing w:before="240"/>
              <w:jc w:val="center"/>
              <w:rPr>
                <w:vertAlign w:val="superscript"/>
              </w:rPr>
            </w:pPr>
            <w:r w:rsidRPr="00697D84">
              <w:rPr>
                <w:b/>
              </w:rPr>
              <w:t>Cysticercosis T24H</w:t>
            </w:r>
            <w:r>
              <w:rPr>
                <w:b/>
                <w:i/>
              </w:rPr>
              <w:t xml:space="preserve"> </w:t>
            </w:r>
            <w:proofErr w:type="spellStart"/>
            <w:r w:rsidR="001800B5" w:rsidRPr="001800B5">
              <w:rPr>
                <w:b/>
              </w:rPr>
              <w:t>MBA</w:t>
            </w:r>
            <w:r w:rsidR="001800B5" w:rsidRPr="001800B5">
              <w:rPr>
                <w:b/>
                <w:i/>
                <w:vertAlign w:val="superscript"/>
              </w:rPr>
              <w:t>a</w:t>
            </w:r>
            <w:proofErr w:type="spellEnd"/>
          </w:p>
        </w:tc>
      </w:tr>
      <w:tr w:rsidR="00091C23" w:rsidTr="004B23AE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</w:tcPr>
          <w:p w:rsidR="001800B5" w:rsidRPr="006E2208" w:rsidRDefault="001800B5" w:rsidP="000B28E7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6E2208">
              <w:rPr>
                <w:rFonts w:cs="Arial"/>
                <w:szCs w:val="24"/>
              </w:rPr>
              <w:t>Characteristic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  <w:rPr>
                <w:rFonts w:cs="Arial"/>
                <w:szCs w:val="24"/>
              </w:rPr>
            </w:pPr>
            <w:r w:rsidRPr="00022AA9">
              <w:rPr>
                <w:rFonts w:cs="Arial"/>
                <w:szCs w:val="24"/>
              </w:rPr>
              <w:t>Total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  <w:rPr>
                <w:rFonts w:cs="Arial"/>
                <w:szCs w:val="24"/>
              </w:rPr>
            </w:pPr>
            <w:r w:rsidRPr="00022AA9">
              <w:rPr>
                <w:rFonts w:cs="Arial"/>
                <w:szCs w:val="24"/>
              </w:rPr>
              <w:t>Positive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</w:pPr>
            <w:r w:rsidRPr="00022AA9">
              <w:t>Percent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</w:pPr>
            <w:r>
              <w:t>LCL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Default="001800B5" w:rsidP="000B28E7">
            <w:pPr>
              <w:widowControl w:val="0"/>
              <w:spacing w:before="240"/>
              <w:jc w:val="center"/>
            </w:pPr>
            <w:r>
              <w:t>UCL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</w:pPr>
            <w:r w:rsidRPr="006E2208"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1800B5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022AA9" w:rsidRDefault="001800B5" w:rsidP="000B28E7">
            <w:pPr>
              <w:widowControl w:val="0"/>
              <w:spacing w:before="240"/>
              <w:jc w:val="center"/>
            </w:pPr>
            <w:r>
              <w:t>Positive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Percent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LCL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UCL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 w:rsidRPr="006E2208">
              <w:rPr>
                <w:i/>
              </w:rPr>
              <w:t>P</w:t>
            </w:r>
            <w:r>
              <w:t xml:space="preserve"> value</w:t>
            </w:r>
          </w:p>
        </w:tc>
      </w:tr>
      <w:tr w:rsidR="00091C23" w:rsidTr="00A071AE">
        <w:trPr>
          <w:trHeight w:val="272"/>
        </w:trPr>
        <w:tc>
          <w:tcPr>
            <w:tcW w:w="0" w:type="auto"/>
            <w:tcBorders>
              <w:top w:val="single" w:sz="12" w:space="0" w:color="auto"/>
            </w:tcBorders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Overall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2150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128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5.8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4.7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7.0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60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2.6</w:t>
            </w:r>
          </w:p>
        </w:tc>
        <w:tc>
          <w:tcPr>
            <w:tcW w:w="811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1.8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3.7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88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Residence type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8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8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777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914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5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Urban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655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35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5.0</w:t>
            </w:r>
          </w:p>
        </w:tc>
        <w:tc>
          <w:tcPr>
            <w:tcW w:w="777" w:type="dxa"/>
          </w:tcPr>
          <w:p w:rsidR="001800B5" w:rsidRPr="00697D84" w:rsidRDefault="00697D84" w:rsidP="00B2391B">
            <w:pPr>
              <w:widowControl w:val="0"/>
              <w:spacing w:before="240"/>
              <w:jc w:val="center"/>
            </w:pPr>
            <w:r>
              <w:t>3.9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6.5</w:t>
            </w:r>
          </w:p>
        </w:tc>
        <w:tc>
          <w:tcPr>
            <w:tcW w:w="117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0.319</w:t>
            </w: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11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2.0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0.8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4.5</w:t>
            </w:r>
          </w:p>
        </w:tc>
        <w:tc>
          <w:tcPr>
            <w:tcW w:w="126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0.430</w:t>
            </w:r>
          </w:p>
        </w:tc>
      </w:tr>
      <w:tr w:rsidR="00091C23" w:rsidTr="00A071AE">
        <w:trPr>
          <w:trHeight w:val="288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Rural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1495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93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6.0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4.7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7.6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49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1.9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4.1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Region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8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8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777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  <w:bookmarkStart w:id="0" w:name="_GoBack"/>
            <w:bookmarkEnd w:id="0"/>
          </w:p>
        </w:tc>
        <w:tc>
          <w:tcPr>
            <w:tcW w:w="914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5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88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North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394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33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6.6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4.6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9.3</w:t>
            </w:r>
          </w:p>
        </w:tc>
        <w:tc>
          <w:tcPr>
            <w:tcW w:w="117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0.160</w:t>
            </w: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15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2.2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1.0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5.1</w:t>
            </w:r>
          </w:p>
        </w:tc>
        <w:tc>
          <w:tcPr>
            <w:tcW w:w="126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0.734</w:t>
            </w:r>
          </w:p>
        </w:tc>
      </w:tr>
      <w:tr w:rsidR="00091C23" w:rsidTr="004B23AE">
        <w:trPr>
          <w:trHeight w:val="288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West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445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28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6.6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4.7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9.1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15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3.3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1.7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6.3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4B23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Southwest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423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30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7.3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4.2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12.6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10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2.6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1.0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6.4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4B23AE">
        <w:trPr>
          <w:trHeight w:val="288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Southeast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419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13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3.5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1.9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6.6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13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2.9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1.5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5.8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Phnom Penh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469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24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4.6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7.3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7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1.3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0.5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3.2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Age group (</w:t>
            </w:r>
            <w:proofErr w:type="spellStart"/>
            <w:r w:rsidRPr="006E2208">
              <w:t>yr</w:t>
            </w:r>
            <w:proofErr w:type="spellEnd"/>
            <w:r w:rsidRPr="006E2208">
              <w:t>)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8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8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777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914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59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81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A071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15-19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435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23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6.5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3.7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11.0</w:t>
            </w:r>
          </w:p>
        </w:tc>
        <w:tc>
          <w:tcPr>
            <w:tcW w:w="117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0.363</w:t>
            </w: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13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2.0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1.0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4.0</w:t>
            </w:r>
          </w:p>
        </w:tc>
        <w:tc>
          <w:tcPr>
            <w:tcW w:w="126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0.950</w:t>
            </w:r>
          </w:p>
        </w:tc>
      </w:tr>
      <w:tr w:rsidR="00091C23" w:rsidTr="004B23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20-24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468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26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4.4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6.9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10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2.5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1.2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5.4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4B23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25-29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483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23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4.1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2.5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6.6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15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1.6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4.8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4B23AE">
        <w:trPr>
          <w:trHeight w:val="272"/>
        </w:trPr>
        <w:tc>
          <w:tcPr>
            <w:tcW w:w="0" w:type="auto"/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30-34</w:t>
            </w:r>
          </w:p>
        </w:tc>
        <w:tc>
          <w:tcPr>
            <w:tcW w:w="1070" w:type="dxa"/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449</w:t>
            </w:r>
          </w:p>
        </w:tc>
        <w:tc>
          <w:tcPr>
            <w:tcW w:w="128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31</w:t>
            </w:r>
          </w:p>
        </w:tc>
        <w:tc>
          <w:tcPr>
            <w:tcW w:w="1183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6.3</w:t>
            </w:r>
          </w:p>
        </w:tc>
        <w:tc>
          <w:tcPr>
            <w:tcW w:w="777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4.0</w:t>
            </w:r>
          </w:p>
        </w:tc>
        <w:tc>
          <w:tcPr>
            <w:tcW w:w="914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9.8</w:t>
            </w:r>
          </w:p>
        </w:tc>
        <w:tc>
          <w:tcPr>
            <w:tcW w:w="1173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12</w:t>
            </w:r>
          </w:p>
        </w:tc>
        <w:tc>
          <w:tcPr>
            <w:tcW w:w="1259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811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1.4</w:t>
            </w:r>
          </w:p>
        </w:tc>
        <w:tc>
          <w:tcPr>
            <w:tcW w:w="810" w:type="dxa"/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5.4</w:t>
            </w:r>
          </w:p>
        </w:tc>
        <w:tc>
          <w:tcPr>
            <w:tcW w:w="1260" w:type="dxa"/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  <w:tr w:rsidR="00091C23" w:rsidTr="004B23AE">
        <w:trPr>
          <w:trHeight w:val="272"/>
        </w:trPr>
        <w:tc>
          <w:tcPr>
            <w:tcW w:w="0" w:type="auto"/>
            <w:tcBorders>
              <w:bottom w:val="single" w:sz="12" w:space="0" w:color="auto"/>
            </w:tcBorders>
          </w:tcPr>
          <w:p w:rsidR="001800B5" w:rsidRPr="006E2208" w:rsidRDefault="001800B5" w:rsidP="000B28E7">
            <w:pPr>
              <w:widowControl w:val="0"/>
              <w:spacing w:before="240"/>
            </w:pPr>
            <w:r w:rsidRPr="006E2208">
              <w:t>35-39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1800B5" w:rsidRPr="00817176" w:rsidRDefault="001800B5" w:rsidP="000B28E7">
            <w:pPr>
              <w:widowControl w:val="0"/>
              <w:spacing w:before="240"/>
              <w:jc w:val="center"/>
            </w:pPr>
            <w:r>
              <w:t>315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8.3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4.2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15.6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2.8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1.3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800B5" w:rsidRPr="00697D84" w:rsidRDefault="00697D84" w:rsidP="000B28E7">
            <w:pPr>
              <w:widowControl w:val="0"/>
              <w:spacing w:before="240"/>
              <w:jc w:val="center"/>
            </w:pPr>
            <w:r>
              <w:t>5.8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800B5" w:rsidRPr="00697D84" w:rsidRDefault="001800B5" w:rsidP="000B28E7">
            <w:pPr>
              <w:widowControl w:val="0"/>
              <w:spacing w:before="240"/>
              <w:jc w:val="center"/>
            </w:pPr>
          </w:p>
        </w:tc>
      </w:tr>
    </w:tbl>
    <w:p w:rsidR="00A86058" w:rsidRDefault="00A86058" w:rsidP="00A86058">
      <w:pPr>
        <w:spacing w:line="480" w:lineRule="auto"/>
        <w:contextualSpacing/>
      </w:pPr>
      <w:proofErr w:type="spellStart"/>
      <w:proofErr w:type="gramStart"/>
      <w:r w:rsidRPr="00CD400E">
        <w:rPr>
          <w:vertAlign w:val="superscript"/>
        </w:rPr>
        <w:lastRenderedPageBreak/>
        <w:t>a</w:t>
      </w:r>
      <w:r>
        <w:t>Estimates</w:t>
      </w:r>
      <w:proofErr w:type="spellEnd"/>
      <w:proofErr w:type="gramEnd"/>
      <w:r>
        <w:t xml:space="preserve"> adjusted to account for sampling weights and survey design.  Abbreviations: LCL, Lower confidence limit; UCL, Upper confidence limit.</w:t>
      </w:r>
    </w:p>
    <w:p w:rsidR="00A86058" w:rsidRDefault="00A86058"/>
    <w:sectPr w:rsidR="00A86058" w:rsidSect="006E2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08" w:rsidRDefault="006E2208" w:rsidP="008B5D54">
      <w:pPr>
        <w:spacing w:after="0" w:line="240" w:lineRule="auto"/>
      </w:pPr>
      <w:r>
        <w:separator/>
      </w:r>
    </w:p>
  </w:endnote>
  <w:endnote w:type="continuationSeparator" w:id="0">
    <w:p w:rsidR="006E2208" w:rsidRDefault="006E220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08" w:rsidRDefault="006E2208" w:rsidP="008B5D54">
      <w:pPr>
        <w:spacing w:after="0" w:line="240" w:lineRule="auto"/>
      </w:pPr>
      <w:r>
        <w:separator/>
      </w:r>
    </w:p>
  </w:footnote>
  <w:footnote w:type="continuationSeparator" w:id="0">
    <w:p w:rsidR="006E2208" w:rsidRDefault="006E220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8"/>
    <w:rsid w:val="00091C23"/>
    <w:rsid w:val="00156849"/>
    <w:rsid w:val="001800B5"/>
    <w:rsid w:val="00196C40"/>
    <w:rsid w:val="004B23AE"/>
    <w:rsid w:val="00697D84"/>
    <w:rsid w:val="006C6578"/>
    <w:rsid w:val="006E2208"/>
    <w:rsid w:val="006F57BD"/>
    <w:rsid w:val="008B5D54"/>
    <w:rsid w:val="009970BD"/>
    <w:rsid w:val="00A071AE"/>
    <w:rsid w:val="00A86058"/>
    <w:rsid w:val="00B2391B"/>
    <w:rsid w:val="00B55735"/>
    <w:rsid w:val="00B608AC"/>
    <w:rsid w:val="00C51F69"/>
    <w:rsid w:val="00C72BAB"/>
    <w:rsid w:val="00DC57CC"/>
    <w:rsid w:val="00E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BD88F9-7802-4240-941F-518CAC5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E220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E2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2208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6E2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D83F-67AE-4643-A704-9F73C736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Jeffrey W. (CDC/OID/NCEZID)</dc:creator>
  <cp:keywords/>
  <dc:description/>
  <cp:lastModifiedBy>Priest, Jeffrey W. (CDC/OID/NCEZID)</cp:lastModifiedBy>
  <cp:revision>3</cp:revision>
  <dcterms:created xsi:type="dcterms:W3CDTF">2016-04-19T19:50:00Z</dcterms:created>
  <dcterms:modified xsi:type="dcterms:W3CDTF">2016-04-19T20:27:00Z</dcterms:modified>
</cp:coreProperties>
</file>