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CD" w:rsidRDefault="002328CD" w:rsidP="002328CD">
      <w:pPr>
        <w:spacing w:after="0" w:line="240" w:lineRule="auto"/>
        <w:rPr>
          <w:b/>
          <w:bCs/>
        </w:rPr>
      </w:pPr>
      <w:bookmarkStart w:id="0" w:name="_GoBack"/>
      <w:bookmarkEnd w:id="0"/>
      <w:r w:rsidRPr="002328CD">
        <w:rPr>
          <w:b/>
          <w:bCs/>
        </w:rPr>
        <w:t>S</w:t>
      </w:r>
      <w:r w:rsidR="00B85014">
        <w:rPr>
          <w:b/>
          <w:bCs/>
        </w:rPr>
        <w:t>1</w:t>
      </w:r>
      <w:r w:rsidRPr="002328CD">
        <w:rPr>
          <w:b/>
          <w:bCs/>
        </w:rPr>
        <w:t xml:space="preserve"> Table</w:t>
      </w:r>
      <w:r w:rsidR="00C96126">
        <w:rPr>
          <w:b/>
          <w:bCs/>
        </w:rPr>
        <w:t>.</w:t>
      </w:r>
      <w:r w:rsidRPr="002328CD">
        <w:rPr>
          <w:b/>
          <w:bCs/>
        </w:rPr>
        <w:t xml:space="preserve"> Healthcare utilization information among persons with acute gastroenteritis (AGE) used for incidence calculations, by age group.</w:t>
      </w:r>
    </w:p>
    <w:p w:rsidR="002328CD" w:rsidRDefault="002328CD" w:rsidP="002328CD">
      <w:pPr>
        <w:spacing w:after="0" w:line="240" w:lineRule="auto"/>
        <w:rPr>
          <w:b/>
          <w:bCs/>
        </w:rPr>
      </w:pPr>
    </w:p>
    <w:p w:rsidR="002328CD" w:rsidRPr="002328CD" w:rsidRDefault="002328CD" w:rsidP="002328CD">
      <w:pPr>
        <w:spacing w:after="0" w:line="240" w:lineRule="auto"/>
        <w:rPr>
          <w:b/>
          <w:bCs/>
        </w:rPr>
      </w:pPr>
    </w:p>
    <w:tbl>
      <w:tblPr>
        <w:tblStyle w:val="TableGrid"/>
        <w:tblW w:w="5047" w:type="pct"/>
        <w:tblLayout w:type="fixed"/>
        <w:tblLook w:val="04A0" w:firstRow="1" w:lastRow="0" w:firstColumn="1" w:lastColumn="0" w:noHBand="0" w:noVBand="1"/>
      </w:tblPr>
      <w:tblGrid>
        <w:gridCol w:w="2336"/>
        <w:gridCol w:w="1082"/>
        <w:gridCol w:w="990"/>
        <w:gridCol w:w="988"/>
        <w:gridCol w:w="1171"/>
        <w:gridCol w:w="1171"/>
        <w:gridCol w:w="1262"/>
        <w:gridCol w:w="1165"/>
      </w:tblGrid>
      <w:tr w:rsidR="002328CD" w:rsidRPr="002328CD" w:rsidTr="00364459">
        <w:trPr>
          <w:trHeight w:val="300"/>
        </w:trPr>
        <w:tc>
          <w:tcPr>
            <w:tcW w:w="1149" w:type="pct"/>
            <w:vMerge w:val="restart"/>
            <w:vAlign w:val="bottom"/>
          </w:tcPr>
          <w:p w:rsidR="002328CD" w:rsidRPr="002328CD" w:rsidRDefault="002328CD" w:rsidP="002328CD">
            <w:pPr>
              <w:jc w:val="center"/>
              <w:rPr>
                <w:b/>
              </w:rPr>
            </w:pPr>
            <w:r w:rsidRPr="002328CD">
              <w:rPr>
                <w:b/>
              </w:rPr>
              <w:t>Characteristic</w:t>
            </w:r>
          </w:p>
        </w:tc>
        <w:tc>
          <w:tcPr>
            <w:tcW w:w="3278" w:type="pct"/>
            <w:gridSpan w:val="6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Age group</w:t>
            </w:r>
          </w:p>
        </w:tc>
        <w:tc>
          <w:tcPr>
            <w:tcW w:w="573" w:type="pct"/>
            <w:vMerge w:val="restart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Total</w:t>
            </w:r>
          </w:p>
        </w:tc>
      </w:tr>
      <w:tr w:rsidR="002328CD" w:rsidRPr="002328CD" w:rsidTr="002328CD">
        <w:trPr>
          <w:trHeight w:val="70"/>
        </w:trPr>
        <w:tc>
          <w:tcPr>
            <w:tcW w:w="1149" w:type="pct"/>
            <w:vMerge/>
            <w:vAlign w:val="bottom"/>
          </w:tcPr>
          <w:p w:rsidR="002328CD" w:rsidRPr="002328CD" w:rsidRDefault="002328CD" w:rsidP="002328CD"/>
        </w:tc>
        <w:tc>
          <w:tcPr>
            <w:tcW w:w="532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&lt;5 years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5-15 years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16-25 years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26-45 years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46-65 years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2328CD" w:rsidRPr="002328CD" w:rsidRDefault="002328CD" w:rsidP="002328CD">
            <w:pPr>
              <w:jc w:val="center"/>
            </w:pPr>
            <w:r w:rsidRPr="002328CD">
              <w:rPr>
                <w:b/>
                <w:bCs/>
              </w:rPr>
              <w:t>&gt;65 years</w:t>
            </w:r>
          </w:p>
        </w:tc>
        <w:tc>
          <w:tcPr>
            <w:tcW w:w="573" w:type="pct"/>
            <w:vMerge/>
            <w:noWrap/>
            <w:vAlign w:val="bottom"/>
          </w:tcPr>
          <w:p w:rsidR="002328CD" w:rsidRPr="002328CD" w:rsidRDefault="002328CD" w:rsidP="002328CD"/>
        </w:tc>
      </w:tr>
      <w:tr w:rsidR="002328CD" w:rsidRPr="002328CD" w:rsidTr="00364459">
        <w:trPr>
          <w:trHeight w:val="70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 xml:space="preserve">% Persons with AGE who sought medical care (Source: </w:t>
            </w:r>
            <w:proofErr w:type="spellStart"/>
            <w:r w:rsidRPr="002328CD">
              <w:t>FoodNet</w:t>
            </w:r>
            <w:proofErr w:type="spellEnd"/>
            <w:r w:rsidRPr="002328CD">
              <w:t xml:space="preserve"> Population Survey)</w:t>
            </w:r>
          </w:p>
        </w:tc>
        <w:tc>
          <w:tcPr>
            <w:tcW w:w="532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20.7</w:t>
            </w:r>
          </w:p>
        </w:tc>
        <w:tc>
          <w:tcPr>
            <w:tcW w:w="487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16.8</w:t>
            </w:r>
          </w:p>
        </w:tc>
        <w:tc>
          <w:tcPr>
            <w:tcW w:w="486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7.7</w:t>
            </w:r>
          </w:p>
        </w:tc>
        <w:tc>
          <w:tcPr>
            <w:tcW w:w="576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6.3</w:t>
            </w:r>
          </w:p>
        </w:tc>
        <w:tc>
          <w:tcPr>
            <w:tcW w:w="576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5.3</w:t>
            </w:r>
          </w:p>
        </w:tc>
        <w:tc>
          <w:tcPr>
            <w:tcW w:w="621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11.5</w:t>
            </w:r>
          </w:p>
        </w:tc>
        <w:tc>
          <w:tcPr>
            <w:tcW w:w="573" w:type="pct"/>
            <w:noWrap/>
            <w:vAlign w:val="center"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8.5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>Estimated population catchment: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hideMark/>
          </w:tcPr>
          <w:p w:rsidR="002328CD" w:rsidRPr="002328CD" w:rsidRDefault="002328CD" w:rsidP="002328CD">
            <w:pPr>
              <w:jc w:val="right"/>
            </w:pPr>
            <w:r w:rsidRPr="002328CD">
              <w:t>Northwest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22,097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61,508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62,624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120,263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139,288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69,815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475,595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hideMark/>
          </w:tcPr>
          <w:p w:rsidR="002328CD" w:rsidRPr="002328CD" w:rsidRDefault="002328CD" w:rsidP="002328CD">
            <w:pPr>
              <w:jc w:val="right"/>
            </w:pPr>
            <w:proofErr w:type="spellStart"/>
            <w:r w:rsidRPr="002328CD">
              <w:t>MId</w:t>
            </w:r>
            <w:proofErr w:type="spellEnd"/>
            <w:r w:rsidRPr="002328CD">
              <w:t>-Atlantic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19,983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58,654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72,886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121,219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149,080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60,418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482,240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</w:tcPr>
          <w:p w:rsidR="002328CD" w:rsidRPr="002328CD" w:rsidRDefault="002328CD" w:rsidP="002328CD">
            <w:pPr>
              <w:jc w:val="right"/>
            </w:pPr>
            <w:r w:rsidRPr="002328CD">
              <w:t>Total</w:t>
            </w:r>
          </w:p>
        </w:tc>
        <w:tc>
          <w:tcPr>
            <w:tcW w:w="532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42,080</w:t>
            </w:r>
          </w:p>
        </w:tc>
        <w:tc>
          <w:tcPr>
            <w:tcW w:w="487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120,162</w:t>
            </w:r>
          </w:p>
        </w:tc>
        <w:tc>
          <w:tcPr>
            <w:tcW w:w="48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135,510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241,482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288,368</w:t>
            </w:r>
          </w:p>
        </w:tc>
        <w:tc>
          <w:tcPr>
            <w:tcW w:w="621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130,233</w:t>
            </w:r>
          </w:p>
        </w:tc>
        <w:tc>
          <w:tcPr>
            <w:tcW w:w="573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957,835</w:t>
            </w:r>
          </w:p>
        </w:tc>
      </w:tr>
      <w:tr w:rsidR="002328CD" w:rsidRPr="002328CD" w:rsidTr="00364459">
        <w:trPr>
          <w:trHeight w:val="80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>AGE-coded patients presenting for care (%)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r w:rsidRPr="002328CD">
              <w:t>Northwest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2729 (12)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1803 (3)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2602 (4)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6152 (5)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8724 (6)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7944 (11)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29,954 (6)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proofErr w:type="spellStart"/>
            <w:r w:rsidRPr="002328CD">
              <w:t>MId</w:t>
            </w:r>
            <w:proofErr w:type="spellEnd"/>
            <w:r w:rsidRPr="002328CD">
              <w:t>-Atlantic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2782 (14)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1886 (3)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2231 (3)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4800 (4)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6108 (4)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5760 (10)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23,567 (5)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vAlign w:val="center"/>
          </w:tcPr>
          <w:p w:rsidR="002328CD" w:rsidRPr="002328CD" w:rsidRDefault="002328CD" w:rsidP="002328CD">
            <w:pPr>
              <w:jc w:val="right"/>
            </w:pPr>
            <w:r w:rsidRPr="002328CD">
              <w:t>Total</w:t>
            </w:r>
          </w:p>
        </w:tc>
        <w:tc>
          <w:tcPr>
            <w:tcW w:w="532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5511 (13)</w:t>
            </w:r>
          </w:p>
        </w:tc>
        <w:tc>
          <w:tcPr>
            <w:tcW w:w="487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3689 (3)</w:t>
            </w:r>
          </w:p>
        </w:tc>
        <w:tc>
          <w:tcPr>
            <w:tcW w:w="48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4833 (4)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10,952 (5)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14,832 (5)</w:t>
            </w:r>
          </w:p>
        </w:tc>
        <w:tc>
          <w:tcPr>
            <w:tcW w:w="621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13,704 (11)</w:t>
            </w:r>
          </w:p>
        </w:tc>
        <w:tc>
          <w:tcPr>
            <w:tcW w:w="573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53,521 (6)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>Stool specimens submitted for routine diagnostics (%)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r w:rsidRPr="002328CD">
              <w:t>Northwest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176 (7)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147 (8)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222 (9)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575 (9)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872 (10)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638 (8)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2630 (9)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proofErr w:type="spellStart"/>
            <w:r w:rsidRPr="002328CD">
              <w:t>MId</w:t>
            </w:r>
            <w:proofErr w:type="spellEnd"/>
            <w:r w:rsidRPr="002328CD">
              <w:t>-Atlantic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242 (8)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193 (10)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348 (16)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870 (18)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1075 (18)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680 (12)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3408 (15)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vAlign w:val="center"/>
          </w:tcPr>
          <w:p w:rsidR="002328CD" w:rsidRPr="002328CD" w:rsidRDefault="002328CD" w:rsidP="002328CD">
            <w:pPr>
              <w:jc w:val="right"/>
            </w:pPr>
            <w:r w:rsidRPr="002328CD">
              <w:t>Total</w:t>
            </w:r>
          </w:p>
        </w:tc>
        <w:tc>
          <w:tcPr>
            <w:tcW w:w="532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418 (8)</w:t>
            </w:r>
          </w:p>
        </w:tc>
        <w:tc>
          <w:tcPr>
            <w:tcW w:w="487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340 (9)</w:t>
            </w:r>
          </w:p>
        </w:tc>
        <w:tc>
          <w:tcPr>
            <w:tcW w:w="48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570 (12)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1445 (13)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1947 (13)</w:t>
            </w:r>
          </w:p>
        </w:tc>
        <w:tc>
          <w:tcPr>
            <w:tcW w:w="621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1318 (10)</w:t>
            </w:r>
          </w:p>
        </w:tc>
        <w:tc>
          <w:tcPr>
            <w:tcW w:w="573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6038 (11)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>Stool specimens selected and tested for viral pathogens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r w:rsidRPr="002328CD">
              <w:t>Northwest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27 (15)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41 (28)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52 (23)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133 (23)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190 (22)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157 (25)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600 (23)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vAlign w:val="center"/>
            <w:hideMark/>
          </w:tcPr>
          <w:p w:rsidR="002328CD" w:rsidRPr="002328CD" w:rsidRDefault="002328CD" w:rsidP="002328CD">
            <w:pPr>
              <w:jc w:val="right"/>
            </w:pPr>
            <w:proofErr w:type="spellStart"/>
            <w:r w:rsidRPr="002328CD">
              <w:t>MId</w:t>
            </w:r>
            <w:proofErr w:type="spellEnd"/>
            <w:r w:rsidRPr="002328CD">
              <w:t>-Atlantic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41 (17)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31 (16)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46 (13)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117 (13)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170 (16)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94 (14)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499 (15)</w:t>
            </w:r>
          </w:p>
        </w:tc>
      </w:tr>
      <w:tr w:rsidR="002328CD" w:rsidRPr="002328CD" w:rsidTr="00364459">
        <w:trPr>
          <w:trHeight w:val="188"/>
        </w:trPr>
        <w:tc>
          <w:tcPr>
            <w:tcW w:w="1149" w:type="pct"/>
            <w:vAlign w:val="center"/>
          </w:tcPr>
          <w:p w:rsidR="002328CD" w:rsidRPr="002328CD" w:rsidRDefault="002328CD" w:rsidP="002328CD">
            <w:pPr>
              <w:jc w:val="right"/>
            </w:pPr>
            <w:r w:rsidRPr="002328CD">
              <w:t>Total</w:t>
            </w:r>
          </w:p>
        </w:tc>
        <w:tc>
          <w:tcPr>
            <w:tcW w:w="532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68 (16)</w:t>
            </w:r>
          </w:p>
        </w:tc>
        <w:tc>
          <w:tcPr>
            <w:tcW w:w="487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72 (21)</w:t>
            </w:r>
          </w:p>
        </w:tc>
        <w:tc>
          <w:tcPr>
            <w:tcW w:w="48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98 (17)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250 (17)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360 (19)</w:t>
            </w:r>
          </w:p>
        </w:tc>
        <w:tc>
          <w:tcPr>
            <w:tcW w:w="621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251 (19)</w:t>
            </w:r>
          </w:p>
        </w:tc>
        <w:tc>
          <w:tcPr>
            <w:tcW w:w="573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1099 (18)</w:t>
            </w:r>
          </w:p>
        </w:tc>
      </w:tr>
      <w:tr w:rsidR="002328CD" w:rsidRPr="002328CD" w:rsidTr="00364459">
        <w:trPr>
          <w:trHeight w:val="323"/>
        </w:trPr>
        <w:tc>
          <w:tcPr>
            <w:tcW w:w="1149" w:type="pct"/>
            <w:hideMark/>
          </w:tcPr>
          <w:p w:rsidR="002328CD" w:rsidRPr="002328CD" w:rsidRDefault="002328CD" w:rsidP="002328CD">
            <w:r w:rsidRPr="002328CD">
              <w:t>% of tested specimens contain AGE as chief complaint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hideMark/>
          </w:tcPr>
          <w:p w:rsidR="002328CD" w:rsidRPr="002328CD" w:rsidRDefault="002328CD" w:rsidP="002328CD">
            <w:pPr>
              <w:jc w:val="right"/>
            </w:pPr>
            <w:r w:rsidRPr="002328CD">
              <w:t>Northwest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16 (59)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19 (46)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29 (56)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72 (54)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117 (62)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96 (61)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349 (58)</w:t>
            </w:r>
          </w:p>
        </w:tc>
      </w:tr>
      <w:tr w:rsidR="002328CD" w:rsidRPr="002328CD" w:rsidTr="00364459">
        <w:trPr>
          <w:trHeight w:val="70"/>
        </w:trPr>
        <w:tc>
          <w:tcPr>
            <w:tcW w:w="1149" w:type="pct"/>
            <w:noWrap/>
            <w:hideMark/>
          </w:tcPr>
          <w:p w:rsidR="002328CD" w:rsidRPr="002328CD" w:rsidRDefault="002328CD" w:rsidP="002328CD">
            <w:pPr>
              <w:jc w:val="right"/>
            </w:pPr>
            <w:proofErr w:type="spellStart"/>
            <w:r w:rsidRPr="002328CD">
              <w:t>MId</w:t>
            </w:r>
            <w:proofErr w:type="spellEnd"/>
            <w:r w:rsidRPr="002328CD">
              <w:t>-Atlantic</w:t>
            </w:r>
          </w:p>
        </w:tc>
        <w:tc>
          <w:tcPr>
            <w:tcW w:w="532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25 (61)</w:t>
            </w:r>
          </w:p>
        </w:tc>
        <w:tc>
          <w:tcPr>
            <w:tcW w:w="487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14</w:t>
            </w:r>
            <w:r w:rsidRPr="002328CD" w:rsidDel="00C90C75">
              <w:t xml:space="preserve"> </w:t>
            </w:r>
            <w:r w:rsidRPr="002328CD">
              <w:t>(45)</w:t>
            </w:r>
          </w:p>
        </w:tc>
        <w:tc>
          <w:tcPr>
            <w:tcW w:w="48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21</w:t>
            </w:r>
            <w:r w:rsidRPr="002328CD" w:rsidDel="00C90C75">
              <w:t xml:space="preserve"> </w:t>
            </w:r>
            <w:r w:rsidRPr="002328CD">
              <w:t>(46)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66</w:t>
            </w:r>
            <w:r w:rsidRPr="002328CD" w:rsidDel="00C90C75">
              <w:t xml:space="preserve"> </w:t>
            </w:r>
            <w:r w:rsidRPr="002328CD">
              <w:t>(56)</w:t>
            </w:r>
          </w:p>
        </w:tc>
        <w:tc>
          <w:tcPr>
            <w:tcW w:w="576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90</w:t>
            </w:r>
            <w:r w:rsidRPr="002328CD" w:rsidDel="00C90C75">
              <w:t xml:space="preserve"> </w:t>
            </w:r>
            <w:r w:rsidRPr="002328CD">
              <w:t>(53)</w:t>
            </w:r>
          </w:p>
        </w:tc>
        <w:tc>
          <w:tcPr>
            <w:tcW w:w="621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63</w:t>
            </w:r>
            <w:r w:rsidRPr="002328CD" w:rsidDel="00C90C75">
              <w:t xml:space="preserve"> </w:t>
            </w:r>
            <w:r w:rsidRPr="002328CD">
              <w:t>(67)</w:t>
            </w:r>
          </w:p>
        </w:tc>
        <w:tc>
          <w:tcPr>
            <w:tcW w:w="573" w:type="pct"/>
            <w:noWrap/>
            <w:hideMark/>
          </w:tcPr>
          <w:p w:rsidR="002328CD" w:rsidRPr="002328CD" w:rsidRDefault="002328CD" w:rsidP="002328CD">
            <w:pPr>
              <w:jc w:val="center"/>
            </w:pPr>
            <w:r w:rsidRPr="002328CD">
              <w:t>279</w:t>
            </w:r>
            <w:r w:rsidRPr="002328CD" w:rsidDel="00C90C75">
              <w:t xml:space="preserve"> </w:t>
            </w:r>
            <w:r w:rsidRPr="002328CD">
              <w:t>(56)</w:t>
            </w:r>
          </w:p>
        </w:tc>
      </w:tr>
      <w:tr w:rsidR="002328CD" w:rsidRPr="002328CD" w:rsidTr="00364459">
        <w:trPr>
          <w:trHeight w:val="242"/>
        </w:trPr>
        <w:tc>
          <w:tcPr>
            <w:tcW w:w="1149" w:type="pct"/>
          </w:tcPr>
          <w:p w:rsidR="002328CD" w:rsidRPr="002328CD" w:rsidRDefault="002328CD" w:rsidP="002328CD">
            <w:pPr>
              <w:jc w:val="right"/>
            </w:pPr>
            <w:r w:rsidRPr="002328CD">
              <w:t>Total</w:t>
            </w:r>
          </w:p>
        </w:tc>
        <w:tc>
          <w:tcPr>
            <w:tcW w:w="532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41</w:t>
            </w:r>
            <w:r w:rsidRPr="002328CD" w:rsidDel="00C90C75">
              <w:t xml:space="preserve"> </w:t>
            </w:r>
            <w:r w:rsidRPr="002328CD">
              <w:t>(60)</w:t>
            </w:r>
          </w:p>
        </w:tc>
        <w:tc>
          <w:tcPr>
            <w:tcW w:w="487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33</w:t>
            </w:r>
            <w:r w:rsidRPr="002328CD" w:rsidDel="00C90C75">
              <w:t xml:space="preserve"> </w:t>
            </w:r>
            <w:r w:rsidRPr="002328CD">
              <w:t>(46)</w:t>
            </w:r>
          </w:p>
        </w:tc>
        <w:tc>
          <w:tcPr>
            <w:tcW w:w="48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50</w:t>
            </w:r>
            <w:r w:rsidRPr="002328CD" w:rsidDel="00C90C75">
              <w:t xml:space="preserve"> </w:t>
            </w:r>
            <w:r w:rsidRPr="002328CD">
              <w:t>(51)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138</w:t>
            </w:r>
            <w:r w:rsidRPr="002328CD" w:rsidDel="00C90C75">
              <w:t xml:space="preserve"> </w:t>
            </w:r>
            <w:r w:rsidRPr="002328CD">
              <w:t>(55)</w:t>
            </w:r>
          </w:p>
        </w:tc>
        <w:tc>
          <w:tcPr>
            <w:tcW w:w="576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207</w:t>
            </w:r>
            <w:r w:rsidRPr="002328CD" w:rsidDel="00C90C75">
              <w:t xml:space="preserve"> </w:t>
            </w:r>
            <w:r w:rsidRPr="002328CD">
              <w:t>(58)</w:t>
            </w:r>
          </w:p>
        </w:tc>
        <w:tc>
          <w:tcPr>
            <w:tcW w:w="621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159</w:t>
            </w:r>
            <w:r w:rsidRPr="002328CD" w:rsidDel="00C90C75">
              <w:t xml:space="preserve"> </w:t>
            </w:r>
            <w:r w:rsidRPr="002328CD">
              <w:t>(63)</w:t>
            </w:r>
          </w:p>
        </w:tc>
        <w:tc>
          <w:tcPr>
            <w:tcW w:w="573" w:type="pct"/>
            <w:noWrap/>
          </w:tcPr>
          <w:p w:rsidR="002328CD" w:rsidRPr="002328CD" w:rsidRDefault="002328CD" w:rsidP="002328CD">
            <w:pPr>
              <w:jc w:val="center"/>
            </w:pPr>
            <w:r w:rsidRPr="002328CD">
              <w:t>628</w:t>
            </w:r>
            <w:r w:rsidRPr="002328CD" w:rsidDel="00C90C75">
              <w:t xml:space="preserve"> </w:t>
            </w:r>
            <w:r w:rsidRPr="002328CD">
              <w:t>(57)</w:t>
            </w:r>
          </w:p>
        </w:tc>
      </w:tr>
    </w:tbl>
    <w:p w:rsidR="00DC57CC" w:rsidRDefault="00DC57CC" w:rsidP="002328CD">
      <w:pPr>
        <w:spacing w:after="0" w:line="240" w:lineRule="auto"/>
      </w:pP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13" w:rsidRDefault="00012413" w:rsidP="008B5D54">
      <w:pPr>
        <w:spacing w:after="0" w:line="240" w:lineRule="auto"/>
      </w:pPr>
      <w:r>
        <w:separator/>
      </w:r>
    </w:p>
  </w:endnote>
  <w:endnote w:type="continuationSeparator" w:id="0">
    <w:p w:rsidR="00012413" w:rsidRDefault="0001241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13" w:rsidRDefault="00012413" w:rsidP="008B5D54">
      <w:pPr>
        <w:spacing w:after="0" w:line="240" w:lineRule="auto"/>
      </w:pPr>
      <w:r>
        <w:separator/>
      </w:r>
    </w:p>
  </w:footnote>
  <w:footnote w:type="continuationSeparator" w:id="0">
    <w:p w:rsidR="00012413" w:rsidRDefault="0001241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CD"/>
    <w:rsid w:val="00012413"/>
    <w:rsid w:val="002328CD"/>
    <w:rsid w:val="002B232C"/>
    <w:rsid w:val="002C491E"/>
    <w:rsid w:val="00364459"/>
    <w:rsid w:val="006C6578"/>
    <w:rsid w:val="0075618D"/>
    <w:rsid w:val="007D46EC"/>
    <w:rsid w:val="008B5D54"/>
    <w:rsid w:val="00903AA7"/>
    <w:rsid w:val="00B55735"/>
    <w:rsid w:val="00B608AC"/>
    <w:rsid w:val="00B85014"/>
    <w:rsid w:val="00C9612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6F3865F-4AB3-4DA0-BDF8-4D5D137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3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CBED-0CAC-45FD-BD1B-7322256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Grytdal, Scott P. (CDC/OID/NCIRD)</dc:creator>
  <cp:keywords/>
  <dc:description/>
  <cp:lastModifiedBy>Microsoft account</cp:lastModifiedBy>
  <cp:revision>2</cp:revision>
  <dcterms:created xsi:type="dcterms:W3CDTF">2015-12-03T17:00:00Z</dcterms:created>
  <dcterms:modified xsi:type="dcterms:W3CDTF">2015-12-03T17:00:00Z</dcterms:modified>
</cp:coreProperties>
</file>