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F7" w:rsidRPr="00F134CE" w:rsidRDefault="00DD1FF7" w:rsidP="00DD1FF7">
      <w:pPr>
        <w:spacing w:line="480" w:lineRule="auto"/>
        <w:rPr>
          <w:b/>
          <w:color w:val="000000" w:themeColor="text1"/>
        </w:rPr>
      </w:pPr>
      <w:r w:rsidRPr="00F134CE">
        <w:rPr>
          <w:b/>
          <w:color w:val="000000" w:themeColor="text1"/>
        </w:rPr>
        <w:t>Supplemental data to</w:t>
      </w:r>
    </w:p>
    <w:p w:rsidR="00DD1FF7" w:rsidRPr="00F134CE" w:rsidRDefault="00DD1FF7" w:rsidP="00DD1FF7">
      <w:pPr>
        <w:spacing w:line="480" w:lineRule="auto"/>
        <w:rPr>
          <w:b/>
          <w:color w:val="000000" w:themeColor="text1"/>
        </w:rPr>
      </w:pPr>
    </w:p>
    <w:p w:rsidR="00DD1FF7" w:rsidRPr="00F134CE" w:rsidRDefault="00DD1FF7" w:rsidP="00DD1FF7">
      <w:pPr>
        <w:spacing w:line="480" w:lineRule="auto"/>
        <w:rPr>
          <w:b/>
        </w:rPr>
      </w:pPr>
      <w:r w:rsidRPr="00F134CE">
        <w:rPr>
          <w:b/>
        </w:rPr>
        <w:t xml:space="preserve">A Candidate Reference Measurement Procedure for Quantifying Serum </w:t>
      </w:r>
      <w:r w:rsidR="00013265" w:rsidRPr="00F134CE">
        <w:rPr>
          <w:b/>
        </w:rPr>
        <w:t xml:space="preserve">Concentrations of </w:t>
      </w:r>
      <w:r w:rsidRPr="00F134CE">
        <w:rPr>
          <w:b/>
        </w:rPr>
        <w:t>25-Hydroxyvitamin D</w:t>
      </w:r>
      <w:r w:rsidRPr="00F134CE">
        <w:rPr>
          <w:b/>
          <w:vertAlign w:val="subscript"/>
        </w:rPr>
        <w:t>3</w:t>
      </w:r>
      <w:r w:rsidRPr="00F134CE">
        <w:rPr>
          <w:b/>
        </w:rPr>
        <w:t xml:space="preserve"> and 25-Hydroxyvitamin D</w:t>
      </w:r>
      <w:r w:rsidRPr="00F134CE">
        <w:rPr>
          <w:b/>
          <w:vertAlign w:val="subscript"/>
        </w:rPr>
        <w:t>2</w:t>
      </w:r>
      <w:r w:rsidRPr="00F134CE">
        <w:rPr>
          <w:b/>
        </w:rPr>
        <w:t xml:space="preserve"> Using Isotope-Dilution Liquid Chromatography-Tandem Mass Spectrometry</w:t>
      </w:r>
    </w:p>
    <w:p w:rsidR="00DD1FF7" w:rsidRPr="00F134CE" w:rsidRDefault="00DD1FF7" w:rsidP="00DD1FF7">
      <w:pPr>
        <w:spacing w:line="480" w:lineRule="auto"/>
        <w:rPr>
          <w:b/>
        </w:rPr>
      </w:pPr>
    </w:p>
    <w:p w:rsidR="00DD1FF7" w:rsidRPr="00F134CE" w:rsidRDefault="00DD1FF7" w:rsidP="00DD1FF7">
      <w:pPr>
        <w:spacing w:after="240" w:line="480" w:lineRule="auto"/>
        <w:rPr>
          <w:vertAlign w:val="superscript"/>
        </w:rPr>
      </w:pPr>
      <w:r w:rsidRPr="00F134CE">
        <w:t xml:space="preserve">Ekaterina M. Mineva, Rosemary </w:t>
      </w:r>
      <w:r w:rsidR="00AC60F1" w:rsidRPr="00F134CE">
        <w:t xml:space="preserve">L. </w:t>
      </w:r>
      <w:r w:rsidRPr="00F134CE">
        <w:t xml:space="preserve">Schleicher, Madhulika Chaudhary-Webb, Khin </w:t>
      </w:r>
      <w:r w:rsidR="00AC60F1" w:rsidRPr="00F134CE">
        <w:t xml:space="preserve">L. </w:t>
      </w:r>
      <w:r w:rsidRPr="00F134CE">
        <w:t>Maw, Julianne C. Botelho, Hubert W. Vesper and Christine M. Pfeiffer</w:t>
      </w:r>
    </w:p>
    <w:p w:rsidR="00DD1FF7" w:rsidRPr="00F134CE" w:rsidRDefault="00DD1FF7" w:rsidP="00DD1FF7">
      <w:pPr>
        <w:spacing w:after="120" w:line="480" w:lineRule="auto"/>
        <w:rPr>
          <w:bCs/>
        </w:rPr>
      </w:pPr>
      <w:r w:rsidRPr="00F134CE">
        <w:rPr>
          <w:bCs/>
        </w:rPr>
        <w:t xml:space="preserve">Division of Laboratory Sciences, National Center for Environmental Health, Centers for Disease Control and Prevention, Atlanta, GA, 30341 </w:t>
      </w:r>
    </w:p>
    <w:p w:rsidR="00DD1FF7" w:rsidRPr="00F134CE" w:rsidRDefault="00DD1FF7" w:rsidP="00DD1FF7">
      <w:pPr>
        <w:spacing w:after="120" w:line="480" w:lineRule="auto"/>
        <w:rPr>
          <w:bCs/>
        </w:rPr>
      </w:pPr>
    </w:p>
    <w:p w:rsidR="00DD1FF7" w:rsidRPr="00F134CE" w:rsidRDefault="00DD1FF7" w:rsidP="00DD1FF7">
      <w:pPr>
        <w:spacing w:after="120" w:line="480" w:lineRule="auto"/>
        <w:rPr>
          <w:b/>
          <w:bCs/>
          <w:u w:val="single"/>
        </w:rPr>
      </w:pPr>
      <w:r w:rsidRPr="00F134CE">
        <w:rPr>
          <w:b/>
          <w:bCs/>
          <w:u w:val="single"/>
        </w:rPr>
        <w:t>Materials and methods</w:t>
      </w:r>
    </w:p>
    <w:p w:rsidR="00E647FD" w:rsidRPr="00F134CE" w:rsidRDefault="00E647FD" w:rsidP="00E647FD">
      <w:pPr>
        <w:spacing w:after="120" w:line="480" w:lineRule="auto"/>
        <w:rPr>
          <w:i/>
          <w:color w:val="000000" w:themeColor="text1"/>
        </w:rPr>
      </w:pPr>
      <w:r w:rsidRPr="00F134CE">
        <w:rPr>
          <w:i/>
          <w:color w:val="000000" w:themeColor="text1"/>
        </w:rPr>
        <w:t>Calibration preparation and control materials</w:t>
      </w:r>
    </w:p>
    <w:p w:rsidR="00DD1FF7" w:rsidRPr="00F134CE" w:rsidRDefault="00013265" w:rsidP="00E43952">
      <w:pPr>
        <w:spacing w:after="240" w:line="480" w:lineRule="auto"/>
        <w:rPr>
          <w:color w:val="000000" w:themeColor="text1"/>
        </w:rPr>
      </w:pPr>
      <w:r w:rsidRPr="00F134CE">
        <w:rPr>
          <w:color w:val="000000" w:themeColor="text1"/>
        </w:rPr>
        <w:t>A master stock solution</w:t>
      </w:r>
      <w:r w:rsidR="00DD1FF7" w:rsidRPr="00F134CE">
        <w:rPr>
          <w:color w:val="000000" w:themeColor="text1"/>
        </w:rPr>
        <w:t xml:space="preserve"> of 25(OH</w:t>
      </w:r>
      <w:proofErr w:type="gramStart"/>
      <w:r w:rsidR="00DD1FF7" w:rsidRPr="00F134CE">
        <w:rPr>
          <w:color w:val="000000" w:themeColor="text1"/>
        </w:rPr>
        <w:t>)D</w:t>
      </w:r>
      <w:r w:rsidR="00DD1FF7" w:rsidRPr="00F134CE">
        <w:rPr>
          <w:color w:val="000000" w:themeColor="text1"/>
          <w:vertAlign w:val="subscript"/>
        </w:rPr>
        <w:t>3</w:t>
      </w:r>
      <w:proofErr w:type="gramEnd"/>
      <w:r w:rsidR="00DD1FF7" w:rsidRPr="00F134CE">
        <w:rPr>
          <w:color w:val="000000" w:themeColor="text1"/>
        </w:rPr>
        <w:t xml:space="preserve"> </w:t>
      </w:r>
      <w:r w:rsidR="0086654A" w:rsidRPr="00F134CE">
        <w:rPr>
          <w:color w:val="000000" w:themeColor="text1"/>
        </w:rPr>
        <w:t xml:space="preserve">was </w:t>
      </w:r>
      <w:r w:rsidR="00C913D4" w:rsidRPr="00F134CE">
        <w:rPr>
          <w:color w:val="000000" w:themeColor="text1"/>
        </w:rPr>
        <w:t>gravimetrically</w:t>
      </w:r>
      <w:r w:rsidR="0086654A" w:rsidRPr="00F134CE">
        <w:rPr>
          <w:color w:val="000000" w:themeColor="text1"/>
        </w:rPr>
        <w:t xml:space="preserve"> prepared</w:t>
      </w:r>
      <w:r w:rsidR="00C913D4" w:rsidRPr="00F134CE">
        <w:rPr>
          <w:color w:val="000000" w:themeColor="text1"/>
        </w:rPr>
        <w:t xml:space="preserve"> by </w:t>
      </w:r>
      <w:r w:rsidRPr="00F134CE">
        <w:rPr>
          <w:color w:val="000000" w:themeColor="text1"/>
        </w:rPr>
        <w:t>dissolving</w:t>
      </w:r>
      <w:r w:rsidR="00C913D4" w:rsidRPr="00F134CE">
        <w:rPr>
          <w:color w:val="000000" w:themeColor="text1"/>
        </w:rPr>
        <w:t xml:space="preserve"> </w:t>
      </w:r>
      <w:r w:rsidR="0086654A" w:rsidRPr="00F134CE">
        <w:rPr>
          <w:color w:val="000000" w:themeColor="text1"/>
        </w:rPr>
        <w:t>between 1-1.5</w:t>
      </w:r>
      <w:r w:rsidR="00C913D4" w:rsidRPr="00F134CE">
        <w:rPr>
          <w:color w:val="000000" w:themeColor="text1"/>
        </w:rPr>
        <w:t xml:space="preserve"> mg of</w:t>
      </w:r>
      <w:r w:rsidR="00DD1FF7" w:rsidRPr="00F134CE">
        <w:rPr>
          <w:color w:val="000000" w:themeColor="text1"/>
        </w:rPr>
        <w:t xml:space="preserve"> solid </w:t>
      </w:r>
      <w:r w:rsidR="0086654A" w:rsidRPr="00F134CE">
        <w:rPr>
          <w:color w:val="000000" w:themeColor="text1"/>
        </w:rPr>
        <w:t xml:space="preserve">in </w:t>
      </w:r>
      <w:r w:rsidR="00BE4CA3" w:rsidRPr="00F134CE">
        <w:rPr>
          <w:color w:val="000000" w:themeColor="text1"/>
        </w:rPr>
        <w:t xml:space="preserve">a </w:t>
      </w:r>
      <w:r w:rsidR="0086654A" w:rsidRPr="00F134CE">
        <w:rPr>
          <w:color w:val="000000" w:themeColor="text1"/>
        </w:rPr>
        <w:t>100</w:t>
      </w:r>
      <w:r w:rsidR="00BE4CA3" w:rsidRPr="00F134CE">
        <w:rPr>
          <w:color w:val="000000" w:themeColor="text1"/>
        </w:rPr>
        <w:t>-</w:t>
      </w:r>
      <w:r w:rsidR="00C913D4" w:rsidRPr="00F134CE">
        <w:rPr>
          <w:color w:val="000000" w:themeColor="text1"/>
        </w:rPr>
        <w:t xml:space="preserve">mL </w:t>
      </w:r>
      <w:r w:rsidR="0086654A" w:rsidRPr="00F134CE">
        <w:rPr>
          <w:color w:val="000000" w:themeColor="text1"/>
        </w:rPr>
        <w:t>volumetric flask with absolute ethanol</w:t>
      </w:r>
      <w:r w:rsidRPr="00F134CE">
        <w:rPr>
          <w:color w:val="000000" w:themeColor="text1"/>
        </w:rPr>
        <w:t xml:space="preserve">, targeting </w:t>
      </w:r>
      <w:r w:rsidR="00BE4CA3" w:rsidRPr="00F134CE">
        <w:rPr>
          <w:color w:val="000000" w:themeColor="text1"/>
        </w:rPr>
        <w:t xml:space="preserve">a </w:t>
      </w:r>
      <w:r w:rsidRPr="00F134CE">
        <w:rPr>
          <w:color w:val="000000" w:themeColor="text1"/>
        </w:rPr>
        <w:t xml:space="preserve">concentration of  </w:t>
      </w:r>
      <w:r w:rsidR="008E7155" w:rsidRPr="00F134CE">
        <w:rPr>
          <w:color w:val="000000" w:themeColor="text1"/>
        </w:rPr>
        <w:t xml:space="preserve">30-50 </w:t>
      </w:r>
      <w:proofErr w:type="spellStart"/>
      <w:r w:rsidR="0086654A" w:rsidRPr="00F134CE">
        <w:rPr>
          <w:color w:val="000000" w:themeColor="text1"/>
        </w:rPr>
        <w:t>μmol</w:t>
      </w:r>
      <w:proofErr w:type="spellEnd"/>
      <w:r w:rsidR="0086654A" w:rsidRPr="00F134CE">
        <w:rPr>
          <w:color w:val="000000" w:themeColor="text1"/>
        </w:rPr>
        <w:t xml:space="preserve">/L. </w:t>
      </w:r>
      <w:r w:rsidR="00FE4100" w:rsidRPr="00F134CE">
        <w:rPr>
          <w:color w:val="000000" w:themeColor="text1"/>
        </w:rPr>
        <w:t>On the day of the preparation we used the master stock to prepare 3 independent working solutions (gravimetrically) in ethanol, targeting concentrations of</w:t>
      </w:r>
      <w:r w:rsidR="00202444" w:rsidRPr="00F134CE">
        <w:rPr>
          <w:color w:val="000000" w:themeColor="text1"/>
        </w:rPr>
        <w:t xml:space="preserve"> 150-25</w:t>
      </w:r>
      <w:r w:rsidR="00FE4100" w:rsidRPr="00F134CE">
        <w:rPr>
          <w:color w:val="000000" w:themeColor="text1"/>
        </w:rPr>
        <w:t xml:space="preserve">0 </w:t>
      </w:r>
      <w:proofErr w:type="spellStart"/>
      <w:r w:rsidR="00FE4100" w:rsidRPr="00F134CE">
        <w:rPr>
          <w:color w:val="000000" w:themeColor="text1"/>
        </w:rPr>
        <w:t>nmol</w:t>
      </w:r>
      <w:proofErr w:type="spellEnd"/>
      <w:r w:rsidR="00FE4100" w:rsidRPr="00F134CE">
        <w:rPr>
          <w:color w:val="000000" w:themeColor="text1"/>
        </w:rPr>
        <w:t>/L. The exact concentration</w:t>
      </w:r>
      <w:r w:rsidR="00202444" w:rsidRPr="00F134CE">
        <w:rPr>
          <w:color w:val="000000" w:themeColor="text1"/>
        </w:rPr>
        <w:t xml:space="preserve">s of the working </w:t>
      </w:r>
      <w:r w:rsidR="00BE4CA3" w:rsidRPr="00F134CE">
        <w:rPr>
          <w:color w:val="000000" w:themeColor="text1"/>
        </w:rPr>
        <w:t xml:space="preserve">solutions </w:t>
      </w:r>
      <w:r w:rsidR="00202444" w:rsidRPr="00F134CE">
        <w:rPr>
          <w:color w:val="000000" w:themeColor="text1"/>
        </w:rPr>
        <w:t>were</w:t>
      </w:r>
      <w:r w:rsidR="00FE4100" w:rsidRPr="00F134CE">
        <w:rPr>
          <w:color w:val="000000" w:themeColor="text1"/>
        </w:rPr>
        <w:t xml:space="preserve"> determined from a parallel analysis with gravimetrically diluted SRM 2972 </w:t>
      </w:r>
      <w:r w:rsidR="00202444" w:rsidRPr="00F134CE">
        <w:rPr>
          <w:color w:val="000000" w:themeColor="text1"/>
        </w:rPr>
        <w:t xml:space="preserve">in 3 independent measurement series (2 sets of 3 or 4 working </w:t>
      </w:r>
      <w:proofErr w:type="gramStart"/>
      <w:r w:rsidR="00202444" w:rsidRPr="00F134CE">
        <w:rPr>
          <w:color w:val="000000" w:themeColor="text1"/>
        </w:rPr>
        <w:t>calibrators</w:t>
      </w:r>
      <w:proofErr w:type="gramEnd"/>
      <w:r w:rsidR="00202444" w:rsidRPr="00F134CE">
        <w:rPr>
          <w:color w:val="000000" w:themeColor="text1"/>
        </w:rPr>
        <w:t xml:space="preserve"> prepared from both NIST SRM 2972 and our working </w:t>
      </w:r>
      <w:r w:rsidR="00BE4CA3" w:rsidRPr="00F134CE">
        <w:rPr>
          <w:color w:val="000000" w:themeColor="text1"/>
        </w:rPr>
        <w:t>solutions</w:t>
      </w:r>
      <w:r w:rsidR="00202444" w:rsidRPr="00F134CE">
        <w:rPr>
          <w:color w:val="000000" w:themeColor="text1"/>
        </w:rPr>
        <w:t>)</w:t>
      </w:r>
      <w:r w:rsidR="00FE4100" w:rsidRPr="00F134CE">
        <w:rPr>
          <w:color w:val="000000" w:themeColor="text1"/>
        </w:rPr>
        <w:t xml:space="preserve">. </w:t>
      </w:r>
      <w:r w:rsidR="00202444" w:rsidRPr="00F134CE">
        <w:rPr>
          <w:color w:val="000000" w:themeColor="text1"/>
        </w:rPr>
        <w:t>The difference, between the target concentration and the concentration determined by using NIST SRM 2972</w:t>
      </w:r>
      <w:r w:rsidR="00411E7B" w:rsidRPr="00F134CE">
        <w:rPr>
          <w:color w:val="000000" w:themeColor="text1"/>
        </w:rPr>
        <w:t xml:space="preserve"> (Certificate of Analysis October 21, 2014)</w:t>
      </w:r>
      <w:r w:rsidR="00202444" w:rsidRPr="00F134CE">
        <w:rPr>
          <w:color w:val="000000" w:themeColor="text1"/>
        </w:rPr>
        <w:t>, among any of the 3 working standard solutions was within 1%.</w:t>
      </w:r>
      <w:r w:rsidR="00E647FD" w:rsidRPr="00F134CE">
        <w:rPr>
          <w:color w:val="000000" w:themeColor="text1"/>
        </w:rPr>
        <w:t xml:space="preserve"> </w:t>
      </w:r>
      <w:r w:rsidR="00553676" w:rsidRPr="00F134CE">
        <w:rPr>
          <w:color w:val="000000" w:themeColor="text1"/>
        </w:rPr>
        <w:t>All</w:t>
      </w:r>
      <w:r w:rsidR="00DD1FF7" w:rsidRPr="00F134CE">
        <w:rPr>
          <w:color w:val="000000" w:themeColor="text1"/>
        </w:rPr>
        <w:t xml:space="preserve"> </w:t>
      </w:r>
      <w:proofErr w:type="spellStart"/>
      <w:r w:rsidR="00E647FD" w:rsidRPr="00F134CE">
        <w:rPr>
          <w:color w:val="000000" w:themeColor="text1"/>
        </w:rPr>
        <w:t>ethanolic</w:t>
      </w:r>
      <w:proofErr w:type="spellEnd"/>
      <w:r w:rsidR="00E647FD" w:rsidRPr="00F134CE">
        <w:rPr>
          <w:color w:val="000000" w:themeColor="text1"/>
        </w:rPr>
        <w:t xml:space="preserve"> </w:t>
      </w:r>
      <w:r w:rsidR="00553676" w:rsidRPr="00F134CE">
        <w:rPr>
          <w:color w:val="000000" w:themeColor="text1"/>
        </w:rPr>
        <w:t>solutions</w:t>
      </w:r>
      <w:r w:rsidR="00616228" w:rsidRPr="00F134CE">
        <w:rPr>
          <w:color w:val="000000" w:themeColor="text1"/>
        </w:rPr>
        <w:t xml:space="preserve"> were </w:t>
      </w:r>
      <w:r w:rsidR="006357E7" w:rsidRPr="00F134CE">
        <w:rPr>
          <w:color w:val="000000" w:themeColor="text1"/>
        </w:rPr>
        <w:t xml:space="preserve">capped and </w:t>
      </w:r>
      <w:r w:rsidR="00616228" w:rsidRPr="00F134CE">
        <w:rPr>
          <w:color w:val="000000" w:themeColor="text1"/>
        </w:rPr>
        <w:t>stored at -</w:t>
      </w:r>
      <w:r w:rsidR="006357E7" w:rsidRPr="00F134CE">
        <w:rPr>
          <w:color w:val="000000" w:themeColor="text1"/>
        </w:rPr>
        <w:t>2</w:t>
      </w:r>
      <w:r w:rsidR="00616228" w:rsidRPr="00F134CE">
        <w:rPr>
          <w:color w:val="000000" w:themeColor="text1"/>
        </w:rPr>
        <w:t>0</w:t>
      </w:r>
      <w:r w:rsidR="00DD1FF7" w:rsidRPr="00F134CE">
        <w:rPr>
          <w:color w:val="000000" w:themeColor="text1"/>
          <w:vertAlign w:val="superscript"/>
        </w:rPr>
        <w:t>o</w:t>
      </w:r>
      <w:r w:rsidR="00DD1FF7" w:rsidRPr="00F134CE">
        <w:rPr>
          <w:color w:val="000000" w:themeColor="text1"/>
        </w:rPr>
        <w:t>C a</w:t>
      </w:r>
      <w:r w:rsidR="00E647FD" w:rsidRPr="00F134CE">
        <w:rPr>
          <w:color w:val="000000" w:themeColor="text1"/>
        </w:rPr>
        <w:t>nd used multiple times</w:t>
      </w:r>
      <w:r w:rsidR="00DD1FF7" w:rsidRPr="00F134CE">
        <w:rPr>
          <w:color w:val="000000" w:themeColor="text1"/>
        </w:rPr>
        <w:t>.</w:t>
      </w:r>
    </w:p>
    <w:p w:rsidR="00C0713C" w:rsidRPr="00F134CE" w:rsidRDefault="00C0713C" w:rsidP="00445662">
      <w:pPr>
        <w:spacing w:after="200" w:line="276" w:lineRule="auto"/>
        <w:rPr>
          <w:i/>
          <w:color w:val="000000" w:themeColor="text1"/>
        </w:rPr>
      </w:pPr>
      <w:r w:rsidRPr="00F134CE">
        <w:rPr>
          <w:i/>
          <w:color w:val="000000" w:themeColor="text1"/>
        </w:rPr>
        <w:lastRenderedPageBreak/>
        <w:t>LC-MS/MS analysis</w:t>
      </w:r>
    </w:p>
    <w:p w:rsidR="00C0713C" w:rsidRPr="00F134CE" w:rsidRDefault="00C0713C" w:rsidP="00E43952">
      <w:pPr>
        <w:spacing w:after="240" w:line="480" w:lineRule="auto"/>
        <w:rPr>
          <w:color w:val="000000" w:themeColor="text1"/>
        </w:rPr>
      </w:pPr>
      <w:r w:rsidRPr="00F134CE">
        <w:rPr>
          <w:color w:val="000000" w:themeColor="text1"/>
        </w:rPr>
        <w:t xml:space="preserve">Typical MS parameters: nitrogen sheath gas pressure and auxiliary gas flow were 30 and 8 arbitrary units, respectively. The argon collision gas pressure was 1.2 </w:t>
      </w:r>
      <w:proofErr w:type="spellStart"/>
      <w:r w:rsidRPr="00F134CE">
        <w:rPr>
          <w:color w:val="000000" w:themeColor="text1"/>
        </w:rPr>
        <w:t>mTorr</w:t>
      </w:r>
      <w:proofErr w:type="spellEnd"/>
      <w:r w:rsidRPr="00F134CE">
        <w:rPr>
          <w:color w:val="000000" w:themeColor="text1"/>
        </w:rPr>
        <w:t xml:space="preserve">. The vaporizer temperature, ion transfer capillary temperature and corona needle current were set at 380 </w:t>
      </w:r>
      <w:proofErr w:type="spellStart"/>
      <w:r w:rsidRPr="00F134CE">
        <w:rPr>
          <w:color w:val="000000" w:themeColor="text1"/>
          <w:vertAlign w:val="superscript"/>
        </w:rPr>
        <w:t>o</w:t>
      </w:r>
      <w:r w:rsidRPr="00F134CE">
        <w:rPr>
          <w:color w:val="000000" w:themeColor="text1"/>
        </w:rPr>
        <w:t>C</w:t>
      </w:r>
      <w:proofErr w:type="spellEnd"/>
      <w:r w:rsidRPr="00F134CE">
        <w:rPr>
          <w:color w:val="000000" w:themeColor="text1"/>
        </w:rPr>
        <w:t xml:space="preserve">, 250 </w:t>
      </w:r>
      <w:proofErr w:type="spellStart"/>
      <w:r w:rsidRPr="00F134CE">
        <w:rPr>
          <w:color w:val="000000" w:themeColor="text1"/>
          <w:vertAlign w:val="superscript"/>
        </w:rPr>
        <w:t>o</w:t>
      </w:r>
      <w:r w:rsidRPr="00F134CE">
        <w:rPr>
          <w:color w:val="000000" w:themeColor="text1"/>
        </w:rPr>
        <w:t>C</w:t>
      </w:r>
      <w:proofErr w:type="spellEnd"/>
      <w:r w:rsidRPr="00F134CE">
        <w:rPr>
          <w:color w:val="000000" w:themeColor="text1"/>
        </w:rPr>
        <w:t xml:space="preserve"> and 2 </w:t>
      </w:r>
      <w:proofErr w:type="spellStart"/>
      <w:r w:rsidRPr="00F134CE">
        <w:rPr>
          <w:color w:val="000000" w:themeColor="text1"/>
        </w:rPr>
        <w:t>μA</w:t>
      </w:r>
      <w:proofErr w:type="spellEnd"/>
      <w:r w:rsidRPr="00F134CE">
        <w:rPr>
          <w:color w:val="000000" w:themeColor="text1"/>
        </w:rPr>
        <w:t>, respectively. The tube lens offset and the skimmer voltages were set at 100 V and 6 V, respectively.</w:t>
      </w:r>
    </w:p>
    <w:p w:rsidR="00CD615A" w:rsidRPr="00F134CE" w:rsidRDefault="00CD615A" w:rsidP="00E43952">
      <w:pPr>
        <w:spacing w:after="120" w:line="480" w:lineRule="auto"/>
        <w:rPr>
          <w:i/>
        </w:rPr>
      </w:pPr>
      <w:r w:rsidRPr="00F134CE">
        <w:rPr>
          <w:i/>
        </w:rPr>
        <w:t xml:space="preserve">Data analysis and typical </w:t>
      </w:r>
      <w:r w:rsidR="00811D80" w:rsidRPr="00F134CE">
        <w:rPr>
          <w:i/>
        </w:rPr>
        <w:t>measurement series (</w:t>
      </w:r>
      <w:r w:rsidRPr="00F134CE">
        <w:rPr>
          <w:i/>
        </w:rPr>
        <w:t>run</w:t>
      </w:r>
      <w:r w:rsidR="00811D80" w:rsidRPr="00F134CE">
        <w:rPr>
          <w:i/>
        </w:rPr>
        <w:t>)</w:t>
      </w:r>
      <w:r w:rsidRPr="00F134CE">
        <w:rPr>
          <w:i/>
        </w:rPr>
        <w:t xml:space="preserve"> set-up</w:t>
      </w:r>
    </w:p>
    <w:p w:rsidR="00630FFE" w:rsidRPr="00F134CE" w:rsidRDefault="00CD615A" w:rsidP="00630FFE">
      <w:pPr>
        <w:spacing w:after="240" w:line="480" w:lineRule="auto"/>
      </w:pPr>
      <w:r w:rsidRPr="00F134CE">
        <w:rPr>
          <w:color w:val="000000" w:themeColor="text1"/>
        </w:rPr>
        <w:t>The design of a typical measurement series was as follows: a blank sample</w:t>
      </w:r>
      <w:r w:rsidR="00811D80" w:rsidRPr="00F134CE">
        <w:rPr>
          <w:color w:val="000000" w:themeColor="text1"/>
        </w:rPr>
        <w:t xml:space="preserve"> (spiked with ISTD)</w:t>
      </w:r>
      <w:r w:rsidRPr="00F134CE">
        <w:rPr>
          <w:color w:val="000000" w:themeColor="text1"/>
        </w:rPr>
        <w:t xml:space="preserve">, </w:t>
      </w:r>
      <w:r w:rsidR="008910C5" w:rsidRPr="00F134CE">
        <w:rPr>
          <w:color w:val="000000" w:themeColor="text1"/>
        </w:rPr>
        <w:t xml:space="preserve">a </w:t>
      </w:r>
      <w:r w:rsidRPr="00F134CE">
        <w:rPr>
          <w:color w:val="000000" w:themeColor="text1"/>
        </w:rPr>
        <w:t xml:space="preserve">set of </w:t>
      </w:r>
      <w:r w:rsidR="00C70A7C" w:rsidRPr="00F134CE">
        <w:rPr>
          <w:color w:val="000000" w:themeColor="text1"/>
        </w:rPr>
        <w:t xml:space="preserve">four </w:t>
      </w:r>
      <w:r w:rsidRPr="00F134CE">
        <w:rPr>
          <w:color w:val="000000" w:themeColor="text1"/>
        </w:rPr>
        <w:t>calibrators (increasing concentration</w:t>
      </w:r>
      <w:r w:rsidR="008910C5" w:rsidRPr="00F134CE">
        <w:rPr>
          <w:color w:val="000000" w:themeColor="text1"/>
        </w:rPr>
        <w:t>s</w:t>
      </w:r>
      <w:r w:rsidRPr="00F134CE">
        <w:rPr>
          <w:color w:val="000000" w:themeColor="text1"/>
        </w:rPr>
        <w:t xml:space="preserve">), mobile phase, </w:t>
      </w:r>
      <w:r w:rsidR="008910C5" w:rsidRPr="00F134CE">
        <w:rPr>
          <w:color w:val="000000" w:themeColor="text1"/>
        </w:rPr>
        <w:t xml:space="preserve">a second set of four calibrators (increasing concentrations), </w:t>
      </w:r>
      <w:r w:rsidRPr="00F134CE">
        <w:rPr>
          <w:color w:val="000000" w:themeColor="text1"/>
        </w:rPr>
        <w:t xml:space="preserve">IQC </w:t>
      </w:r>
      <w:r w:rsidR="00C70A7C" w:rsidRPr="00F134CE">
        <w:rPr>
          <w:color w:val="000000" w:themeColor="text1"/>
        </w:rPr>
        <w:t>sample</w:t>
      </w:r>
      <w:r w:rsidR="00855D71" w:rsidRPr="00F134CE">
        <w:rPr>
          <w:color w:val="000000" w:themeColor="text1"/>
        </w:rPr>
        <w:t>s</w:t>
      </w:r>
      <w:r w:rsidRPr="00F134CE">
        <w:rPr>
          <w:color w:val="000000" w:themeColor="text1"/>
        </w:rPr>
        <w:t xml:space="preserve"> (at least two different materials), SRM (</w:t>
      </w:r>
      <w:r w:rsidR="00C70A7C" w:rsidRPr="00F134CE">
        <w:rPr>
          <w:color w:val="000000" w:themeColor="text1"/>
        </w:rPr>
        <w:t xml:space="preserve">typically one level of </w:t>
      </w:r>
      <w:r w:rsidRPr="00F134CE">
        <w:rPr>
          <w:color w:val="000000" w:themeColor="text1"/>
        </w:rPr>
        <w:t>either 972 or 972a), unknown samples</w:t>
      </w:r>
      <w:r w:rsidR="00855D71" w:rsidRPr="00F134CE">
        <w:rPr>
          <w:color w:val="000000" w:themeColor="text1"/>
        </w:rPr>
        <w:t xml:space="preserve"> (prepared in duplicate)</w:t>
      </w:r>
      <w:r w:rsidRPr="00F134CE">
        <w:rPr>
          <w:color w:val="000000" w:themeColor="text1"/>
        </w:rPr>
        <w:t>, SRM (a different level of 972 or 972a level), IQC sample</w:t>
      </w:r>
      <w:r w:rsidR="00855D71" w:rsidRPr="00F134CE">
        <w:rPr>
          <w:color w:val="000000" w:themeColor="text1"/>
        </w:rPr>
        <w:t>s</w:t>
      </w:r>
      <w:r w:rsidRPr="00F134CE">
        <w:rPr>
          <w:color w:val="000000" w:themeColor="text1"/>
        </w:rPr>
        <w:t xml:space="preserve"> (the same materials</w:t>
      </w:r>
      <w:r w:rsidR="00C70A7C" w:rsidRPr="00F134CE">
        <w:rPr>
          <w:color w:val="000000" w:themeColor="text1"/>
        </w:rPr>
        <w:t xml:space="preserve">, </w:t>
      </w:r>
      <w:r w:rsidR="0046609D" w:rsidRPr="00F134CE">
        <w:rPr>
          <w:color w:val="000000" w:themeColor="text1"/>
        </w:rPr>
        <w:t>independently prepared</w:t>
      </w:r>
      <w:r w:rsidR="00C70A7C" w:rsidRPr="00F134CE">
        <w:rPr>
          <w:color w:val="000000" w:themeColor="text1"/>
        </w:rPr>
        <w:t>)</w:t>
      </w:r>
      <w:r w:rsidRPr="00F134CE">
        <w:rPr>
          <w:color w:val="000000" w:themeColor="text1"/>
        </w:rPr>
        <w:t xml:space="preserve">. After the </w:t>
      </w:r>
      <w:r w:rsidR="00C70A7C" w:rsidRPr="00F134CE">
        <w:rPr>
          <w:color w:val="000000" w:themeColor="text1"/>
        </w:rPr>
        <w:t>initial</w:t>
      </w:r>
      <w:r w:rsidRPr="00F134CE">
        <w:rPr>
          <w:color w:val="000000" w:themeColor="text1"/>
        </w:rPr>
        <w:t xml:space="preserve"> injection</w:t>
      </w:r>
      <w:r w:rsidR="00811D80" w:rsidRPr="00F134CE">
        <w:rPr>
          <w:color w:val="000000" w:themeColor="text1"/>
        </w:rPr>
        <w:t xml:space="preserve"> (1</w:t>
      </w:r>
      <w:r w:rsidR="00811D80" w:rsidRPr="00F134CE">
        <w:rPr>
          <w:rFonts w:ascii="Calibri" w:hAnsi="Calibri"/>
          <w:color w:val="000000" w:themeColor="text1"/>
        </w:rPr>
        <w:t>→</w:t>
      </w:r>
      <w:r w:rsidR="008910C5" w:rsidRPr="00F134CE">
        <w:rPr>
          <w:color w:val="000000" w:themeColor="text1"/>
        </w:rPr>
        <w:t>44</w:t>
      </w:r>
      <w:r w:rsidR="00811D80" w:rsidRPr="00F134CE">
        <w:rPr>
          <w:color w:val="000000" w:themeColor="text1"/>
        </w:rPr>
        <w:t>)</w:t>
      </w:r>
      <w:r w:rsidRPr="00F134CE">
        <w:rPr>
          <w:color w:val="000000" w:themeColor="text1"/>
        </w:rPr>
        <w:t xml:space="preserve">, the entire run was </w:t>
      </w:r>
      <w:r w:rsidR="0057036D" w:rsidRPr="00F134CE">
        <w:rPr>
          <w:color w:val="000000" w:themeColor="text1"/>
        </w:rPr>
        <w:t>injected in reverse order</w:t>
      </w:r>
      <w:r w:rsidR="00811D80" w:rsidRPr="00F134CE">
        <w:rPr>
          <w:color w:val="000000" w:themeColor="text1"/>
        </w:rPr>
        <w:t xml:space="preserve"> (</w:t>
      </w:r>
      <w:r w:rsidR="008910C5" w:rsidRPr="00F134CE">
        <w:rPr>
          <w:color w:val="000000" w:themeColor="text1"/>
        </w:rPr>
        <w:t>44</w:t>
      </w:r>
      <w:r w:rsidR="00811D80" w:rsidRPr="00F134CE">
        <w:rPr>
          <w:rFonts w:ascii="Calibri" w:hAnsi="Calibri"/>
          <w:color w:val="000000" w:themeColor="text1"/>
        </w:rPr>
        <w:t>→</w:t>
      </w:r>
      <w:r w:rsidR="00811D80" w:rsidRPr="00F134CE">
        <w:rPr>
          <w:color w:val="000000" w:themeColor="text1"/>
        </w:rPr>
        <w:t>1)</w:t>
      </w:r>
      <w:r w:rsidR="0057036D" w:rsidRPr="00F134CE">
        <w:rPr>
          <w:color w:val="000000" w:themeColor="text1"/>
        </w:rPr>
        <w:t>,</w:t>
      </w:r>
      <w:r w:rsidRPr="00F134CE">
        <w:rPr>
          <w:color w:val="000000" w:themeColor="text1"/>
        </w:rPr>
        <w:t xml:space="preserve"> (Fig. S1). </w:t>
      </w:r>
      <w:r w:rsidR="009D438F" w:rsidRPr="00F134CE">
        <w:rPr>
          <w:color w:val="000000" w:themeColor="text1"/>
        </w:rPr>
        <w:t>For each calibration level, the response ratios</w:t>
      </w:r>
      <w:r w:rsidRPr="00F134CE">
        <w:rPr>
          <w:color w:val="000000" w:themeColor="text1"/>
        </w:rPr>
        <w:t xml:space="preserve"> from both calibration s</w:t>
      </w:r>
      <w:r w:rsidR="009D438F" w:rsidRPr="00F134CE">
        <w:rPr>
          <w:color w:val="000000" w:themeColor="text1"/>
        </w:rPr>
        <w:t>ets (including the re-injection</w:t>
      </w:r>
      <w:r w:rsidR="00D0780B" w:rsidRPr="00F134CE">
        <w:rPr>
          <w:color w:val="000000" w:themeColor="text1"/>
        </w:rPr>
        <w:t>, 3 levels from 2 different solutions and duplicate injections = 12 points</w:t>
      </w:r>
      <w:r w:rsidR="009D438F" w:rsidRPr="00F134CE">
        <w:rPr>
          <w:color w:val="000000" w:themeColor="text1"/>
        </w:rPr>
        <w:t>),</w:t>
      </w:r>
      <w:r w:rsidRPr="00F134CE">
        <w:rPr>
          <w:color w:val="000000" w:themeColor="text1"/>
        </w:rPr>
        <w:t xml:space="preserve"> were plotted and used for quantitation</w:t>
      </w:r>
      <w:r w:rsidR="00F561BE" w:rsidRPr="00F134CE">
        <w:rPr>
          <w:color w:val="000000" w:themeColor="text1"/>
        </w:rPr>
        <w:t xml:space="preserve"> by </w:t>
      </w:r>
      <w:proofErr w:type="spellStart"/>
      <w:r w:rsidR="00F561BE" w:rsidRPr="00F134CE">
        <w:rPr>
          <w:color w:val="000000" w:themeColor="text1"/>
        </w:rPr>
        <w:t>Xc</w:t>
      </w:r>
      <w:r w:rsidR="00F02FCE" w:rsidRPr="00F134CE">
        <w:rPr>
          <w:color w:val="000000" w:themeColor="text1"/>
        </w:rPr>
        <w:t>alibur</w:t>
      </w:r>
      <w:proofErr w:type="spellEnd"/>
      <w:r w:rsidR="00F02FCE" w:rsidRPr="00F134CE">
        <w:rPr>
          <w:color w:val="000000" w:themeColor="text1"/>
        </w:rPr>
        <w:t xml:space="preserve"> software</w:t>
      </w:r>
      <w:r w:rsidRPr="00F134CE">
        <w:rPr>
          <w:color w:val="000000" w:themeColor="text1"/>
        </w:rPr>
        <w:t xml:space="preserve">. </w:t>
      </w:r>
      <w:r w:rsidR="00630FFE" w:rsidRPr="00F134CE">
        <w:t xml:space="preserve">Within a measurement series we used the mean of all 4 instrument results (2 preparations/2 injections) for every unknown </w:t>
      </w:r>
      <w:r w:rsidR="003D5B13" w:rsidRPr="00F134CE">
        <w:t xml:space="preserve">and IQC </w:t>
      </w:r>
      <w:r w:rsidR="00630FFE" w:rsidRPr="00F134CE">
        <w:t xml:space="preserve">sample to </w:t>
      </w:r>
      <w:r w:rsidR="009D438F" w:rsidRPr="00F134CE">
        <w:t xml:space="preserve">calculate the mass </w:t>
      </w:r>
      <w:r w:rsidR="00D8552D" w:rsidRPr="00F134CE">
        <w:t xml:space="preserve">fraction </w:t>
      </w:r>
      <w:r w:rsidR="009D438F" w:rsidRPr="00F134CE">
        <w:t>(ng/g)</w:t>
      </w:r>
      <w:r w:rsidRPr="00F134CE">
        <w:t>.</w:t>
      </w:r>
      <w:r w:rsidR="00D8552D" w:rsidRPr="00F134CE">
        <w:rPr>
          <w:color w:val="000000" w:themeColor="text1"/>
        </w:rPr>
        <w:t xml:space="preserve"> </w:t>
      </w:r>
      <w:r w:rsidR="00B213AD" w:rsidRPr="00F134CE">
        <w:rPr>
          <w:color w:val="000000" w:themeColor="text1"/>
        </w:rPr>
        <w:t>In Excel, t</w:t>
      </w:r>
      <w:r w:rsidR="00D8552D" w:rsidRPr="00F134CE">
        <w:rPr>
          <w:color w:val="000000" w:themeColor="text1"/>
        </w:rPr>
        <w:t xml:space="preserve">he mean instrument result </w:t>
      </w:r>
      <w:r w:rsidR="000539C8" w:rsidRPr="00F134CE">
        <w:rPr>
          <w:color w:val="000000" w:themeColor="text1"/>
        </w:rPr>
        <w:t>[</w:t>
      </w:r>
      <w:r w:rsidR="00D8552D" w:rsidRPr="00F134CE">
        <w:rPr>
          <w:color w:val="000000" w:themeColor="text1"/>
        </w:rPr>
        <w:t>mass ratio</w:t>
      </w:r>
      <w:r w:rsidR="000539C8" w:rsidRPr="00F134CE">
        <w:rPr>
          <w:color w:val="000000" w:themeColor="text1"/>
        </w:rPr>
        <w:t>, calculated off the calibration curve (function of mass ratios of the calibrators versus the response)]</w:t>
      </w:r>
      <w:r w:rsidR="00B213AD" w:rsidRPr="00F134CE">
        <w:rPr>
          <w:color w:val="000000" w:themeColor="text1"/>
        </w:rPr>
        <w:t xml:space="preserve"> </w:t>
      </w:r>
      <w:r w:rsidR="00D8552D" w:rsidRPr="00F134CE">
        <w:rPr>
          <w:color w:val="000000" w:themeColor="text1"/>
        </w:rPr>
        <w:t>was multiplied by the weight of the internal standard solution (g) and by the internal standard mass fraction (ng/g) and divided by the weight of the unknown sample (g) to obtain the mass fraction of 25(OH</w:t>
      </w:r>
      <w:proofErr w:type="gramStart"/>
      <w:r w:rsidR="00D8552D" w:rsidRPr="00F134CE">
        <w:rPr>
          <w:color w:val="000000" w:themeColor="text1"/>
        </w:rPr>
        <w:t>)D</w:t>
      </w:r>
      <w:r w:rsidR="00D8552D" w:rsidRPr="00F134CE">
        <w:rPr>
          <w:color w:val="000000" w:themeColor="text1"/>
          <w:vertAlign w:val="subscript"/>
        </w:rPr>
        <w:t>2</w:t>
      </w:r>
      <w:proofErr w:type="gramEnd"/>
      <w:r w:rsidR="00D8552D" w:rsidRPr="00F134CE">
        <w:rPr>
          <w:color w:val="000000" w:themeColor="text1"/>
        </w:rPr>
        <w:t xml:space="preserve"> and 25(OH)D</w:t>
      </w:r>
      <w:r w:rsidR="00D8552D" w:rsidRPr="00F134CE">
        <w:rPr>
          <w:color w:val="000000" w:themeColor="text1"/>
          <w:vertAlign w:val="subscript"/>
        </w:rPr>
        <w:t>3</w:t>
      </w:r>
      <w:r w:rsidR="00D8552D" w:rsidRPr="00F134CE">
        <w:rPr>
          <w:color w:val="000000" w:themeColor="text1"/>
        </w:rPr>
        <w:t xml:space="preserve"> (ng/g) in each unknown sample. To convert mass fraction (ng/g) to commonly used mass concentration (ng/mL) results, we applied the density of the serum samples. We performed serum density measurements on a DMA 35N portable density meter (Anton </w:t>
      </w:r>
      <w:proofErr w:type="spellStart"/>
      <w:r w:rsidR="00D8552D" w:rsidRPr="00F134CE">
        <w:rPr>
          <w:color w:val="000000" w:themeColor="text1"/>
        </w:rPr>
        <w:t>Paar</w:t>
      </w:r>
      <w:proofErr w:type="spellEnd"/>
      <w:r w:rsidR="00D8552D" w:rsidRPr="00F134CE">
        <w:rPr>
          <w:color w:val="000000" w:themeColor="text1"/>
        </w:rPr>
        <w:t xml:space="preserve">, Ashland, VA). The final </w:t>
      </w:r>
      <w:r w:rsidR="00D8552D" w:rsidRPr="00F134CE">
        <w:rPr>
          <w:color w:val="000000" w:themeColor="text1"/>
        </w:rPr>
        <w:lastRenderedPageBreak/>
        <w:t xml:space="preserve">amount of substance, in </w:t>
      </w:r>
      <w:proofErr w:type="spellStart"/>
      <w:r w:rsidR="00D8552D" w:rsidRPr="00F134CE">
        <w:rPr>
          <w:color w:val="000000" w:themeColor="text1"/>
        </w:rPr>
        <w:t>nanomol</w:t>
      </w:r>
      <w:proofErr w:type="spellEnd"/>
      <w:r w:rsidR="00D8552D" w:rsidRPr="00F134CE">
        <w:rPr>
          <w:color w:val="000000" w:themeColor="text1"/>
        </w:rPr>
        <w:t xml:space="preserve"> per liter (</w:t>
      </w:r>
      <w:proofErr w:type="spellStart"/>
      <w:r w:rsidR="00D8552D" w:rsidRPr="00F134CE">
        <w:rPr>
          <w:color w:val="000000" w:themeColor="text1"/>
        </w:rPr>
        <w:t>nmol</w:t>
      </w:r>
      <w:proofErr w:type="spellEnd"/>
      <w:r w:rsidR="00D8552D" w:rsidRPr="00F134CE">
        <w:rPr>
          <w:color w:val="000000" w:themeColor="text1"/>
        </w:rPr>
        <w:t xml:space="preserve">/L), was calculated by multiplying </w:t>
      </w:r>
      <w:proofErr w:type="spellStart"/>
      <w:r w:rsidR="00D8552D" w:rsidRPr="00F134CE">
        <w:rPr>
          <w:color w:val="000000" w:themeColor="text1"/>
        </w:rPr>
        <w:t>nanograms</w:t>
      </w:r>
      <w:proofErr w:type="spellEnd"/>
      <w:r w:rsidR="00D8552D" w:rsidRPr="00F134CE">
        <w:rPr>
          <w:color w:val="000000" w:themeColor="text1"/>
        </w:rPr>
        <w:t xml:space="preserve"> per milliliter by 2.4233 or 2.4959 for 25(OH</w:t>
      </w:r>
      <w:proofErr w:type="gramStart"/>
      <w:r w:rsidR="00D8552D" w:rsidRPr="00F134CE">
        <w:rPr>
          <w:color w:val="000000" w:themeColor="text1"/>
        </w:rPr>
        <w:t>)D</w:t>
      </w:r>
      <w:r w:rsidR="00D8552D" w:rsidRPr="00F134CE">
        <w:rPr>
          <w:color w:val="000000" w:themeColor="text1"/>
          <w:vertAlign w:val="subscript"/>
        </w:rPr>
        <w:t>2</w:t>
      </w:r>
      <w:proofErr w:type="gramEnd"/>
      <w:r w:rsidR="00D8552D" w:rsidRPr="00F134CE">
        <w:rPr>
          <w:color w:val="000000" w:themeColor="text1"/>
        </w:rPr>
        <w:t xml:space="preserve"> and 25(OH)D</w:t>
      </w:r>
      <w:r w:rsidR="00D8552D" w:rsidRPr="00F134CE">
        <w:rPr>
          <w:color w:val="000000" w:themeColor="text1"/>
          <w:vertAlign w:val="subscript"/>
        </w:rPr>
        <w:t>3</w:t>
      </w:r>
      <w:r w:rsidR="00D8552D" w:rsidRPr="00F134CE">
        <w:rPr>
          <w:color w:val="000000" w:themeColor="text1"/>
        </w:rPr>
        <w:t>, respectively.</w:t>
      </w:r>
    </w:p>
    <w:p w:rsidR="00AE2611" w:rsidRPr="00F134CE" w:rsidRDefault="00AE2611" w:rsidP="00AE2611">
      <w:pPr>
        <w:spacing w:after="240" w:line="480" w:lineRule="auto"/>
      </w:pPr>
      <w:r w:rsidRPr="00F134CE">
        <w:rPr>
          <w:i/>
        </w:rPr>
        <w:t xml:space="preserve">Ion suppression.  </w:t>
      </w:r>
      <w:r w:rsidRPr="00F134CE">
        <w:t>We assessed the effect of matrix on ionization through ion suppression experiments [</w:t>
      </w:r>
      <w:r w:rsidR="00C326E2" w:rsidRPr="00F134CE">
        <w:t>1</w:t>
      </w:r>
      <w:r w:rsidRPr="00F134CE">
        <w:t>]. We used post-column infusion of mixed 25(OH</w:t>
      </w:r>
      <w:proofErr w:type="gramStart"/>
      <w:r w:rsidRPr="00F134CE">
        <w:t>)D</w:t>
      </w:r>
      <w:r w:rsidRPr="00F134CE">
        <w:rPr>
          <w:vertAlign w:val="subscript"/>
        </w:rPr>
        <w:t>3</w:t>
      </w:r>
      <w:proofErr w:type="gramEnd"/>
      <w:r w:rsidRPr="00F134CE">
        <w:t xml:space="preserve"> and 25(OH)D</w:t>
      </w:r>
      <w:r w:rsidRPr="00F134CE">
        <w:rPr>
          <w:vertAlign w:val="subscript"/>
        </w:rPr>
        <w:t>2</w:t>
      </w:r>
      <w:r w:rsidRPr="00F134CE">
        <w:t xml:space="preserve"> stock solutions while injecting matrix samples (QC and unknowns). </w:t>
      </w:r>
    </w:p>
    <w:p w:rsidR="00B75DD6" w:rsidRPr="00F134CE" w:rsidRDefault="008649A2" w:rsidP="00630FFE">
      <w:pPr>
        <w:spacing w:after="200" w:line="276" w:lineRule="auto"/>
        <w:rPr>
          <w:i/>
        </w:rPr>
      </w:pPr>
      <w:r w:rsidRPr="00F134CE">
        <w:rPr>
          <w:i/>
        </w:rPr>
        <w:t>Method validation</w:t>
      </w:r>
    </w:p>
    <w:p w:rsidR="008649A2" w:rsidRPr="00F134CE" w:rsidRDefault="00D706F4" w:rsidP="00114C9B">
      <w:pPr>
        <w:spacing w:after="120" w:line="480" w:lineRule="auto"/>
        <w:rPr>
          <w:b/>
        </w:rPr>
      </w:pPr>
      <w:r w:rsidRPr="00F134CE">
        <w:rPr>
          <w:i/>
        </w:rPr>
        <w:t>Direct calibration</w:t>
      </w:r>
    </w:p>
    <w:p w:rsidR="005B1AB5" w:rsidRPr="00F134CE" w:rsidRDefault="00E149FF" w:rsidP="00114C9B">
      <w:pPr>
        <w:spacing w:after="120" w:line="480" w:lineRule="auto"/>
        <w:rPr>
          <w:color w:val="000000" w:themeColor="text1"/>
        </w:rPr>
      </w:pPr>
      <w:r w:rsidRPr="00F134CE">
        <w:t xml:space="preserve">At </w:t>
      </w:r>
      <w:r w:rsidR="005B1AB5" w:rsidRPr="00F134CE">
        <w:t>2-4</w:t>
      </w:r>
      <w:r w:rsidRPr="00F134CE">
        <w:t xml:space="preserve"> </w:t>
      </w:r>
      <w:r w:rsidR="00071C1D" w:rsidRPr="00F134CE">
        <w:t xml:space="preserve">calibration sets (each consisting of </w:t>
      </w:r>
      <w:r w:rsidRPr="00F134CE">
        <w:t>3-6</w:t>
      </w:r>
      <w:r w:rsidR="00071C1D" w:rsidRPr="00F134CE">
        <w:t xml:space="preserve"> calibration levels) were prepared in three measurement series. </w:t>
      </w:r>
      <w:r w:rsidR="00697016" w:rsidRPr="00F134CE">
        <w:t xml:space="preserve">In each series, </w:t>
      </w:r>
      <w:r w:rsidR="005B1AB5" w:rsidRPr="00F134CE">
        <w:t xml:space="preserve">at least 2 </w:t>
      </w:r>
      <w:r w:rsidR="00071C1D" w:rsidRPr="00F134CE">
        <w:t xml:space="preserve">sets </w:t>
      </w:r>
      <w:r w:rsidR="00114C9B" w:rsidRPr="00F134CE">
        <w:t xml:space="preserve">were carried through the sample preparation </w:t>
      </w:r>
      <w:r w:rsidR="00071C1D" w:rsidRPr="00F134CE">
        <w:t xml:space="preserve">procedure </w:t>
      </w:r>
      <w:r w:rsidR="00114C9B" w:rsidRPr="00F134CE">
        <w:t xml:space="preserve">and </w:t>
      </w:r>
      <w:r w:rsidR="005B1AB5" w:rsidRPr="00F134CE">
        <w:t>equal amount of sets</w:t>
      </w:r>
      <w:r w:rsidRPr="00F134CE">
        <w:t xml:space="preserve"> </w:t>
      </w:r>
      <w:r w:rsidR="00114C9B" w:rsidRPr="00F134CE">
        <w:t xml:space="preserve">were </w:t>
      </w:r>
      <w:r w:rsidR="00E51E85" w:rsidRPr="00F134CE">
        <w:t xml:space="preserve">mixed with the ISTD, </w:t>
      </w:r>
      <w:r w:rsidR="00071C1D" w:rsidRPr="00F134CE">
        <w:t xml:space="preserve">evaporated </w:t>
      </w:r>
      <w:r w:rsidR="00114C9B" w:rsidRPr="00F134CE">
        <w:t>(vacuum</w:t>
      </w:r>
      <w:r w:rsidR="00697016" w:rsidRPr="00F134CE">
        <w:t xml:space="preserve"> at </w:t>
      </w:r>
      <w:r w:rsidR="00114C9B" w:rsidRPr="00F134CE">
        <w:t xml:space="preserve">45 </w:t>
      </w:r>
      <w:proofErr w:type="spellStart"/>
      <w:r w:rsidR="00114C9B" w:rsidRPr="00F134CE">
        <w:rPr>
          <w:vertAlign w:val="superscript"/>
        </w:rPr>
        <w:t>o</w:t>
      </w:r>
      <w:r w:rsidR="00114C9B" w:rsidRPr="00F134CE">
        <w:t>C</w:t>
      </w:r>
      <w:proofErr w:type="spellEnd"/>
      <w:r w:rsidR="00114C9B" w:rsidRPr="00F134CE">
        <w:t>) and directly injected on the instrument</w:t>
      </w:r>
      <w:r w:rsidR="00071C1D" w:rsidRPr="00F134CE">
        <w:t xml:space="preserve"> after reconstitution with 73% </w:t>
      </w:r>
      <w:proofErr w:type="spellStart"/>
      <w:r w:rsidR="00071C1D" w:rsidRPr="00F134CE">
        <w:t>MeOH</w:t>
      </w:r>
      <w:proofErr w:type="spellEnd"/>
      <w:r w:rsidR="00071C1D" w:rsidRPr="00F134CE">
        <w:t>/water</w:t>
      </w:r>
      <w:r w:rsidR="00114C9B" w:rsidRPr="00F134CE">
        <w:t xml:space="preserve">. </w:t>
      </w:r>
      <w:r w:rsidR="00071C1D" w:rsidRPr="00F134CE">
        <w:t>Each</w:t>
      </w:r>
      <w:r w:rsidR="00BD37A8" w:rsidRPr="00F134CE">
        <w:t xml:space="preserve"> sample w</w:t>
      </w:r>
      <w:r w:rsidR="00071C1D" w:rsidRPr="00F134CE">
        <w:t>as</w:t>
      </w:r>
      <w:r w:rsidR="00BD37A8" w:rsidRPr="00F134CE">
        <w:t xml:space="preserve"> injected twice, and the mean response was </w:t>
      </w:r>
      <w:r w:rsidR="00071C1D" w:rsidRPr="00F134CE">
        <w:t>used in the calculations</w:t>
      </w:r>
      <w:r w:rsidR="00BD37A8" w:rsidRPr="00F134CE">
        <w:t xml:space="preserve">. </w:t>
      </w:r>
      <w:r w:rsidR="00914BB6" w:rsidRPr="00F134CE">
        <w:t>M</w:t>
      </w:r>
      <w:r w:rsidR="00266A59" w:rsidRPr="00F134CE">
        <w:t xml:space="preserve">ean </w:t>
      </w:r>
      <w:r w:rsidR="00114C9B" w:rsidRPr="00F134CE">
        <w:t>relative response ratio</w:t>
      </w:r>
      <w:r w:rsidR="00914BB6" w:rsidRPr="00F134CE">
        <w:t>s</w:t>
      </w:r>
      <w:r w:rsidR="00114C9B" w:rsidRPr="00F134CE">
        <w:t xml:space="preserve"> </w:t>
      </w:r>
      <w:r w:rsidR="00BD37A8" w:rsidRPr="00F134CE">
        <w:t>from all measurements</w:t>
      </w:r>
      <w:r w:rsidR="00114C9B" w:rsidRPr="00F134CE">
        <w:t xml:space="preserve"> </w:t>
      </w:r>
      <w:r w:rsidR="00914BB6" w:rsidRPr="00F134CE">
        <w:t xml:space="preserve">were </w:t>
      </w:r>
      <w:r w:rsidR="00BD37A8" w:rsidRPr="00F134CE">
        <w:t>calculated (directly analyzed and after submission to sample preparation)</w:t>
      </w:r>
      <w:r w:rsidR="005B1AB5" w:rsidRPr="00F134CE">
        <w:t xml:space="preserve"> and used to calculate the % difference between the two sets.</w:t>
      </w:r>
    </w:p>
    <w:p w:rsidR="00F353A1" w:rsidRPr="00F134CE" w:rsidRDefault="00F353A1" w:rsidP="00114C9B">
      <w:pPr>
        <w:spacing w:after="120" w:line="480" w:lineRule="auto"/>
      </w:pPr>
      <w:r w:rsidRPr="00F134CE">
        <w:rPr>
          <w:color w:val="000000" w:themeColor="text1"/>
        </w:rPr>
        <w:t xml:space="preserve">We assessed the effect of matrix on ionization during the sample preparation procedure, as factors that may influence accuracy. Our candidate RMP was free of ion suppression, indicated by the lack of </w:t>
      </w:r>
      <w:r w:rsidRPr="00F134CE">
        <w:t>baseline drifts around the elution times of 25(OH</w:t>
      </w:r>
      <w:proofErr w:type="gramStart"/>
      <w:r w:rsidRPr="00F134CE">
        <w:t>)D</w:t>
      </w:r>
      <w:r w:rsidRPr="00F134CE">
        <w:rPr>
          <w:vertAlign w:val="subscript"/>
        </w:rPr>
        <w:t>3</w:t>
      </w:r>
      <w:proofErr w:type="gramEnd"/>
      <w:r w:rsidRPr="00F134CE">
        <w:t xml:space="preserve"> and 25(OH)D</w:t>
      </w:r>
      <w:r w:rsidRPr="00F134CE">
        <w:rPr>
          <w:vertAlign w:val="subscript"/>
        </w:rPr>
        <w:t>2</w:t>
      </w:r>
      <w:r w:rsidRPr="00F134CE">
        <w:t xml:space="preserve"> upon injection of extracted matrix samples.</w:t>
      </w:r>
    </w:p>
    <w:p w:rsidR="00C326E2" w:rsidRPr="00F134CE" w:rsidRDefault="00C326E2">
      <w:pPr>
        <w:spacing w:after="200" w:line="276" w:lineRule="auto"/>
        <w:rPr>
          <w:b/>
          <w:color w:val="000000" w:themeColor="text1"/>
        </w:rPr>
      </w:pPr>
      <w:r w:rsidRPr="00F134CE">
        <w:rPr>
          <w:b/>
          <w:color w:val="000000" w:themeColor="text1"/>
        </w:rPr>
        <w:t>References</w:t>
      </w:r>
    </w:p>
    <w:p w:rsidR="00C326E2" w:rsidRPr="00F134CE" w:rsidRDefault="00C326E2" w:rsidP="00C326E2">
      <w:pPr>
        <w:pStyle w:val="ListParagraph"/>
        <w:numPr>
          <w:ilvl w:val="0"/>
          <w:numId w:val="1"/>
        </w:numPr>
        <w:spacing w:after="120" w:line="360" w:lineRule="auto"/>
        <w:contextualSpacing w:val="0"/>
        <w:rPr>
          <w:color w:val="000000" w:themeColor="text1"/>
          <w:sz w:val="28"/>
        </w:rPr>
      </w:pPr>
      <w:r w:rsidRPr="00F134CE">
        <w:rPr>
          <w:szCs w:val="22"/>
        </w:rPr>
        <w:t xml:space="preserve">Annesley T (2003) Ion suppression in mass spectrometry. </w:t>
      </w:r>
      <w:proofErr w:type="spellStart"/>
      <w:r w:rsidRPr="00F134CE">
        <w:rPr>
          <w:szCs w:val="22"/>
        </w:rPr>
        <w:t>Clin</w:t>
      </w:r>
      <w:proofErr w:type="spellEnd"/>
      <w:r w:rsidRPr="00F134CE">
        <w:rPr>
          <w:szCs w:val="22"/>
        </w:rPr>
        <w:t xml:space="preserve"> </w:t>
      </w:r>
      <w:proofErr w:type="spellStart"/>
      <w:r w:rsidRPr="00F134CE">
        <w:rPr>
          <w:szCs w:val="22"/>
        </w:rPr>
        <w:t>Chem</w:t>
      </w:r>
      <w:proofErr w:type="spellEnd"/>
      <w:r w:rsidRPr="00F134CE">
        <w:rPr>
          <w:szCs w:val="22"/>
        </w:rPr>
        <w:t xml:space="preserve"> 49(7):1041-1044</w:t>
      </w:r>
    </w:p>
    <w:p w:rsidR="00697016" w:rsidRPr="00F134CE" w:rsidRDefault="00697016">
      <w:pPr>
        <w:spacing w:after="200" w:line="276" w:lineRule="auto"/>
        <w:rPr>
          <w:b/>
          <w:color w:val="000000" w:themeColor="text1"/>
        </w:rPr>
      </w:pPr>
      <w:r w:rsidRPr="00F134CE">
        <w:rPr>
          <w:b/>
          <w:color w:val="000000" w:themeColor="text1"/>
        </w:rPr>
        <w:br w:type="page"/>
      </w:r>
    </w:p>
    <w:p w:rsidR="00140188" w:rsidRPr="00F134CE" w:rsidRDefault="00140188" w:rsidP="00140188">
      <w:pPr>
        <w:pBdr>
          <w:bottom w:val="single" w:sz="4" w:space="1" w:color="auto"/>
        </w:pBdr>
        <w:spacing w:line="360" w:lineRule="auto"/>
        <w:rPr>
          <w:b/>
          <w:color w:val="000000" w:themeColor="text1"/>
        </w:rPr>
      </w:pPr>
      <w:r w:rsidRPr="00F134CE">
        <w:rPr>
          <w:b/>
          <w:color w:val="000000" w:themeColor="text1"/>
        </w:rPr>
        <w:lastRenderedPageBreak/>
        <w:t>Table 1S. Estimation of expanded uncertainty for candidate reference measurement procedure measurements of serum concentrations of 25 (OH</w:t>
      </w:r>
      <w:proofErr w:type="gramStart"/>
      <w:r w:rsidRPr="00F134CE">
        <w:rPr>
          <w:b/>
          <w:color w:val="000000" w:themeColor="text1"/>
        </w:rPr>
        <w:t>)D</w:t>
      </w:r>
      <w:r w:rsidRPr="00F134CE">
        <w:rPr>
          <w:b/>
          <w:color w:val="000000" w:themeColor="text1"/>
          <w:vertAlign w:val="subscript"/>
        </w:rPr>
        <w:t>2</w:t>
      </w:r>
      <w:proofErr w:type="gramEnd"/>
      <w:r w:rsidRPr="00F134CE">
        <w:rPr>
          <w:b/>
          <w:color w:val="000000" w:themeColor="text1"/>
        </w:rPr>
        <w:t xml:space="preserve"> and 25 (OH)D</w:t>
      </w:r>
      <w:r w:rsidRPr="00F134CE">
        <w:rPr>
          <w:b/>
          <w:color w:val="000000" w:themeColor="text1"/>
          <w:vertAlign w:val="subscript"/>
        </w:rPr>
        <w:t>3</w:t>
      </w:r>
      <w:r w:rsidRPr="00F134CE">
        <w:rPr>
          <w:b/>
          <w:color w:val="000000" w:themeColor="text1"/>
        </w:rPr>
        <w:t xml:space="preserve"> in internal quality control materials</w:t>
      </w:r>
    </w:p>
    <w:p w:rsidR="00140188" w:rsidRPr="00F134CE" w:rsidRDefault="00140188" w:rsidP="00140188">
      <w:pPr>
        <w:pBdr>
          <w:bottom w:val="single" w:sz="4" w:space="1" w:color="auto"/>
        </w:pBdr>
        <w:rPr>
          <w:b/>
          <w:color w:val="000000" w:themeColor="text1"/>
          <w:vertAlign w:val="subscript"/>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4"/>
        <w:gridCol w:w="539"/>
        <w:gridCol w:w="360"/>
        <w:gridCol w:w="900"/>
        <w:gridCol w:w="990"/>
        <w:gridCol w:w="1233"/>
        <w:gridCol w:w="26"/>
        <w:gridCol w:w="990"/>
        <w:gridCol w:w="990"/>
        <w:gridCol w:w="585"/>
        <w:gridCol w:w="315"/>
        <w:gridCol w:w="720"/>
        <w:gridCol w:w="306"/>
        <w:gridCol w:w="486"/>
        <w:gridCol w:w="202"/>
      </w:tblGrid>
      <w:tr w:rsidR="00140188" w:rsidRPr="00F134CE" w:rsidTr="00C92430">
        <w:trPr>
          <w:trHeight w:val="576"/>
        </w:trPr>
        <w:tc>
          <w:tcPr>
            <w:tcW w:w="3093" w:type="dxa"/>
            <w:gridSpan w:val="4"/>
            <w:tcBorders>
              <w:right w:val="single" w:sz="4" w:space="0" w:color="auto"/>
            </w:tcBorders>
            <w:vAlign w:val="center"/>
          </w:tcPr>
          <w:p w:rsidR="00140188" w:rsidRPr="00F134CE" w:rsidRDefault="00140188" w:rsidP="0097164A">
            <w:pPr>
              <w:jc w:val="center"/>
              <w:rPr>
                <w:b/>
                <w:color w:val="000000" w:themeColor="text1"/>
                <w:sz w:val="22"/>
                <w:szCs w:val="22"/>
              </w:rPr>
            </w:pPr>
            <w:r w:rsidRPr="00F134CE">
              <w:rPr>
                <w:b/>
                <w:color w:val="000000" w:themeColor="text1"/>
                <w:sz w:val="22"/>
                <w:szCs w:val="22"/>
              </w:rPr>
              <w:t>Type A factor</w:t>
            </w:r>
          </w:p>
        </w:tc>
        <w:tc>
          <w:tcPr>
            <w:tcW w:w="4229" w:type="dxa"/>
            <w:gridSpan w:val="5"/>
            <w:tcBorders>
              <w:left w:val="single" w:sz="4" w:space="0" w:color="auto"/>
              <w:right w:val="single" w:sz="4" w:space="0" w:color="auto"/>
            </w:tcBorders>
            <w:vAlign w:val="center"/>
          </w:tcPr>
          <w:p w:rsidR="00140188" w:rsidRPr="00F134CE" w:rsidRDefault="00140188" w:rsidP="0097164A">
            <w:pPr>
              <w:jc w:val="center"/>
              <w:rPr>
                <w:b/>
                <w:color w:val="000000" w:themeColor="text1"/>
                <w:sz w:val="22"/>
                <w:szCs w:val="22"/>
              </w:rPr>
            </w:pPr>
            <w:r w:rsidRPr="00F134CE">
              <w:rPr>
                <w:b/>
                <w:color w:val="000000" w:themeColor="text1"/>
                <w:sz w:val="22"/>
                <w:szCs w:val="22"/>
              </w:rPr>
              <w:t>Type B factor</w:t>
            </w:r>
          </w:p>
        </w:tc>
        <w:tc>
          <w:tcPr>
            <w:tcW w:w="585" w:type="dxa"/>
            <w:tcBorders>
              <w:left w:val="single" w:sz="4" w:space="0" w:color="auto"/>
            </w:tcBorders>
            <w:vAlign w:val="center"/>
          </w:tcPr>
          <w:p w:rsidR="00140188" w:rsidRPr="00F134CE" w:rsidRDefault="00140188" w:rsidP="0097164A">
            <w:pPr>
              <w:jc w:val="center"/>
              <w:rPr>
                <w:b/>
                <w:color w:val="000000" w:themeColor="text1"/>
                <w:sz w:val="22"/>
                <w:szCs w:val="22"/>
              </w:rPr>
            </w:pPr>
          </w:p>
        </w:tc>
        <w:tc>
          <w:tcPr>
            <w:tcW w:w="1341" w:type="dxa"/>
            <w:gridSpan w:val="3"/>
            <w:vAlign w:val="center"/>
          </w:tcPr>
          <w:p w:rsidR="00140188" w:rsidRPr="00F134CE" w:rsidRDefault="00140188" w:rsidP="0097164A">
            <w:pPr>
              <w:jc w:val="center"/>
              <w:rPr>
                <w:b/>
                <w:color w:val="000000" w:themeColor="text1"/>
                <w:sz w:val="22"/>
                <w:szCs w:val="22"/>
              </w:rPr>
            </w:pPr>
            <w:r w:rsidRPr="00F134CE">
              <w:rPr>
                <w:b/>
                <w:color w:val="000000" w:themeColor="text1"/>
                <w:sz w:val="22"/>
                <w:szCs w:val="22"/>
              </w:rPr>
              <w:t>Uncertainty</w:t>
            </w:r>
          </w:p>
        </w:tc>
        <w:tc>
          <w:tcPr>
            <w:tcW w:w="688" w:type="dxa"/>
            <w:gridSpan w:val="2"/>
            <w:vAlign w:val="center"/>
          </w:tcPr>
          <w:p w:rsidR="00140188" w:rsidRPr="00F134CE" w:rsidRDefault="00140188" w:rsidP="0097164A">
            <w:pPr>
              <w:jc w:val="center"/>
              <w:rPr>
                <w:b/>
                <w:color w:val="000000" w:themeColor="text1"/>
                <w:sz w:val="22"/>
                <w:szCs w:val="22"/>
              </w:rPr>
            </w:pPr>
          </w:p>
        </w:tc>
      </w:tr>
      <w:tr w:rsidR="00140188" w:rsidRPr="00F134CE" w:rsidTr="00C92430">
        <w:trPr>
          <w:trHeight w:val="737"/>
        </w:trPr>
        <w:tc>
          <w:tcPr>
            <w:tcW w:w="1294" w:type="dxa"/>
            <w:tcBorders>
              <w:top w:val="single" w:sz="4" w:space="0" w:color="auto"/>
            </w:tcBorders>
            <w:vAlign w:val="center"/>
          </w:tcPr>
          <w:p w:rsidR="00140188" w:rsidRPr="00F134CE" w:rsidRDefault="00140188" w:rsidP="0097164A">
            <w:pPr>
              <w:jc w:val="center"/>
              <w:rPr>
                <w:b/>
                <w:color w:val="000000" w:themeColor="text1"/>
              </w:rPr>
            </w:pPr>
            <w:r w:rsidRPr="00F134CE">
              <w:rPr>
                <w:b/>
                <w:color w:val="000000" w:themeColor="text1"/>
              </w:rPr>
              <w:t>Mean (</w:t>
            </w:r>
            <w:proofErr w:type="spellStart"/>
            <w:r w:rsidRPr="00F134CE">
              <w:rPr>
                <w:b/>
                <w:color w:val="000000" w:themeColor="text1"/>
              </w:rPr>
              <w:t>nmol</w:t>
            </w:r>
            <w:proofErr w:type="spellEnd"/>
            <w:r w:rsidRPr="00F134CE">
              <w:rPr>
                <w:b/>
                <w:color w:val="000000" w:themeColor="text1"/>
              </w:rPr>
              <w:t>/L)</w:t>
            </w:r>
          </w:p>
        </w:tc>
        <w:tc>
          <w:tcPr>
            <w:tcW w:w="539" w:type="dxa"/>
            <w:tcBorders>
              <w:top w:val="single" w:sz="4" w:space="0" w:color="auto"/>
            </w:tcBorders>
            <w:vAlign w:val="center"/>
          </w:tcPr>
          <w:p w:rsidR="00140188" w:rsidRPr="00F134CE" w:rsidRDefault="00140188" w:rsidP="0097164A">
            <w:pPr>
              <w:rPr>
                <w:b/>
                <w:color w:val="000000" w:themeColor="text1"/>
              </w:rPr>
            </w:pPr>
            <w:r w:rsidRPr="00F134CE">
              <w:rPr>
                <w:b/>
                <w:color w:val="000000" w:themeColor="text1"/>
              </w:rPr>
              <w:t>SD</w:t>
            </w:r>
          </w:p>
        </w:tc>
        <w:tc>
          <w:tcPr>
            <w:tcW w:w="1260" w:type="dxa"/>
            <w:gridSpan w:val="2"/>
            <w:tcBorders>
              <w:top w:val="single" w:sz="4" w:space="0" w:color="auto"/>
              <w:right w:val="single" w:sz="4" w:space="0" w:color="auto"/>
            </w:tcBorders>
            <w:vAlign w:val="center"/>
          </w:tcPr>
          <w:p w:rsidR="00140188" w:rsidRPr="00F134CE" w:rsidRDefault="00140188" w:rsidP="0097164A">
            <w:pPr>
              <w:rPr>
                <w:b/>
                <w:color w:val="000000" w:themeColor="text1"/>
              </w:rPr>
            </w:pPr>
            <w:r w:rsidRPr="00F134CE">
              <w:rPr>
                <w:b/>
                <w:color w:val="000000" w:themeColor="text1"/>
              </w:rPr>
              <w:t>SD, mean</w:t>
            </w:r>
          </w:p>
        </w:tc>
        <w:tc>
          <w:tcPr>
            <w:tcW w:w="990" w:type="dxa"/>
            <w:tcBorders>
              <w:top w:val="single" w:sz="4" w:space="0" w:color="auto"/>
              <w:left w:val="single" w:sz="4" w:space="0" w:color="auto"/>
            </w:tcBorders>
            <w:vAlign w:val="center"/>
          </w:tcPr>
          <w:p w:rsidR="00140188" w:rsidRPr="00F134CE" w:rsidRDefault="00140188" w:rsidP="0097164A">
            <w:pPr>
              <w:jc w:val="center"/>
              <w:rPr>
                <w:b/>
                <w:color w:val="000000" w:themeColor="text1"/>
              </w:rPr>
            </w:pPr>
            <w:r w:rsidRPr="00F134CE">
              <w:rPr>
                <w:b/>
                <w:color w:val="000000" w:themeColor="text1"/>
              </w:rPr>
              <w:t>Purity*</w:t>
            </w:r>
          </w:p>
        </w:tc>
        <w:tc>
          <w:tcPr>
            <w:tcW w:w="1259" w:type="dxa"/>
            <w:gridSpan w:val="2"/>
            <w:tcBorders>
              <w:top w:val="single" w:sz="4" w:space="0" w:color="auto"/>
            </w:tcBorders>
            <w:vAlign w:val="center"/>
          </w:tcPr>
          <w:p w:rsidR="00140188" w:rsidRPr="00F134CE" w:rsidRDefault="00140188" w:rsidP="0097164A">
            <w:pPr>
              <w:jc w:val="center"/>
              <w:rPr>
                <w:b/>
                <w:color w:val="000000" w:themeColor="text1"/>
              </w:rPr>
            </w:pPr>
            <w:r w:rsidRPr="00F134CE">
              <w:rPr>
                <w:b/>
                <w:color w:val="000000" w:themeColor="text1"/>
              </w:rPr>
              <w:t>Weighing</w:t>
            </w:r>
          </w:p>
        </w:tc>
        <w:tc>
          <w:tcPr>
            <w:tcW w:w="990" w:type="dxa"/>
            <w:tcBorders>
              <w:top w:val="single" w:sz="4" w:space="0" w:color="auto"/>
            </w:tcBorders>
            <w:vAlign w:val="center"/>
          </w:tcPr>
          <w:p w:rsidR="00140188" w:rsidRPr="00F134CE" w:rsidRDefault="00140188" w:rsidP="0097164A">
            <w:pPr>
              <w:jc w:val="center"/>
              <w:rPr>
                <w:b/>
                <w:color w:val="000000" w:themeColor="text1"/>
              </w:rPr>
            </w:pPr>
            <w:r w:rsidRPr="00F134CE">
              <w:rPr>
                <w:b/>
                <w:color w:val="000000" w:themeColor="text1"/>
              </w:rPr>
              <w:t>Density</w:t>
            </w:r>
          </w:p>
        </w:tc>
        <w:tc>
          <w:tcPr>
            <w:tcW w:w="990" w:type="dxa"/>
            <w:tcBorders>
              <w:top w:val="single" w:sz="4" w:space="0" w:color="auto"/>
              <w:right w:val="single" w:sz="4" w:space="0" w:color="auto"/>
            </w:tcBorders>
            <w:vAlign w:val="center"/>
          </w:tcPr>
          <w:p w:rsidR="00140188" w:rsidRPr="00F134CE" w:rsidRDefault="00140188" w:rsidP="0097164A">
            <w:pPr>
              <w:jc w:val="center"/>
              <w:rPr>
                <w:b/>
                <w:color w:val="000000" w:themeColor="text1"/>
              </w:rPr>
            </w:pPr>
            <w:r w:rsidRPr="00F134CE">
              <w:rPr>
                <w:b/>
                <w:color w:val="000000" w:themeColor="text1"/>
              </w:rPr>
              <w:t>Other</w:t>
            </w:r>
            <w:r w:rsidRPr="00F134CE">
              <w:rPr>
                <w:b/>
                <w:color w:val="000000" w:themeColor="text1"/>
                <w:vertAlign w:val="superscript"/>
              </w:rPr>
              <w:t>#</w:t>
            </w:r>
          </w:p>
        </w:tc>
        <w:tc>
          <w:tcPr>
            <w:tcW w:w="900" w:type="dxa"/>
            <w:gridSpan w:val="2"/>
            <w:tcBorders>
              <w:top w:val="single" w:sz="4" w:space="0" w:color="auto"/>
              <w:left w:val="single" w:sz="4" w:space="0" w:color="auto"/>
            </w:tcBorders>
            <w:vAlign w:val="center"/>
          </w:tcPr>
          <w:p w:rsidR="00140188" w:rsidRPr="00F134CE" w:rsidRDefault="00140188" w:rsidP="0097164A">
            <w:pPr>
              <w:jc w:val="center"/>
              <w:rPr>
                <w:color w:val="000000" w:themeColor="text1"/>
                <w:sz w:val="22"/>
                <w:szCs w:val="22"/>
              </w:rPr>
            </w:pPr>
            <w:proofErr w:type="spellStart"/>
            <w:r w:rsidRPr="00F134CE">
              <w:rPr>
                <w:b/>
                <w:i/>
                <w:color w:val="000000" w:themeColor="text1"/>
              </w:rPr>
              <w:t>u</w:t>
            </w:r>
            <w:r w:rsidRPr="00F134CE">
              <w:rPr>
                <w:b/>
                <w:i/>
                <w:color w:val="000000" w:themeColor="text1"/>
                <w:vertAlign w:val="subscript"/>
              </w:rPr>
              <w:t>c</w:t>
            </w:r>
            <w:r w:rsidRPr="00F134CE">
              <w:rPr>
                <w:b/>
                <w:color w:val="000000" w:themeColor="text1"/>
                <w:vertAlign w:val="superscript"/>
              </w:rPr>
              <w:t>a</w:t>
            </w:r>
            <w:proofErr w:type="spellEnd"/>
          </w:p>
        </w:tc>
        <w:tc>
          <w:tcPr>
            <w:tcW w:w="720" w:type="dxa"/>
            <w:tcBorders>
              <w:top w:val="single" w:sz="4" w:space="0" w:color="auto"/>
            </w:tcBorders>
            <w:vAlign w:val="center"/>
          </w:tcPr>
          <w:p w:rsidR="00140188" w:rsidRPr="00F134CE" w:rsidRDefault="00140188" w:rsidP="0097164A">
            <w:pPr>
              <w:jc w:val="center"/>
              <w:rPr>
                <w:color w:val="000000" w:themeColor="text1"/>
                <w:sz w:val="22"/>
                <w:szCs w:val="22"/>
              </w:rPr>
            </w:pPr>
            <w:proofErr w:type="spellStart"/>
            <w:r w:rsidRPr="00F134CE">
              <w:rPr>
                <w:b/>
                <w:i/>
                <w:color w:val="000000" w:themeColor="text1"/>
              </w:rPr>
              <w:t>U</w:t>
            </w:r>
            <w:r w:rsidRPr="00F134CE">
              <w:rPr>
                <w:b/>
                <w:color w:val="000000" w:themeColor="text1"/>
                <w:vertAlign w:val="superscript"/>
              </w:rPr>
              <w:t>b</w:t>
            </w:r>
            <w:proofErr w:type="spellEnd"/>
          </w:p>
        </w:tc>
        <w:tc>
          <w:tcPr>
            <w:tcW w:w="994" w:type="dxa"/>
            <w:gridSpan w:val="3"/>
            <w:tcBorders>
              <w:top w:val="single" w:sz="4" w:space="0" w:color="auto"/>
            </w:tcBorders>
            <w:vAlign w:val="center"/>
          </w:tcPr>
          <w:p w:rsidR="00140188" w:rsidRPr="00F134CE" w:rsidRDefault="00140188" w:rsidP="0097164A">
            <w:pPr>
              <w:jc w:val="right"/>
              <w:rPr>
                <w:color w:val="000000" w:themeColor="text1"/>
                <w:sz w:val="22"/>
                <w:szCs w:val="22"/>
              </w:rPr>
            </w:pPr>
            <w:proofErr w:type="spellStart"/>
            <w:r w:rsidRPr="00F134CE">
              <w:rPr>
                <w:b/>
                <w:i/>
                <w:color w:val="000000" w:themeColor="text1"/>
              </w:rPr>
              <w:t>U</w:t>
            </w:r>
            <w:r w:rsidRPr="00F134CE">
              <w:rPr>
                <w:b/>
                <w:color w:val="000000" w:themeColor="text1"/>
                <w:vertAlign w:val="superscript"/>
              </w:rPr>
              <w:t>c</w:t>
            </w:r>
            <w:proofErr w:type="spellEnd"/>
            <w:r w:rsidRPr="00F134CE">
              <w:rPr>
                <w:b/>
                <w:color w:val="000000" w:themeColor="text1"/>
              </w:rPr>
              <w:t>, %</w:t>
            </w:r>
          </w:p>
        </w:tc>
      </w:tr>
      <w:tr w:rsidR="00140188" w:rsidRPr="00F134CE" w:rsidTr="00C92430">
        <w:trPr>
          <w:gridAfter w:val="1"/>
          <w:wAfter w:w="202" w:type="dxa"/>
          <w:trHeight w:val="458"/>
        </w:trPr>
        <w:tc>
          <w:tcPr>
            <w:tcW w:w="9734" w:type="dxa"/>
            <w:gridSpan w:val="14"/>
            <w:tcBorders>
              <w:top w:val="single" w:sz="4" w:space="0" w:color="auto"/>
            </w:tcBorders>
            <w:vAlign w:val="center"/>
          </w:tcPr>
          <w:p w:rsidR="00140188" w:rsidRPr="00F134CE" w:rsidRDefault="00140188" w:rsidP="0097164A">
            <w:pPr>
              <w:jc w:val="center"/>
              <w:rPr>
                <w:color w:val="000000" w:themeColor="text1"/>
                <w:sz w:val="22"/>
                <w:szCs w:val="22"/>
              </w:rPr>
            </w:pPr>
            <w:r w:rsidRPr="00F134CE">
              <w:rPr>
                <w:b/>
                <w:color w:val="000000" w:themeColor="text1"/>
              </w:rPr>
              <w:t>25(OH)D</w:t>
            </w:r>
            <w:r w:rsidRPr="00F134CE">
              <w:rPr>
                <w:b/>
                <w:color w:val="000000" w:themeColor="text1"/>
                <w:vertAlign w:val="subscript"/>
              </w:rPr>
              <w:t>2</w:t>
            </w:r>
          </w:p>
        </w:tc>
      </w:tr>
      <w:tr w:rsidR="00140188" w:rsidRPr="00F134CE" w:rsidTr="00C92430">
        <w:trPr>
          <w:trHeight w:val="432"/>
        </w:trPr>
        <w:tc>
          <w:tcPr>
            <w:tcW w:w="1294" w:type="dxa"/>
            <w:tcBorders>
              <w:top w:val="single" w:sz="4" w:space="0" w:color="auto"/>
            </w:tcBorders>
            <w:vAlign w:val="center"/>
          </w:tcPr>
          <w:p w:rsidR="00140188" w:rsidRPr="00F134CE" w:rsidRDefault="00C92430" w:rsidP="0097164A">
            <w:pPr>
              <w:rPr>
                <w:color w:val="000000" w:themeColor="text1"/>
                <w:sz w:val="22"/>
                <w:szCs w:val="22"/>
              </w:rPr>
            </w:pPr>
            <w:r w:rsidRPr="00F134CE">
              <w:rPr>
                <w:color w:val="000000" w:themeColor="text1"/>
                <w:sz w:val="22"/>
                <w:szCs w:val="22"/>
              </w:rPr>
              <w:t>3.01</w:t>
            </w:r>
          </w:p>
        </w:tc>
        <w:tc>
          <w:tcPr>
            <w:tcW w:w="899" w:type="dxa"/>
            <w:gridSpan w:val="2"/>
            <w:tcBorders>
              <w:top w:val="single" w:sz="4" w:space="0" w:color="auto"/>
            </w:tcBorders>
            <w:vAlign w:val="center"/>
          </w:tcPr>
          <w:p w:rsidR="00140188" w:rsidRPr="00F134CE" w:rsidRDefault="00C92430" w:rsidP="0097164A">
            <w:pPr>
              <w:rPr>
                <w:color w:val="000000" w:themeColor="text1"/>
                <w:sz w:val="22"/>
                <w:szCs w:val="22"/>
              </w:rPr>
            </w:pPr>
            <w:r w:rsidRPr="00F134CE">
              <w:rPr>
                <w:color w:val="000000" w:themeColor="text1"/>
                <w:sz w:val="22"/>
                <w:szCs w:val="22"/>
              </w:rPr>
              <w:t>0.072</w:t>
            </w:r>
          </w:p>
        </w:tc>
        <w:tc>
          <w:tcPr>
            <w:tcW w:w="900" w:type="dxa"/>
            <w:tcBorders>
              <w:top w:val="single" w:sz="4" w:space="0" w:color="auto"/>
              <w:right w:val="single" w:sz="4" w:space="0" w:color="auto"/>
            </w:tcBorders>
            <w:vAlign w:val="center"/>
          </w:tcPr>
          <w:p w:rsidR="00140188" w:rsidRPr="00F134CE" w:rsidRDefault="00C92430" w:rsidP="0097164A">
            <w:pPr>
              <w:rPr>
                <w:color w:val="000000" w:themeColor="text1"/>
                <w:sz w:val="22"/>
                <w:szCs w:val="22"/>
              </w:rPr>
            </w:pPr>
            <w:r w:rsidRPr="00F134CE">
              <w:rPr>
                <w:color w:val="000000" w:themeColor="text1"/>
                <w:sz w:val="22"/>
                <w:szCs w:val="22"/>
              </w:rPr>
              <w:t>0.041</w:t>
            </w:r>
          </w:p>
        </w:tc>
        <w:tc>
          <w:tcPr>
            <w:tcW w:w="990" w:type="dxa"/>
            <w:tcBorders>
              <w:top w:val="single" w:sz="4" w:space="0" w:color="auto"/>
              <w:left w:val="single" w:sz="4" w:space="0" w:color="auto"/>
            </w:tcBorders>
            <w:vAlign w:val="center"/>
          </w:tcPr>
          <w:p w:rsidR="00140188" w:rsidRPr="00F134CE" w:rsidRDefault="00140188" w:rsidP="00C92430">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024</w:t>
            </w:r>
          </w:p>
        </w:tc>
        <w:tc>
          <w:tcPr>
            <w:tcW w:w="1233" w:type="dxa"/>
            <w:tcBorders>
              <w:top w:val="single" w:sz="4" w:space="0" w:color="auto"/>
            </w:tcBorders>
            <w:vAlign w:val="center"/>
          </w:tcPr>
          <w:p w:rsidR="00140188" w:rsidRPr="00F134CE" w:rsidRDefault="00140188" w:rsidP="0097164A">
            <w:pPr>
              <w:rPr>
                <w:color w:val="000000" w:themeColor="text1"/>
                <w:sz w:val="22"/>
                <w:szCs w:val="22"/>
              </w:rPr>
            </w:pPr>
            <w:r w:rsidRPr="00F134CE">
              <w:rPr>
                <w:color w:val="000000" w:themeColor="text1"/>
                <w:sz w:val="22"/>
                <w:szCs w:val="22"/>
              </w:rPr>
              <w:t>2.5e-3</w:t>
            </w:r>
          </w:p>
        </w:tc>
        <w:tc>
          <w:tcPr>
            <w:tcW w:w="1016" w:type="dxa"/>
            <w:gridSpan w:val="2"/>
            <w:tcBorders>
              <w:top w:val="single" w:sz="4" w:space="0" w:color="auto"/>
            </w:tcBorders>
            <w:vAlign w:val="center"/>
          </w:tcPr>
          <w:p w:rsidR="00140188" w:rsidRPr="00F134CE" w:rsidRDefault="00140188" w:rsidP="0097164A">
            <w:pPr>
              <w:rPr>
                <w:color w:val="000000" w:themeColor="text1"/>
                <w:sz w:val="22"/>
                <w:szCs w:val="22"/>
              </w:rPr>
            </w:pPr>
            <w:r w:rsidRPr="00F134CE">
              <w:rPr>
                <w:color w:val="000000" w:themeColor="text1"/>
                <w:sz w:val="22"/>
                <w:szCs w:val="22"/>
              </w:rPr>
              <w:t>8.7e-7</w:t>
            </w:r>
          </w:p>
        </w:tc>
        <w:tc>
          <w:tcPr>
            <w:tcW w:w="990" w:type="dxa"/>
            <w:tcBorders>
              <w:top w:val="single" w:sz="4" w:space="0" w:color="auto"/>
              <w:right w:val="single" w:sz="4" w:space="0" w:color="auto"/>
            </w:tcBorders>
            <w:vAlign w:val="center"/>
          </w:tcPr>
          <w:p w:rsidR="00140188" w:rsidRPr="00F134CE" w:rsidRDefault="00140188" w:rsidP="00C92430">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030</w:t>
            </w:r>
          </w:p>
        </w:tc>
        <w:tc>
          <w:tcPr>
            <w:tcW w:w="900" w:type="dxa"/>
            <w:gridSpan w:val="2"/>
            <w:tcBorders>
              <w:top w:val="single" w:sz="4" w:space="0" w:color="auto"/>
              <w:left w:val="single" w:sz="4" w:space="0" w:color="auto"/>
            </w:tcBorders>
            <w:vAlign w:val="center"/>
          </w:tcPr>
          <w:p w:rsidR="00140188" w:rsidRPr="00F134CE" w:rsidRDefault="00140188" w:rsidP="00C92430">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057</w:t>
            </w:r>
          </w:p>
        </w:tc>
        <w:tc>
          <w:tcPr>
            <w:tcW w:w="720" w:type="dxa"/>
            <w:tcBorders>
              <w:top w:val="single" w:sz="4" w:space="0" w:color="auto"/>
            </w:tcBorders>
            <w:vAlign w:val="center"/>
          </w:tcPr>
          <w:p w:rsidR="00140188" w:rsidRPr="00F134CE" w:rsidRDefault="00140188" w:rsidP="00C92430">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113</w:t>
            </w:r>
          </w:p>
        </w:tc>
        <w:tc>
          <w:tcPr>
            <w:tcW w:w="994" w:type="dxa"/>
            <w:gridSpan w:val="3"/>
            <w:tcBorders>
              <w:top w:val="single" w:sz="4" w:space="0" w:color="auto"/>
            </w:tcBorders>
            <w:vAlign w:val="center"/>
          </w:tcPr>
          <w:p w:rsidR="00140188" w:rsidRPr="00F134CE" w:rsidRDefault="00140188" w:rsidP="00C92430">
            <w:pPr>
              <w:jc w:val="center"/>
              <w:rPr>
                <w:color w:val="000000" w:themeColor="text1"/>
                <w:sz w:val="22"/>
                <w:szCs w:val="22"/>
              </w:rPr>
            </w:pPr>
            <w:r w:rsidRPr="00F134CE">
              <w:rPr>
                <w:color w:val="000000" w:themeColor="text1"/>
                <w:sz w:val="22"/>
                <w:szCs w:val="22"/>
              </w:rPr>
              <w:t>3.</w:t>
            </w:r>
            <w:r w:rsidR="00C92430" w:rsidRPr="00F134CE">
              <w:rPr>
                <w:color w:val="000000" w:themeColor="text1"/>
                <w:sz w:val="22"/>
                <w:szCs w:val="22"/>
              </w:rPr>
              <w:t>8</w:t>
            </w:r>
          </w:p>
        </w:tc>
      </w:tr>
      <w:tr w:rsidR="00140188" w:rsidRPr="00F134CE" w:rsidTr="00C92430">
        <w:trPr>
          <w:trHeight w:val="432"/>
        </w:trPr>
        <w:tc>
          <w:tcPr>
            <w:tcW w:w="1294" w:type="dxa"/>
            <w:vAlign w:val="center"/>
          </w:tcPr>
          <w:p w:rsidR="00140188" w:rsidRPr="00F134CE" w:rsidRDefault="00140188">
            <w:pPr>
              <w:rPr>
                <w:color w:val="000000" w:themeColor="text1"/>
                <w:sz w:val="22"/>
                <w:szCs w:val="22"/>
              </w:rPr>
            </w:pPr>
            <w:r w:rsidRPr="00F134CE">
              <w:rPr>
                <w:color w:val="000000" w:themeColor="text1"/>
                <w:sz w:val="22"/>
                <w:szCs w:val="22"/>
              </w:rPr>
              <w:t>3.</w:t>
            </w:r>
            <w:r w:rsidR="00C92430" w:rsidRPr="00F134CE">
              <w:rPr>
                <w:color w:val="000000" w:themeColor="text1"/>
                <w:sz w:val="22"/>
                <w:szCs w:val="22"/>
              </w:rPr>
              <w:t>15</w:t>
            </w:r>
          </w:p>
        </w:tc>
        <w:tc>
          <w:tcPr>
            <w:tcW w:w="899" w:type="dxa"/>
            <w:gridSpan w:val="2"/>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066</w:t>
            </w:r>
          </w:p>
        </w:tc>
        <w:tc>
          <w:tcPr>
            <w:tcW w:w="90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038</w:t>
            </w:r>
          </w:p>
        </w:tc>
        <w:tc>
          <w:tcPr>
            <w:tcW w:w="990" w:type="dxa"/>
            <w:tcBorders>
              <w:left w:val="single" w:sz="4" w:space="0" w:color="auto"/>
            </w:tcBorders>
            <w:vAlign w:val="center"/>
          </w:tcPr>
          <w:p w:rsidR="00140188" w:rsidRPr="00F134CE" w:rsidRDefault="00140188" w:rsidP="0097164A">
            <w:pPr>
              <w:rPr>
                <w:color w:val="000000" w:themeColor="text1"/>
                <w:sz w:val="22"/>
                <w:szCs w:val="22"/>
              </w:rPr>
            </w:pPr>
            <w:r w:rsidRPr="00F134CE">
              <w:rPr>
                <w:color w:val="000000" w:themeColor="text1"/>
                <w:sz w:val="22"/>
                <w:szCs w:val="22"/>
              </w:rPr>
              <w:t>0.025</w:t>
            </w:r>
          </w:p>
        </w:tc>
        <w:tc>
          <w:tcPr>
            <w:tcW w:w="1233" w:type="dxa"/>
            <w:vAlign w:val="center"/>
          </w:tcPr>
          <w:p w:rsidR="00140188" w:rsidRPr="00F134CE" w:rsidRDefault="00140188" w:rsidP="0097164A">
            <w:pPr>
              <w:rPr>
                <w:color w:val="000000" w:themeColor="text1"/>
                <w:sz w:val="22"/>
                <w:szCs w:val="22"/>
              </w:rPr>
            </w:pPr>
            <w:r w:rsidRPr="00F134CE">
              <w:rPr>
                <w:color w:val="000000" w:themeColor="text1"/>
                <w:sz w:val="22"/>
                <w:szCs w:val="22"/>
              </w:rPr>
              <w:t>2.5e-3</w:t>
            </w:r>
          </w:p>
        </w:tc>
        <w:tc>
          <w:tcPr>
            <w:tcW w:w="1016" w:type="dxa"/>
            <w:gridSpan w:val="2"/>
            <w:vAlign w:val="center"/>
          </w:tcPr>
          <w:p w:rsidR="00140188" w:rsidRPr="00F134CE" w:rsidRDefault="00140188" w:rsidP="0097164A">
            <w:r w:rsidRPr="00F134CE">
              <w:rPr>
                <w:color w:val="000000" w:themeColor="text1"/>
                <w:sz w:val="22"/>
                <w:szCs w:val="22"/>
              </w:rPr>
              <w:t>8.7e-7</w:t>
            </w:r>
          </w:p>
        </w:tc>
        <w:tc>
          <w:tcPr>
            <w:tcW w:w="99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032</w:t>
            </w:r>
          </w:p>
        </w:tc>
        <w:tc>
          <w:tcPr>
            <w:tcW w:w="900" w:type="dxa"/>
            <w:gridSpan w:val="2"/>
            <w:tcBorders>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055</w:t>
            </w:r>
          </w:p>
        </w:tc>
        <w:tc>
          <w:tcPr>
            <w:tcW w:w="720" w:type="dxa"/>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111</w:t>
            </w:r>
          </w:p>
        </w:tc>
        <w:tc>
          <w:tcPr>
            <w:tcW w:w="994" w:type="dxa"/>
            <w:gridSpan w:val="3"/>
            <w:vAlign w:val="center"/>
          </w:tcPr>
          <w:p w:rsidR="00140188" w:rsidRPr="00F134CE" w:rsidRDefault="00C92430" w:rsidP="0097164A">
            <w:pPr>
              <w:jc w:val="center"/>
              <w:rPr>
                <w:color w:val="000000" w:themeColor="text1"/>
                <w:sz w:val="22"/>
                <w:szCs w:val="22"/>
              </w:rPr>
            </w:pPr>
            <w:r w:rsidRPr="00F134CE">
              <w:rPr>
                <w:color w:val="000000" w:themeColor="text1"/>
                <w:sz w:val="22"/>
                <w:szCs w:val="22"/>
              </w:rPr>
              <w:t>3.5</w:t>
            </w:r>
          </w:p>
        </w:tc>
      </w:tr>
      <w:tr w:rsidR="00140188" w:rsidRPr="00F134CE" w:rsidTr="00C92430">
        <w:trPr>
          <w:trHeight w:val="432"/>
        </w:trPr>
        <w:tc>
          <w:tcPr>
            <w:tcW w:w="1294" w:type="dxa"/>
            <w:vAlign w:val="center"/>
          </w:tcPr>
          <w:p w:rsidR="00140188" w:rsidRPr="00F134CE" w:rsidRDefault="00C92430" w:rsidP="0097164A">
            <w:pPr>
              <w:rPr>
                <w:color w:val="000000" w:themeColor="text1"/>
                <w:sz w:val="22"/>
                <w:szCs w:val="22"/>
              </w:rPr>
            </w:pPr>
            <w:r w:rsidRPr="00F134CE">
              <w:rPr>
                <w:color w:val="000000" w:themeColor="text1"/>
                <w:sz w:val="22"/>
                <w:szCs w:val="22"/>
              </w:rPr>
              <w:t>14.0</w:t>
            </w:r>
          </w:p>
        </w:tc>
        <w:tc>
          <w:tcPr>
            <w:tcW w:w="899" w:type="dxa"/>
            <w:gridSpan w:val="2"/>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212</w:t>
            </w:r>
          </w:p>
        </w:tc>
        <w:tc>
          <w:tcPr>
            <w:tcW w:w="90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122</w:t>
            </w:r>
          </w:p>
        </w:tc>
        <w:tc>
          <w:tcPr>
            <w:tcW w:w="990" w:type="dxa"/>
            <w:tcBorders>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112</w:t>
            </w:r>
          </w:p>
        </w:tc>
        <w:tc>
          <w:tcPr>
            <w:tcW w:w="1233" w:type="dxa"/>
            <w:vAlign w:val="center"/>
          </w:tcPr>
          <w:p w:rsidR="00140188" w:rsidRPr="00F134CE" w:rsidRDefault="00140188" w:rsidP="0097164A">
            <w:pPr>
              <w:rPr>
                <w:color w:val="000000" w:themeColor="text1"/>
                <w:sz w:val="22"/>
                <w:szCs w:val="22"/>
              </w:rPr>
            </w:pPr>
            <w:r w:rsidRPr="00F134CE">
              <w:rPr>
                <w:color w:val="000000" w:themeColor="text1"/>
                <w:sz w:val="22"/>
                <w:szCs w:val="22"/>
              </w:rPr>
              <w:t>2.5e-3</w:t>
            </w:r>
          </w:p>
        </w:tc>
        <w:tc>
          <w:tcPr>
            <w:tcW w:w="1016" w:type="dxa"/>
            <w:gridSpan w:val="2"/>
            <w:vAlign w:val="center"/>
          </w:tcPr>
          <w:p w:rsidR="00140188" w:rsidRPr="00F134CE" w:rsidRDefault="00140188" w:rsidP="0097164A">
            <w:r w:rsidRPr="00F134CE">
              <w:rPr>
                <w:color w:val="000000" w:themeColor="text1"/>
                <w:sz w:val="22"/>
                <w:szCs w:val="22"/>
              </w:rPr>
              <w:t>8.7e-7</w:t>
            </w:r>
          </w:p>
        </w:tc>
        <w:tc>
          <w:tcPr>
            <w:tcW w:w="99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140</w:t>
            </w:r>
          </w:p>
        </w:tc>
        <w:tc>
          <w:tcPr>
            <w:tcW w:w="900" w:type="dxa"/>
            <w:gridSpan w:val="2"/>
            <w:tcBorders>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217</w:t>
            </w:r>
          </w:p>
        </w:tc>
        <w:tc>
          <w:tcPr>
            <w:tcW w:w="720" w:type="dxa"/>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434</w:t>
            </w:r>
          </w:p>
        </w:tc>
        <w:tc>
          <w:tcPr>
            <w:tcW w:w="994" w:type="dxa"/>
            <w:gridSpan w:val="3"/>
            <w:vAlign w:val="center"/>
          </w:tcPr>
          <w:p w:rsidR="00140188" w:rsidRPr="00F134CE" w:rsidRDefault="00C92430" w:rsidP="0097164A">
            <w:pPr>
              <w:jc w:val="center"/>
              <w:rPr>
                <w:color w:val="000000" w:themeColor="text1"/>
                <w:sz w:val="22"/>
                <w:szCs w:val="22"/>
              </w:rPr>
            </w:pPr>
            <w:r w:rsidRPr="00F134CE">
              <w:rPr>
                <w:color w:val="000000" w:themeColor="text1"/>
                <w:sz w:val="22"/>
                <w:szCs w:val="22"/>
              </w:rPr>
              <w:t>3.1</w:t>
            </w:r>
          </w:p>
        </w:tc>
      </w:tr>
      <w:tr w:rsidR="00140188" w:rsidRPr="00F134CE" w:rsidTr="00C92430">
        <w:trPr>
          <w:trHeight w:val="432"/>
        </w:trPr>
        <w:tc>
          <w:tcPr>
            <w:tcW w:w="1294" w:type="dxa"/>
            <w:vAlign w:val="center"/>
          </w:tcPr>
          <w:p w:rsidR="00140188" w:rsidRPr="00F134CE" w:rsidRDefault="00C92430" w:rsidP="0097164A">
            <w:pPr>
              <w:rPr>
                <w:color w:val="000000" w:themeColor="text1"/>
                <w:sz w:val="22"/>
                <w:szCs w:val="22"/>
              </w:rPr>
            </w:pPr>
            <w:r w:rsidRPr="00F134CE">
              <w:rPr>
                <w:color w:val="000000" w:themeColor="text1"/>
                <w:sz w:val="22"/>
                <w:szCs w:val="22"/>
              </w:rPr>
              <w:t>14.7</w:t>
            </w:r>
          </w:p>
        </w:tc>
        <w:tc>
          <w:tcPr>
            <w:tcW w:w="899" w:type="dxa"/>
            <w:gridSpan w:val="2"/>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334</w:t>
            </w:r>
          </w:p>
        </w:tc>
        <w:tc>
          <w:tcPr>
            <w:tcW w:w="90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193</w:t>
            </w:r>
          </w:p>
        </w:tc>
        <w:tc>
          <w:tcPr>
            <w:tcW w:w="990" w:type="dxa"/>
            <w:tcBorders>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118</w:t>
            </w:r>
          </w:p>
        </w:tc>
        <w:tc>
          <w:tcPr>
            <w:tcW w:w="1233" w:type="dxa"/>
            <w:vAlign w:val="center"/>
          </w:tcPr>
          <w:p w:rsidR="00140188" w:rsidRPr="00F134CE" w:rsidRDefault="00140188" w:rsidP="0097164A">
            <w:pPr>
              <w:rPr>
                <w:color w:val="000000" w:themeColor="text1"/>
                <w:sz w:val="22"/>
                <w:szCs w:val="22"/>
              </w:rPr>
            </w:pPr>
            <w:r w:rsidRPr="00F134CE">
              <w:rPr>
                <w:color w:val="000000" w:themeColor="text1"/>
                <w:sz w:val="22"/>
                <w:szCs w:val="22"/>
              </w:rPr>
              <w:t>2.5e-3</w:t>
            </w:r>
          </w:p>
        </w:tc>
        <w:tc>
          <w:tcPr>
            <w:tcW w:w="1016" w:type="dxa"/>
            <w:gridSpan w:val="2"/>
            <w:vAlign w:val="center"/>
          </w:tcPr>
          <w:p w:rsidR="00140188" w:rsidRPr="00F134CE" w:rsidRDefault="00140188" w:rsidP="0097164A">
            <w:r w:rsidRPr="00F134CE">
              <w:rPr>
                <w:color w:val="000000" w:themeColor="text1"/>
                <w:sz w:val="22"/>
                <w:szCs w:val="22"/>
              </w:rPr>
              <w:t>8.7e-7</w:t>
            </w:r>
          </w:p>
        </w:tc>
        <w:tc>
          <w:tcPr>
            <w:tcW w:w="99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147</w:t>
            </w:r>
          </w:p>
        </w:tc>
        <w:tc>
          <w:tcPr>
            <w:tcW w:w="900" w:type="dxa"/>
            <w:gridSpan w:val="2"/>
            <w:tcBorders>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270</w:t>
            </w:r>
          </w:p>
        </w:tc>
        <w:tc>
          <w:tcPr>
            <w:tcW w:w="720" w:type="dxa"/>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539</w:t>
            </w:r>
          </w:p>
        </w:tc>
        <w:tc>
          <w:tcPr>
            <w:tcW w:w="994" w:type="dxa"/>
            <w:gridSpan w:val="3"/>
            <w:vAlign w:val="center"/>
          </w:tcPr>
          <w:p w:rsidR="00140188" w:rsidRPr="00F134CE" w:rsidRDefault="00C92430" w:rsidP="0097164A">
            <w:pPr>
              <w:jc w:val="center"/>
              <w:rPr>
                <w:color w:val="000000" w:themeColor="text1"/>
                <w:sz w:val="22"/>
                <w:szCs w:val="22"/>
              </w:rPr>
            </w:pPr>
            <w:r w:rsidRPr="00F134CE">
              <w:rPr>
                <w:color w:val="000000" w:themeColor="text1"/>
                <w:sz w:val="22"/>
                <w:szCs w:val="22"/>
              </w:rPr>
              <w:t>3.7</w:t>
            </w:r>
          </w:p>
        </w:tc>
      </w:tr>
      <w:tr w:rsidR="00140188" w:rsidRPr="00F134CE" w:rsidTr="00C92430">
        <w:trPr>
          <w:trHeight w:val="432"/>
        </w:trPr>
        <w:tc>
          <w:tcPr>
            <w:tcW w:w="1294" w:type="dxa"/>
            <w:vAlign w:val="center"/>
          </w:tcPr>
          <w:p w:rsidR="00140188" w:rsidRPr="00F134CE" w:rsidRDefault="00C92430">
            <w:pPr>
              <w:rPr>
                <w:color w:val="000000" w:themeColor="text1"/>
                <w:sz w:val="22"/>
                <w:szCs w:val="22"/>
              </w:rPr>
            </w:pPr>
            <w:r w:rsidRPr="00F134CE">
              <w:rPr>
                <w:color w:val="000000" w:themeColor="text1"/>
                <w:sz w:val="22"/>
                <w:szCs w:val="22"/>
              </w:rPr>
              <w:t>17.1</w:t>
            </w:r>
          </w:p>
        </w:tc>
        <w:tc>
          <w:tcPr>
            <w:tcW w:w="899" w:type="dxa"/>
            <w:gridSpan w:val="2"/>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404</w:t>
            </w:r>
          </w:p>
        </w:tc>
        <w:tc>
          <w:tcPr>
            <w:tcW w:w="90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233</w:t>
            </w:r>
          </w:p>
        </w:tc>
        <w:tc>
          <w:tcPr>
            <w:tcW w:w="990" w:type="dxa"/>
            <w:tcBorders>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sidDel="00C92430">
              <w:rPr>
                <w:color w:val="000000" w:themeColor="text1"/>
                <w:sz w:val="22"/>
                <w:szCs w:val="22"/>
              </w:rPr>
              <w:t xml:space="preserve"> </w:t>
            </w:r>
            <w:r w:rsidR="00C92430" w:rsidRPr="00F134CE">
              <w:rPr>
                <w:color w:val="000000" w:themeColor="text1"/>
                <w:sz w:val="22"/>
                <w:szCs w:val="22"/>
              </w:rPr>
              <w:t>136</w:t>
            </w:r>
          </w:p>
        </w:tc>
        <w:tc>
          <w:tcPr>
            <w:tcW w:w="1233" w:type="dxa"/>
            <w:vAlign w:val="center"/>
          </w:tcPr>
          <w:p w:rsidR="00140188" w:rsidRPr="00F134CE" w:rsidRDefault="00140188" w:rsidP="0097164A">
            <w:pPr>
              <w:rPr>
                <w:color w:val="000000" w:themeColor="text1"/>
                <w:sz w:val="22"/>
                <w:szCs w:val="22"/>
              </w:rPr>
            </w:pPr>
            <w:r w:rsidRPr="00F134CE">
              <w:rPr>
                <w:color w:val="000000" w:themeColor="text1"/>
                <w:sz w:val="22"/>
                <w:szCs w:val="22"/>
              </w:rPr>
              <w:t>2.5e-3</w:t>
            </w:r>
          </w:p>
        </w:tc>
        <w:tc>
          <w:tcPr>
            <w:tcW w:w="1016" w:type="dxa"/>
            <w:gridSpan w:val="2"/>
            <w:vAlign w:val="center"/>
          </w:tcPr>
          <w:p w:rsidR="00140188" w:rsidRPr="00F134CE" w:rsidRDefault="00140188" w:rsidP="0097164A">
            <w:r w:rsidRPr="00F134CE">
              <w:rPr>
                <w:color w:val="000000" w:themeColor="text1"/>
                <w:sz w:val="22"/>
                <w:szCs w:val="22"/>
              </w:rPr>
              <w:t>8.7e-7</w:t>
            </w:r>
          </w:p>
        </w:tc>
        <w:tc>
          <w:tcPr>
            <w:tcW w:w="99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171</w:t>
            </w:r>
          </w:p>
        </w:tc>
        <w:tc>
          <w:tcPr>
            <w:tcW w:w="900" w:type="dxa"/>
            <w:gridSpan w:val="2"/>
            <w:tcBorders>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320</w:t>
            </w:r>
          </w:p>
        </w:tc>
        <w:tc>
          <w:tcPr>
            <w:tcW w:w="720" w:type="dxa"/>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639</w:t>
            </w:r>
          </w:p>
        </w:tc>
        <w:tc>
          <w:tcPr>
            <w:tcW w:w="994" w:type="dxa"/>
            <w:gridSpan w:val="3"/>
            <w:vAlign w:val="center"/>
          </w:tcPr>
          <w:p w:rsidR="00140188" w:rsidRPr="00F134CE" w:rsidRDefault="00C92430" w:rsidP="0097164A">
            <w:pPr>
              <w:jc w:val="center"/>
              <w:rPr>
                <w:color w:val="000000" w:themeColor="text1"/>
                <w:sz w:val="22"/>
                <w:szCs w:val="22"/>
              </w:rPr>
            </w:pPr>
            <w:r w:rsidRPr="00F134CE">
              <w:rPr>
                <w:color w:val="000000" w:themeColor="text1"/>
                <w:sz w:val="22"/>
                <w:szCs w:val="22"/>
              </w:rPr>
              <w:t>3.7</w:t>
            </w:r>
          </w:p>
        </w:tc>
      </w:tr>
      <w:tr w:rsidR="00140188" w:rsidRPr="00F134CE" w:rsidTr="00140188">
        <w:trPr>
          <w:gridAfter w:val="1"/>
          <w:wAfter w:w="202" w:type="dxa"/>
          <w:trHeight w:val="440"/>
        </w:trPr>
        <w:tc>
          <w:tcPr>
            <w:tcW w:w="9734" w:type="dxa"/>
            <w:gridSpan w:val="14"/>
            <w:tcBorders>
              <w:top w:val="single" w:sz="4" w:space="0" w:color="auto"/>
              <w:bottom w:val="single" w:sz="4" w:space="0" w:color="auto"/>
            </w:tcBorders>
            <w:vAlign w:val="center"/>
          </w:tcPr>
          <w:p w:rsidR="00140188" w:rsidRPr="00F134CE" w:rsidRDefault="00140188" w:rsidP="0097164A">
            <w:pPr>
              <w:jc w:val="center"/>
              <w:rPr>
                <w:b/>
                <w:color w:val="000000" w:themeColor="text1"/>
              </w:rPr>
            </w:pPr>
            <w:r w:rsidRPr="00F134CE">
              <w:rPr>
                <w:b/>
                <w:color w:val="000000" w:themeColor="text1"/>
              </w:rPr>
              <w:t>25(OH)D</w:t>
            </w:r>
            <w:r w:rsidRPr="00F134CE">
              <w:rPr>
                <w:b/>
                <w:color w:val="000000" w:themeColor="text1"/>
                <w:vertAlign w:val="subscript"/>
              </w:rPr>
              <w:t>3</w:t>
            </w:r>
          </w:p>
        </w:tc>
      </w:tr>
      <w:tr w:rsidR="00140188" w:rsidRPr="00F134CE" w:rsidTr="00C92430">
        <w:trPr>
          <w:trHeight w:val="432"/>
        </w:trPr>
        <w:tc>
          <w:tcPr>
            <w:tcW w:w="1294" w:type="dxa"/>
            <w:tcBorders>
              <w:top w:val="single" w:sz="4" w:space="0" w:color="auto"/>
            </w:tcBorders>
            <w:vAlign w:val="center"/>
          </w:tcPr>
          <w:p w:rsidR="00140188" w:rsidRPr="00F134CE" w:rsidRDefault="00C92430" w:rsidP="0097164A">
            <w:pPr>
              <w:rPr>
                <w:color w:val="000000" w:themeColor="text1"/>
                <w:sz w:val="22"/>
                <w:szCs w:val="22"/>
              </w:rPr>
            </w:pPr>
            <w:r w:rsidRPr="00F134CE">
              <w:rPr>
                <w:color w:val="000000" w:themeColor="text1"/>
                <w:sz w:val="22"/>
                <w:szCs w:val="22"/>
              </w:rPr>
              <w:t>16.4</w:t>
            </w:r>
          </w:p>
        </w:tc>
        <w:tc>
          <w:tcPr>
            <w:tcW w:w="899" w:type="dxa"/>
            <w:gridSpan w:val="2"/>
            <w:tcBorders>
              <w:top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424</w:t>
            </w:r>
          </w:p>
        </w:tc>
        <w:tc>
          <w:tcPr>
            <w:tcW w:w="900" w:type="dxa"/>
            <w:tcBorders>
              <w:top w:val="single" w:sz="4" w:space="0" w:color="auto"/>
              <w:right w:val="single" w:sz="4" w:space="0" w:color="auto"/>
            </w:tcBorders>
            <w:vAlign w:val="center"/>
          </w:tcPr>
          <w:p w:rsidR="00140188" w:rsidRPr="00F134CE" w:rsidRDefault="00140188" w:rsidP="0097164A">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245</w:t>
            </w:r>
          </w:p>
        </w:tc>
        <w:tc>
          <w:tcPr>
            <w:tcW w:w="990" w:type="dxa"/>
            <w:tcBorders>
              <w:top w:val="single" w:sz="4" w:space="0" w:color="auto"/>
              <w:left w:val="single" w:sz="4" w:space="0" w:color="auto"/>
            </w:tcBorders>
            <w:vAlign w:val="center"/>
          </w:tcPr>
          <w:p w:rsidR="00140188" w:rsidRPr="00F134CE" w:rsidRDefault="00140188" w:rsidP="0097164A">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131</w:t>
            </w:r>
          </w:p>
        </w:tc>
        <w:tc>
          <w:tcPr>
            <w:tcW w:w="1233" w:type="dxa"/>
            <w:tcBorders>
              <w:top w:val="single" w:sz="4" w:space="0" w:color="auto"/>
            </w:tcBorders>
            <w:vAlign w:val="center"/>
          </w:tcPr>
          <w:p w:rsidR="00140188" w:rsidRPr="00F134CE" w:rsidRDefault="00140188" w:rsidP="0097164A">
            <w:pPr>
              <w:rPr>
                <w:color w:val="000000" w:themeColor="text1"/>
                <w:sz w:val="22"/>
                <w:szCs w:val="22"/>
              </w:rPr>
            </w:pPr>
            <w:r w:rsidRPr="00F134CE">
              <w:rPr>
                <w:color w:val="000000" w:themeColor="text1"/>
                <w:sz w:val="22"/>
                <w:szCs w:val="22"/>
              </w:rPr>
              <w:t>2.5e-3</w:t>
            </w:r>
          </w:p>
        </w:tc>
        <w:tc>
          <w:tcPr>
            <w:tcW w:w="1016" w:type="dxa"/>
            <w:gridSpan w:val="2"/>
            <w:tcBorders>
              <w:top w:val="single" w:sz="4" w:space="0" w:color="auto"/>
            </w:tcBorders>
            <w:vAlign w:val="center"/>
          </w:tcPr>
          <w:p w:rsidR="00140188" w:rsidRPr="00F134CE" w:rsidRDefault="00140188" w:rsidP="0097164A">
            <w:r w:rsidRPr="00F134CE">
              <w:rPr>
                <w:color w:val="000000" w:themeColor="text1"/>
                <w:sz w:val="22"/>
                <w:szCs w:val="22"/>
              </w:rPr>
              <w:t>8.7e-7</w:t>
            </w:r>
          </w:p>
        </w:tc>
        <w:tc>
          <w:tcPr>
            <w:tcW w:w="990" w:type="dxa"/>
            <w:tcBorders>
              <w:top w:val="single" w:sz="4" w:space="0" w:color="auto"/>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164</w:t>
            </w:r>
          </w:p>
        </w:tc>
        <w:tc>
          <w:tcPr>
            <w:tcW w:w="900" w:type="dxa"/>
            <w:gridSpan w:val="2"/>
            <w:tcBorders>
              <w:top w:val="single" w:sz="4" w:space="0" w:color="auto"/>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322</w:t>
            </w:r>
          </w:p>
        </w:tc>
        <w:tc>
          <w:tcPr>
            <w:tcW w:w="720" w:type="dxa"/>
            <w:tcBorders>
              <w:top w:val="single" w:sz="4" w:space="0" w:color="auto"/>
            </w:tcBorders>
            <w:vAlign w:val="center"/>
          </w:tcPr>
          <w:p w:rsidR="00140188" w:rsidRPr="00F134CE" w:rsidRDefault="00C92430" w:rsidP="0097164A">
            <w:pPr>
              <w:rPr>
                <w:color w:val="000000" w:themeColor="text1"/>
                <w:sz w:val="22"/>
                <w:szCs w:val="22"/>
              </w:rPr>
            </w:pPr>
            <w:r w:rsidRPr="00F134CE">
              <w:rPr>
                <w:color w:val="000000" w:themeColor="text1"/>
                <w:sz w:val="22"/>
                <w:szCs w:val="22"/>
              </w:rPr>
              <w:t>0.645</w:t>
            </w:r>
          </w:p>
        </w:tc>
        <w:tc>
          <w:tcPr>
            <w:tcW w:w="994" w:type="dxa"/>
            <w:gridSpan w:val="3"/>
            <w:tcBorders>
              <w:top w:val="single" w:sz="4" w:space="0" w:color="auto"/>
            </w:tcBorders>
            <w:vAlign w:val="center"/>
          </w:tcPr>
          <w:p w:rsidR="00140188" w:rsidRPr="00F134CE" w:rsidRDefault="00C92430" w:rsidP="0097164A">
            <w:pPr>
              <w:jc w:val="center"/>
              <w:rPr>
                <w:color w:val="000000" w:themeColor="text1"/>
                <w:sz w:val="22"/>
                <w:szCs w:val="22"/>
              </w:rPr>
            </w:pPr>
            <w:r w:rsidRPr="00F134CE">
              <w:rPr>
                <w:color w:val="000000" w:themeColor="text1"/>
                <w:sz w:val="22"/>
                <w:szCs w:val="22"/>
              </w:rPr>
              <w:t>3.9</w:t>
            </w:r>
          </w:p>
        </w:tc>
      </w:tr>
      <w:tr w:rsidR="00140188" w:rsidRPr="00F134CE" w:rsidTr="00C92430">
        <w:trPr>
          <w:trHeight w:val="432"/>
        </w:trPr>
        <w:tc>
          <w:tcPr>
            <w:tcW w:w="1294" w:type="dxa"/>
            <w:vAlign w:val="center"/>
          </w:tcPr>
          <w:p w:rsidR="00140188" w:rsidRPr="00F134CE" w:rsidRDefault="00C92430" w:rsidP="0097164A">
            <w:pPr>
              <w:rPr>
                <w:color w:val="000000" w:themeColor="text1"/>
                <w:sz w:val="22"/>
                <w:szCs w:val="22"/>
              </w:rPr>
            </w:pPr>
            <w:r w:rsidRPr="00F134CE">
              <w:rPr>
                <w:color w:val="000000" w:themeColor="text1"/>
                <w:sz w:val="22"/>
                <w:szCs w:val="22"/>
              </w:rPr>
              <w:t>23.1</w:t>
            </w:r>
          </w:p>
        </w:tc>
        <w:tc>
          <w:tcPr>
            <w:tcW w:w="899" w:type="dxa"/>
            <w:gridSpan w:val="2"/>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478</w:t>
            </w:r>
          </w:p>
        </w:tc>
        <w:tc>
          <w:tcPr>
            <w:tcW w:w="90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276</w:t>
            </w:r>
          </w:p>
        </w:tc>
        <w:tc>
          <w:tcPr>
            <w:tcW w:w="990" w:type="dxa"/>
            <w:tcBorders>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185</w:t>
            </w:r>
          </w:p>
        </w:tc>
        <w:tc>
          <w:tcPr>
            <w:tcW w:w="1233" w:type="dxa"/>
            <w:vAlign w:val="center"/>
          </w:tcPr>
          <w:p w:rsidR="00140188" w:rsidRPr="00F134CE" w:rsidRDefault="00140188" w:rsidP="0097164A">
            <w:pPr>
              <w:rPr>
                <w:color w:val="000000" w:themeColor="text1"/>
                <w:sz w:val="22"/>
                <w:szCs w:val="22"/>
              </w:rPr>
            </w:pPr>
            <w:r w:rsidRPr="00F134CE">
              <w:rPr>
                <w:color w:val="000000" w:themeColor="text1"/>
                <w:sz w:val="22"/>
                <w:szCs w:val="22"/>
              </w:rPr>
              <w:t>2.5e-3</w:t>
            </w:r>
          </w:p>
        </w:tc>
        <w:tc>
          <w:tcPr>
            <w:tcW w:w="1016" w:type="dxa"/>
            <w:gridSpan w:val="2"/>
            <w:vAlign w:val="center"/>
          </w:tcPr>
          <w:p w:rsidR="00140188" w:rsidRPr="00F134CE" w:rsidRDefault="00140188" w:rsidP="0097164A">
            <w:r w:rsidRPr="00F134CE">
              <w:rPr>
                <w:color w:val="000000" w:themeColor="text1"/>
                <w:sz w:val="22"/>
                <w:szCs w:val="22"/>
              </w:rPr>
              <w:t>8.7e-7</w:t>
            </w:r>
          </w:p>
        </w:tc>
        <w:tc>
          <w:tcPr>
            <w:tcW w:w="99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231</w:t>
            </w:r>
          </w:p>
        </w:tc>
        <w:tc>
          <w:tcPr>
            <w:tcW w:w="900" w:type="dxa"/>
            <w:gridSpan w:val="2"/>
            <w:tcBorders>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405</w:t>
            </w:r>
          </w:p>
        </w:tc>
        <w:tc>
          <w:tcPr>
            <w:tcW w:w="720" w:type="dxa"/>
            <w:vAlign w:val="center"/>
          </w:tcPr>
          <w:p w:rsidR="00140188" w:rsidRPr="00F134CE" w:rsidRDefault="00140188">
            <w:pPr>
              <w:rPr>
                <w:color w:val="000000" w:themeColor="text1"/>
                <w:sz w:val="22"/>
                <w:szCs w:val="22"/>
              </w:rPr>
            </w:pPr>
            <w:r w:rsidRPr="00F134CE">
              <w:rPr>
                <w:color w:val="000000" w:themeColor="text1"/>
                <w:sz w:val="22"/>
                <w:szCs w:val="22"/>
              </w:rPr>
              <w:t>0.</w:t>
            </w:r>
            <w:r w:rsidR="00C92430" w:rsidRPr="00F134CE">
              <w:rPr>
                <w:color w:val="000000" w:themeColor="text1"/>
                <w:sz w:val="22"/>
                <w:szCs w:val="22"/>
              </w:rPr>
              <w:t>809</w:t>
            </w:r>
          </w:p>
        </w:tc>
        <w:tc>
          <w:tcPr>
            <w:tcW w:w="994" w:type="dxa"/>
            <w:gridSpan w:val="3"/>
            <w:vAlign w:val="center"/>
          </w:tcPr>
          <w:p w:rsidR="00140188" w:rsidRPr="00F134CE" w:rsidRDefault="00C92430" w:rsidP="0097164A">
            <w:pPr>
              <w:jc w:val="center"/>
              <w:rPr>
                <w:color w:val="000000" w:themeColor="text1"/>
                <w:sz w:val="22"/>
                <w:szCs w:val="22"/>
              </w:rPr>
            </w:pPr>
            <w:r w:rsidRPr="00F134CE">
              <w:rPr>
                <w:color w:val="000000" w:themeColor="text1"/>
                <w:sz w:val="22"/>
                <w:szCs w:val="22"/>
              </w:rPr>
              <w:t>3.5</w:t>
            </w:r>
          </w:p>
        </w:tc>
      </w:tr>
      <w:tr w:rsidR="00140188" w:rsidRPr="00F134CE" w:rsidTr="00C92430">
        <w:trPr>
          <w:trHeight w:val="432"/>
        </w:trPr>
        <w:tc>
          <w:tcPr>
            <w:tcW w:w="1294" w:type="dxa"/>
            <w:vAlign w:val="center"/>
          </w:tcPr>
          <w:p w:rsidR="00140188" w:rsidRPr="00F134CE" w:rsidRDefault="0032786B" w:rsidP="0097164A">
            <w:pPr>
              <w:rPr>
                <w:color w:val="000000" w:themeColor="text1"/>
                <w:sz w:val="22"/>
                <w:szCs w:val="22"/>
              </w:rPr>
            </w:pPr>
            <w:r w:rsidRPr="00F134CE">
              <w:rPr>
                <w:color w:val="000000" w:themeColor="text1"/>
                <w:sz w:val="22"/>
                <w:szCs w:val="22"/>
              </w:rPr>
              <w:t>29.6</w:t>
            </w:r>
          </w:p>
        </w:tc>
        <w:tc>
          <w:tcPr>
            <w:tcW w:w="899" w:type="dxa"/>
            <w:gridSpan w:val="2"/>
            <w:vAlign w:val="center"/>
          </w:tcPr>
          <w:p w:rsidR="00140188" w:rsidRPr="00F134CE" w:rsidRDefault="00140188">
            <w:pPr>
              <w:rPr>
                <w:color w:val="000000" w:themeColor="text1"/>
                <w:sz w:val="22"/>
                <w:szCs w:val="22"/>
              </w:rPr>
            </w:pPr>
            <w:r w:rsidRPr="00F134CE">
              <w:rPr>
                <w:color w:val="000000" w:themeColor="text1"/>
                <w:sz w:val="22"/>
                <w:szCs w:val="22"/>
              </w:rPr>
              <w:t>0.</w:t>
            </w:r>
            <w:r w:rsidR="0032786B" w:rsidRPr="00F134CE">
              <w:rPr>
                <w:color w:val="000000" w:themeColor="text1"/>
                <w:sz w:val="22"/>
                <w:szCs w:val="22"/>
              </w:rPr>
              <w:t>568</w:t>
            </w:r>
          </w:p>
        </w:tc>
        <w:tc>
          <w:tcPr>
            <w:tcW w:w="90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32786B" w:rsidRPr="00F134CE">
              <w:rPr>
                <w:color w:val="000000" w:themeColor="text1"/>
                <w:sz w:val="22"/>
                <w:szCs w:val="22"/>
              </w:rPr>
              <w:t>328</w:t>
            </w:r>
          </w:p>
        </w:tc>
        <w:tc>
          <w:tcPr>
            <w:tcW w:w="990" w:type="dxa"/>
            <w:tcBorders>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32786B" w:rsidRPr="00F134CE">
              <w:rPr>
                <w:color w:val="000000" w:themeColor="text1"/>
                <w:sz w:val="22"/>
                <w:szCs w:val="22"/>
              </w:rPr>
              <w:t>237</w:t>
            </w:r>
          </w:p>
        </w:tc>
        <w:tc>
          <w:tcPr>
            <w:tcW w:w="1233" w:type="dxa"/>
            <w:vAlign w:val="center"/>
          </w:tcPr>
          <w:p w:rsidR="00140188" w:rsidRPr="00F134CE" w:rsidRDefault="00140188" w:rsidP="0097164A">
            <w:pPr>
              <w:rPr>
                <w:color w:val="000000" w:themeColor="text1"/>
                <w:sz w:val="22"/>
                <w:szCs w:val="22"/>
              </w:rPr>
            </w:pPr>
            <w:r w:rsidRPr="00F134CE">
              <w:rPr>
                <w:color w:val="000000" w:themeColor="text1"/>
                <w:sz w:val="22"/>
                <w:szCs w:val="22"/>
              </w:rPr>
              <w:t>2.5e-3</w:t>
            </w:r>
          </w:p>
        </w:tc>
        <w:tc>
          <w:tcPr>
            <w:tcW w:w="1016" w:type="dxa"/>
            <w:gridSpan w:val="2"/>
            <w:vAlign w:val="center"/>
          </w:tcPr>
          <w:p w:rsidR="00140188" w:rsidRPr="00F134CE" w:rsidRDefault="00140188" w:rsidP="0097164A">
            <w:r w:rsidRPr="00F134CE">
              <w:rPr>
                <w:color w:val="000000" w:themeColor="text1"/>
                <w:sz w:val="22"/>
                <w:szCs w:val="22"/>
              </w:rPr>
              <w:t>8.7e-7</w:t>
            </w:r>
          </w:p>
        </w:tc>
        <w:tc>
          <w:tcPr>
            <w:tcW w:w="990" w:type="dxa"/>
            <w:tcBorders>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32786B" w:rsidRPr="00F134CE">
              <w:rPr>
                <w:color w:val="000000" w:themeColor="text1"/>
                <w:sz w:val="22"/>
                <w:szCs w:val="22"/>
              </w:rPr>
              <w:t>296</w:t>
            </w:r>
          </w:p>
        </w:tc>
        <w:tc>
          <w:tcPr>
            <w:tcW w:w="900" w:type="dxa"/>
            <w:gridSpan w:val="2"/>
            <w:tcBorders>
              <w:lef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32786B" w:rsidRPr="00F134CE">
              <w:rPr>
                <w:color w:val="000000" w:themeColor="text1"/>
                <w:sz w:val="22"/>
                <w:szCs w:val="22"/>
              </w:rPr>
              <w:t>501</w:t>
            </w:r>
          </w:p>
        </w:tc>
        <w:tc>
          <w:tcPr>
            <w:tcW w:w="720" w:type="dxa"/>
            <w:vAlign w:val="center"/>
          </w:tcPr>
          <w:p w:rsidR="00140188" w:rsidRPr="00F134CE" w:rsidRDefault="00140188">
            <w:pPr>
              <w:rPr>
                <w:color w:val="000000" w:themeColor="text1"/>
                <w:sz w:val="22"/>
                <w:szCs w:val="22"/>
              </w:rPr>
            </w:pPr>
            <w:r w:rsidRPr="00F134CE">
              <w:rPr>
                <w:color w:val="000000" w:themeColor="text1"/>
                <w:sz w:val="22"/>
                <w:szCs w:val="22"/>
              </w:rPr>
              <w:t>1.</w:t>
            </w:r>
            <w:r w:rsidR="0032786B" w:rsidRPr="00F134CE">
              <w:rPr>
                <w:color w:val="000000" w:themeColor="text1"/>
                <w:sz w:val="22"/>
                <w:szCs w:val="22"/>
              </w:rPr>
              <w:t>003</w:t>
            </w:r>
          </w:p>
        </w:tc>
        <w:tc>
          <w:tcPr>
            <w:tcW w:w="994" w:type="dxa"/>
            <w:gridSpan w:val="3"/>
            <w:vAlign w:val="center"/>
          </w:tcPr>
          <w:p w:rsidR="00140188" w:rsidRPr="00F134CE" w:rsidRDefault="0032786B" w:rsidP="0097164A">
            <w:pPr>
              <w:jc w:val="center"/>
              <w:rPr>
                <w:color w:val="000000" w:themeColor="text1"/>
                <w:sz w:val="22"/>
                <w:szCs w:val="22"/>
              </w:rPr>
            </w:pPr>
            <w:r w:rsidRPr="00F134CE">
              <w:rPr>
                <w:color w:val="000000" w:themeColor="text1"/>
                <w:sz w:val="22"/>
                <w:szCs w:val="22"/>
              </w:rPr>
              <w:t>3.4</w:t>
            </w:r>
          </w:p>
        </w:tc>
      </w:tr>
      <w:tr w:rsidR="00140188" w:rsidRPr="00F134CE" w:rsidTr="00C92430">
        <w:trPr>
          <w:trHeight w:val="432"/>
        </w:trPr>
        <w:tc>
          <w:tcPr>
            <w:tcW w:w="1294" w:type="dxa"/>
            <w:vAlign w:val="center"/>
          </w:tcPr>
          <w:p w:rsidR="00457546" w:rsidRPr="00F134CE" w:rsidRDefault="00457546" w:rsidP="0097164A">
            <w:pPr>
              <w:rPr>
                <w:color w:val="000000" w:themeColor="text1"/>
                <w:sz w:val="22"/>
                <w:szCs w:val="22"/>
              </w:rPr>
            </w:pPr>
            <w:r w:rsidRPr="00F134CE">
              <w:rPr>
                <w:color w:val="000000" w:themeColor="text1"/>
                <w:sz w:val="22"/>
                <w:szCs w:val="22"/>
              </w:rPr>
              <w:t>39.0</w:t>
            </w:r>
          </w:p>
        </w:tc>
        <w:tc>
          <w:tcPr>
            <w:tcW w:w="899" w:type="dxa"/>
            <w:gridSpan w:val="2"/>
            <w:vAlign w:val="center"/>
          </w:tcPr>
          <w:p w:rsidR="00140188" w:rsidRPr="00F134CE" w:rsidRDefault="00C51CD2" w:rsidP="00457546">
            <w:pPr>
              <w:rPr>
                <w:color w:val="000000" w:themeColor="text1"/>
                <w:sz w:val="22"/>
                <w:szCs w:val="22"/>
              </w:rPr>
            </w:pPr>
            <w:r w:rsidRPr="00F134CE">
              <w:rPr>
                <w:color w:val="000000" w:themeColor="text1"/>
                <w:sz w:val="22"/>
                <w:szCs w:val="22"/>
              </w:rPr>
              <w:t>0.</w:t>
            </w:r>
            <w:r w:rsidR="00457546" w:rsidRPr="00F134CE">
              <w:rPr>
                <w:color w:val="000000" w:themeColor="text1"/>
                <w:sz w:val="22"/>
                <w:szCs w:val="22"/>
              </w:rPr>
              <w:t>294</w:t>
            </w:r>
          </w:p>
        </w:tc>
        <w:tc>
          <w:tcPr>
            <w:tcW w:w="900" w:type="dxa"/>
            <w:tcBorders>
              <w:right w:val="single" w:sz="4" w:space="0" w:color="auto"/>
            </w:tcBorders>
            <w:vAlign w:val="center"/>
          </w:tcPr>
          <w:p w:rsidR="00140188" w:rsidRPr="00F134CE" w:rsidRDefault="00C51CD2" w:rsidP="00457546">
            <w:pPr>
              <w:rPr>
                <w:color w:val="000000" w:themeColor="text1"/>
                <w:sz w:val="22"/>
                <w:szCs w:val="22"/>
              </w:rPr>
            </w:pPr>
            <w:r w:rsidRPr="00F134CE">
              <w:rPr>
                <w:color w:val="000000" w:themeColor="text1"/>
                <w:sz w:val="22"/>
                <w:szCs w:val="22"/>
              </w:rPr>
              <w:t>0.</w:t>
            </w:r>
            <w:r w:rsidR="00457546" w:rsidRPr="00F134CE">
              <w:rPr>
                <w:color w:val="000000" w:themeColor="text1"/>
                <w:sz w:val="22"/>
                <w:szCs w:val="22"/>
              </w:rPr>
              <w:t>170</w:t>
            </w:r>
          </w:p>
        </w:tc>
        <w:tc>
          <w:tcPr>
            <w:tcW w:w="990" w:type="dxa"/>
            <w:tcBorders>
              <w:left w:val="single" w:sz="4" w:space="0" w:color="auto"/>
            </w:tcBorders>
            <w:vAlign w:val="center"/>
          </w:tcPr>
          <w:p w:rsidR="00140188" w:rsidRPr="00F134CE" w:rsidRDefault="00140188" w:rsidP="00457546">
            <w:pPr>
              <w:rPr>
                <w:color w:val="000000" w:themeColor="text1"/>
                <w:sz w:val="22"/>
                <w:szCs w:val="22"/>
              </w:rPr>
            </w:pPr>
            <w:r w:rsidRPr="00F134CE">
              <w:rPr>
                <w:color w:val="000000" w:themeColor="text1"/>
                <w:sz w:val="22"/>
                <w:szCs w:val="22"/>
              </w:rPr>
              <w:t>0.</w:t>
            </w:r>
            <w:r w:rsidR="00457546" w:rsidRPr="00F134CE">
              <w:rPr>
                <w:color w:val="000000" w:themeColor="text1"/>
                <w:sz w:val="22"/>
                <w:szCs w:val="22"/>
              </w:rPr>
              <w:t>312</w:t>
            </w:r>
          </w:p>
        </w:tc>
        <w:tc>
          <w:tcPr>
            <w:tcW w:w="1233" w:type="dxa"/>
            <w:vAlign w:val="center"/>
          </w:tcPr>
          <w:p w:rsidR="00140188" w:rsidRPr="00F134CE" w:rsidRDefault="00140188" w:rsidP="0097164A">
            <w:pPr>
              <w:rPr>
                <w:color w:val="000000" w:themeColor="text1"/>
                <w:sz w:val="22"/>
                <w:szCs w:val="22"/>
              </w:rPr>
            </w:pPr>
            <w:r w:rsidRPr="00F134CE">
              <w:rPr>
                <w:color w:val="000000" w:themeColor="text1"/>
                <w:sz w:val="22"/>
                <w:szCs w:val="22"/>
              </w:rPr>
              <w:t>2.5e-3</w:t>
            </w:r>
          </w:p>
        </w:tc>
        <w:tc>
          <w:tcPr>
            <w:tcW w:w="1016" w:type="dxa"/>
            <w:gridSpan w:val="2"/>
            <w:vAlign w:val="center"/>
          </w:tcPr>
          <w:p w:rsidR="00140188" w:rsidRPr="00F134CE" w:rsidRDefault="00140188" w:rsidP="0097164A">
            <w:r w:rsidRPr="00F134CE">
              <w:rPr>
                <w:color w:val="000000" w:themeColor="text1"/>
                <w:sz w:val="22"/>
                <w:szCs w:val="22"/>
              </w:rPr>
              <w:t>8.7e-7</w:t>
            </w:r>
          </w:p>
        </w:tc>
        <w:tc>
          <w:tcPr>
            <w:tcW w:w="990" w:type="dxa"/>
            <w:tcBorders>
              <w:right w:val="single" w:sz="4" w:space="0" w:color="auto"/>
            </w:tcBorders>
            <w:vAlign w:val="center"/>
          </w:tcPr>
          <w:p w:rsidR="00140188" w:rsidRPr="00F134CE" w:rsidRDefault="00140188" w:rsidP="00457546">
            <w:pPr>
              <w:rPr>
                <w:color w:val="000000" w:themeColor="text1"/>
                <w:sz w:val="22"/>
                <w:szCs w:val="22"/>
              </w:rPr>
            </w:pPr>
            <w:r w:rsidRPr="00F134CE">
              <w:rPr>
                <w:color w:val="000000" w:themeColor="text1"/>
                <w:sz w:val="22"/>
                <w:szCs w:val="22"/>
              </w:rPr>
              <w:t>0.</w:t>
            </w:r>
            <w:r w:rsidR="00457546" w:rsidRPr="00F134CE">
              <w:rPr>
                <w:color w:val="000000" w:themeColor="text1"/>
                <w:sz w:val="22"/>
                <w:szCs w:val="22"/>
              </w:rPr>
              <w:t>390</w:t>
            </w:r>
          </w:p>
        </w:tc>
        <w:tc>
          <w:tcPr>
            <w:tcW w:w="900" w:type="dxa"/>
            <w:gridSpan w:val="2"/>
            <w:tcBorders>
              <w:left w:val="single" w:sz="4" w:space="0" w:color="auto"/>
            </w:tcBorders>
            <w:vAlign w:val="center"/>
          </w:tcPr>
          <w:p w:rsidR="00140188" w:rsidRPr="00F134CE" w:rsidRDefault="00140188" w:rsidP="00457546">
            <w:pPr>
              <w:rPr>
                <w:color w:val="000000" w:themeColor="text1"/>
                <w:sz w:val="22"/>
                <w:szCs w:val="22"/>
              </w:rPr>
            </w:pPr>
            <w:r w:rsidRPr="00F134CE">
              <w:rPr>
                <w:color w:val="000000" w:themeColor="text1"/>
                <w:sz w:val="22"/>
                <w:szCs w:val="22"/>
              </w:rPr>
              <w:t>0.</w:t>
            </w:r>
            <w:r w:rsidR="00457546" w:rsidRPr="00F134CE">
              <w:rPr>
                <w:color w:val="000000" w:themeColor="text1"/>
                <w:sz w:val="22"/>
                <w:szCs w:val="22"/>
              </w:rPr>
              <w:t>527</w:t>
            </w:r>
          </w:p>
        </w:tc>
        <w:tc>
          <w:tcPr>
            <w:tcW w:w="720" w:type="dxa"/>
            <w:vAlign w:val="center"/>
          </w:tcPr>
          <w:p w:rsidR="00140188" w:rsidRPr="00F134CE" w:rsidRDefault="00140188" w:rsidP="00457546">
            <w:pPr>
              <w:rPr>
                <w:color w:val="000000" w:themeColor="text1"/>
                <w:sz w:val="22"/>
                <w:szCs w:val="22"/>
              </w:rPr>
            </w:pPr>
            <w:r w:rsidRPr="00F134CE">
              <w:rPr>
                <w:color w:val="000000" w:themeColor="text1"/>
                <w:sz w:val="22"/>
                <w:szCs w:val="22"/>
              </w:rPr>
              <w:t>1.</w:t>
            </w:r>
            <w:r w:rsidR="00457546" w:rsidRPr="00F134CE">
              <w:rPr>
                <w:color w:val="000000" w:themeColor="text1"/>
                <w:sz w:val="22"/>
                <w:szCs w:val="22"/>
              </w:rPr>
              <w:t>054</w:t>
            </w:r>
          </w:p>
        </w:tc>
        <w:tc>
          <w:tcPr>
            <w:tcW w:w="994" w:type="dxa"/>
            <w:gridSpan w:val="3"/>
            <w:vAlign w:val="center"/>
          </w:tcPr>
          <w:p w:rsidR="00140188" w:rsidRPr="00F134CE" w:rsidRDefault="00140188">
            <w:pPr>
              <w:jc w:val="center"/>
              <w:rPr>
                <w:color w:val="000000" w:themeColor="text1"/>
                <w:sz w:val="22"/>
                <w:szCs w:val="22"/>
              </w:rPr>
            </w:pPr>
            <w:r w:rsidRPr="00F134CE">
              <w:rPr>
                <w:color w:val="000000" w:themeColor="text1"/>
                <w:sz w:val="22"/>
                <w:szCs w:val="22"/>
              </w:rPr>
              <w:t>2.</w:t>
            </w:r>
            <w:r w:rsidR="00C51CD2" w:rsidRPr="00F134CE">
              <w:rPr>
                <w:color w:val="000000" w:themeColor="text1"/>
                <w:sz w:val="22"/>
                <w:szCs w:val="22"/>
              </w:rPr>
              <w:t>7</w:t>
            </w:r>
          </w:p>
        </w:tc>
      </w:tr>
      <w:tr w:rsidR="00140188" w:rsidRPr="00F134CE" w:rsidTr="00C92430">
        <w:trPr>
          <w:trHeight w:val="432"/>
        </w:trPr>
        <w:tc>
          <w:tcPr>
            <w:tcW w:w="1294" w:type="dxa"/>
            <w:vAlign w:val="center"/>
          </w:tcPr>
          <w:p w:rsidR="00140188" w:rsidRPr="00F134CE" w:rsidRDefault="00457546" w:rsidP="0097164A">
            <w:pPr>
              <w:rPr>
                <w:color w:val="000000" w:themeColor="text1"/>
                <w:sz w:val="22"/>
                <w:szCs w:val="22"/>
              </w:rPr>
            </w:pPr>
            <w:r w:rsidRPr="00F134CE">
              <w:rPr>
                <w:color w:val="000000" w:themeColor="text1"/>
                <w:sz w:val="22"/>
                <w:szCs w:val="22"/>
              </w:rPr>
              <w:t>63.5</w:t>
            </w:r>
          </w:p>
        </w:tc>
        <w:tc>
          <w:tcPr>
            <w:tcW w:w="899" w:type="dxa"/>
            <w:gridSpan w:val="2"/>
            <w:vAlign w:val="center"/>
          </w:tcPr>
          <w:p w:rsidR="00140188" w:rsidRPr="00F134CE" w:rsidRDefault="00140188" w:rsidP="00457546">
            <w:pPr>
              <w:rPr>
                <w:color w:val="000000" w:themeColor="text1"/>
                <w:sz w:val="22"/>
                <w:szCs w:val="22"/>
              </w:rPr>
            </w:pPr>
            <w:r w:rsidRPr="00F134CE">
              <w:rPr>
                <w:color w:val="000000" w:themeColor="text1"/>
                <w:sz w:val="22"/>
                <w:szCs w:val="22"/>
              </w:rPr>
              <w:t>0.</w:t>
            </w:r>
            <w:r w:rsidR="00457546" w:rsidRPr="00F134CE">
              <w:rPr>
                <w:color w:val="000000" w:themeColor="text1"/>
                <w:sz w:val="22"/>
                <w:szCs w:val="22"/>
              </w:rPr>
              <w:t>377</w:t>
            </w:r>
          </w:p>
        </w:tc>
        <w:tc>
          <w:tcPr>
            <w:tcW w:w="900" w:type="dxa"/>
            <w:tcBorders>
              <w:right w:val="single" w:sz="4" w:space="0" w:color="auto"/>
            </w:tcBorders>
            <w:vAlign w:val="center"/>
          </w:tcPr>
          <w:p w:rsidR="00140188" w:rsidRPr="00F134CE" w:rsidRDefault="00140188" w:rsidP="00457546">
            <w:pPr>
              <w:rPr>
                <w:color w:val="000000" w:themeColor="text1"/>
                <w:sz w:val="22"/>
                <w:szCs w:val="22"/>
              </w:rPr>
            </w:pPr>
            <w:r w:rsidRPr="00F134CE">
              <w:rPr>
                <w:color w:val="000000" w:themeColor="text1"/>
                <w:sz w:val="22"/>
                <w:szCs w:val="22"/>
              </w:rPr>
              <w:t>0.</w:t>
            </w:r>
            <w:r w:rsidR="00457546" w:rsidRPr="00F134CE">
              <w:rPr>
                <w:color w:val="000000" w:themeColor="text1"/>
                <w:sz w:val="22"/>
                <w:szCs w:val="22"/>
              </w:rPr>
              <w:t>218</w:t>
            </w:r>
          </w:p>
        </w:tc>
        <w:tc>
          <w:tcPr>
            <w:tcW w:w="990" w:type="dxa"/>
            <w:tcBorders>
              <w:left w:val="single" w:sz="4" w:space="0" w:color="auto"/>
            </w:tcBorders>
            <w:vAlign w:val="center"/>
          </w:tcPr>
          <w:p w:rsidR="00140188" w:rsidRPr="00F134CE" w:rsidRDefault="00140188" w:rsidP="00457546">
            <w:pPr>
              <w:rPr>
                <w:color w:val="000000" w:themeColor="text1"/>
                <w:sz w:val="22"/>
                <w:szCs w:val="22"/>
              </w:rPr>
            </w:pPr>
            <w:r w:rsidRPr="00F134CE">
              <w:rPr>
                <w:color w:val="000000" w:themeColor="text1"/>
                <w:sz w:val="22"/>
                <w:szCs w:val="22"/>
              </w:rPr>
              <w:t>0.</w:t>
            </w:r>
            <w:r w:rsidR="00457546" w:rsidRPr="00F134CE">
              <w:rPr>
                <w:color w:val="000000" w:themeColor="text1"/>
                <w:sz w:val="22"/>
                <w:szCs w:val="22"/>
              </w:rPr>
              <w:t>508</w:t>
            </w:r>
          </w:p>
        </w:tc>
        <w:tc>
          <w:tcPr>
            <w:tcW w:w="1233" w:type="dxa"/>
            <w:vAlign w:val="center"/>
          </w:tcPr>
          <w:p w:rsidR="00140188" w:rsidRPr="00F134CE" w:rsidRDefault="00140188" w:rsidP="0097164A">
            <w:pPr>
              <w:rPr>
                <w:color w:val="000000" w:themeColor="text1"/>
                <w:sz w:val="22"/>
                <w:szCs w:val="22"/>
              </w:rPr>
            </w:pPr>
            <w:r w:rsidRPr="00F134CE">
              <w:rPr>
                <w:color w:val="000000" w:themeColor="text1"/>
                <w:sz w:val="22"/>
                <w:szCs w:val="22"/>
              </w:rPr>
              <w:t>2.5e-3</w:t>
            </w:r>
          </w:p>
        </w:tc>
        <w:tc>
          <w:tcPr>
            <w:tcW w:w="1016" w:type="dxa"/>
            <w:gridSpan w:val="2"/>
            <w:vAlign w:val="center"/>
          </w:tcPr>
          <w:p w:rsidR="00140188" w:rsidRPr="00F134CE" w:rsidRDefault="00140188" w:rsidP="0097164A">
            <w:r w:rsidRPr="00F134CE">
              <w:rPr>
                <w:color w:val="000000" w:themeColor="text1"/>
                <w:sz w:val="22"/>
                <w:szCs w:val="22"/>
              </w:rPr>
              <w:t>8.7e-7</w:t>
            </w:r>
          </w:p>
        </w:tc>
        <w:tc>
          <w:tcPr>
            <w:tcW w:w="990" w:type="dxa"/>
            <w:tcBorders>
              <w:right w:val="single" w:sz="4" w:space="0" w:color="auto"/>
            </w:tcBorders>
            <w:vAlign w:val="center"/>
          </w:tcPr>
          <w:p w:rsidR="00140188" w:rsidRPr="00F134CE" w:rsidRDefault="00140188" w:rsidP="00457546">
            <w:pPr>
              <w:rPr>
                <w:color w:val="000000" w:themeColor="text1"/>
                <w:sz w:val="22"/>
                <w:szCs w:val="22"/>
              </w:rPr>
            </w:pPr>
            <w:r w:rsidRPr="00F134CE">
              <w:rPr>
                <w:color w:val="000000" w:themeColor="text1"/>
                <w:sz w:val="22"/>
                <w:szCs w:val="22"/>
              </w:rPr>
              <w:t>0.</w:t>
            </w:r>
            <w:r w:rsidR="00457546" w:rsidRPr="00F134CE">
              <w:rPr>
                <w:color w:val="000000" w:themeColor="text1"/>
                <w:sz w:val="22"/>
                <w:szCs w:val="22"/>
              </w:rPr>
              <w:t>635</w:t>
            </w:r>
          </w:p>
        </w:tc>
        <w:tc>
          <w:tcPr>
            <w:tcW w:w="900" w:type="dxa"/>
            <w:gridSpan w:val="2"/>
            <w:tcBorders>
              <w:left w:val="single" w:sz="4" w:space="0" w:color="auto"/>
            </w:tcBorders>
            <w:vAlign w:val="center"/>
          </w:tcPr>
          <w:p w:rsidR="00140188" w:rsidRPr="00F134CE" w:rsidRDefault="00140188" w:rsidP="00457546">
            <w:pPr>
              <w:rPr>
                <w:color w:val="000000" w:themeColor="text1"/>
                <w:sz w:val="22"/>
                <w:szCs w:val="22"/>
              </w:rPr>
            </w:pPr>
            <w:r w:rsidRPr="00F134CE">
              <w:rPr>
                <w:color w:val="000000" w:themeColor="text1"/>
                <w:sz w:val="22"/>
                <w:szCs w:val="22"/>
              </w:rPr>
              <w:t>0.</w:t>
            </w:r>
            <w:r w:rsidR="00457546" w:rsidRPr="00F134CE">
              <w:rPr>
                <w:color w:val="000000" w:themeColor="text1"/>
                <w:sz w:val="22"/>
                <w:szCs w:val="22"/>
              </w:rPr>
              <w:t>842</w:t>
            </w:r>
          </w:p>
        </w:tc>
        <w:tc>
          <w:tcPr>
            <w:tcW w:w="720" w:type="dxa"/>
            <w:vAlign w:val="center"/>
          </w:tcPr>
          <w:p w:rsidR="00140188" w:rsidRPr="00F134CE" w:rsidRDefault="00140188" w:rsidP="00457546">
            <w:pPr>
              <w:rPr>
                <w:color w:val="000000" w:themeColor="text1"/>
                <w:sz w:val="22"/>
                <w:szCs w:val="22"/>
              </w:rPr>
            </w:pPr>
            <w:r w:rsidRPr="00F134CE">
              <w:rPr>
                <w:color w:val="000000" w:themeColor="text1"/>
                <w:sz w:val="22"/>
                <w:szCs w:val="22"/>
              </w:rPr>
              <w:t>1.</w:t>
            </w:r>
            <w:r w:rsidR="00457546" w:rsidRPr="00F134CE">
              <w:rPr>
                <w:color w:val="000000" w:themeColor="text1"/>
                <w:sz w:val="22"/>
                <w:szCs w:val="22"/>
              </w:rPr>
              <w:t>684</w:t>
            </w:r>
          </w:p>
        </w:tc>
        <w:tc>
          <w:tcPr>
            <w:tcW w:w="994" w:type="dxa"/>
            <w:gridSpan w:val="3"/>
            <w:vAlign w:val="center"/>
          </w:tcPr>
          <w:p w:rsidR="00140188" w:rsidRPr="00F134CE" w:rsidRDefault="00140188">
            <w:pPr>
              <w:jc w:val="center"/>
              <w:rPr>
                <w:color w:val="000000" w:themeColor="text1"/>
                <w:sz w:val="22"/>
                <w:szCs w:val="22"/>
              </w:rPr>
            </w:pPr>
            <w:r w:rsidRPr="00F134CE">
              <w:rPr>
                <w:color w:val="000000" w:themeColor="text1"/>
                <w:sz w:val="22"/>
                <w:szCs w:val="22"/>
              </w:rPr>
              <w:t>2.</w:t>
            </w:r>
            <w:r w:rsidR="0032786B" w:rsidRPr="00F134CE">
              <w:rPr>
                <w:color w:val="000000" w:themeColor="text1"/>
                <w:sz w:val="22"/>
                <w:szCs w:val="22"/>
              </w:rPr>
              <w:t>7</w:t>
            </w:r>
          </w:p>
        </w:tc>
      </w:tr>
      <w:tr w:rsidR="00140188" w:rsidRPr="00F134CE" w:rsidTr="00C92430">
        <w:trPr>
          <w:trHeight w:val="432"/>
        </w:trPr>
        <w:tc>
          <w:tcPr>
            <w:tcW w:w="1294" w:type="dxa"/>
            <w:tcBorders>
              <w:bottom w:val="single" w:sz="4" w:space="0" w:color="auto"/>
            </w:tcBorders>
            <w:vAlign w:val="center"/>
          </w:tcPr>
          <w:p w:rsidR="00140188" w:rsidRPr="00F134CE" w:rsidRDefault="0032786B" w:rsidP="0097164A">
            <w:pPr>
              <w:rPr>
                <w:color w:val="000000" w:themeColor="text1"/>
                <w:sz w:val="22"/>
                <w:szCs w:val="22"/>
              </w:rPr>
            </w:pPr>
            <w:r w:rsidRPr="00F134CE">
              <w:rPr>
                <w:color w:val="000000" w:themeColor="text1"/>
                <w:sz w:val="22"/>
                <w:szCs w:val="22"/>
              </w:rPr>
              <w:t>72.2</w:t>
            </w:r>
          </w:p>
        </w:tc>
        <w:tc>
          <w:tcPr>
            <w:tcW w:w="899" w:type="dxa"/>
            <w:gridSpan w:val="2"/>
            <w:tcBorders>
              <w:bottom w:val="single" w:sz="4" w:space="0" w:color="auto"/>
            </w:tcBorders>
            <w:vAlign w:val="center"/>
          </w:tcPr>
          <w:p w:rsidR="00140188" w:rsidRPr="00F134CE" w:rsidRDefault="0032786B">
            <w:pPr>
              <w:rPr>
                <w:color w:val="000000" w:themeColor="text1"/>
                <w:sz w:val="22"/>
                <w:szCs w:val="22"/>
              </w:rPr>
            </w:pPr>
            <w:r w:rsidRPr="00F134CE">
              <w:rPr>
                <w:color w:val="000000" w:themeColor="text1"/>
                <w:sz w:val="22"/>
                <w:szCs w:val="22"/>
              </w:rPr>
              <w:t>1.211</w:t>
            </w:r>
          </w:p>
        </w:tc>
        <w:tc>
          <w:tcPr>
            <w:tcW w:w="900" w:type="dxa"/>
            <w:tcBorders>
              <w:bottom w:val="single" w:sz="4" w:space="0" w:color="auto"/>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32786B" w:rsidRPr="00F134CE">
              <w:rPr>
                <w:color w:val="000000" w:themeColor="text1"/>
                <w:sz w:val="22"/>
                <w:szCs w:val="22"/>
              </w:rPr>
              <w:t>699</w:t>
            </w:r>
          </w:p>
        </w:tc>
        <w:tc>
          <w:tcPr>
            <w:tcW w:w="990" w:type="dxa"/>
            <w:tcBorders>
              <w:left w:val="single" w:sz="4" w:space="0" w:color="auto"/>
              <w:bottom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32786B" w:rsidRPr="00F134CE">
              <w:rPr>
                <w:color w:val="000000" w:themeColor="text1"/>
                <w:sz w:val="22"/>
                <w:szCs w:val="22"/>
              </w:rPr>
              <w:t>578</w:t>
            </w:r>
          </w:p>
        </w:tc>
        <w:tc>
          <w:tcPr>
            <w:tcW w:w="1233" w:type="dxa"/>
            <w:tcBorders>
              <w:bottom w:val="single" w:sz="4" w:space="0" w:color="auto"/>
            </w:tcBorders>
            <w:vAlign w:val="center"/>
          </w:tcPr>
          <w:p w:rsidR="00140188" w:rsidRPr="00F134CE" w:rsidRDefault="00140188" w:rsidP="0097164A">
            <w:pPr>
              <w:rPr>
                <w:color w:val="000000" w:themeColor="text1"/>
                <w:sz w:val="22"/>
                <w:szCs w:val="22"/>
              </w:rPr>
            </w:pPr>
            <w:r w:rsidRPr="00F134CE">
              <w:rPr>
                <w:color w:val="000000" w:themeColor="text1"/>
                <w:sz w:val="22"/>
                <w:szCs w:val="22"/>
              </w:rPr>
              <w:t>2.5e-3</w:t>
            </w:r>
          </w:p>
        </w:tc>
        <w:tc>
          <w:tcPr>
            <w:tcW w:w="1016" w:type="dxa"/>
            <w:gridSpan w:val="2"/>
            <w:tcBorders>
              <w:bottom w:val="single" w:sz="4" w:space="0" w:color="auto"/>
            </w:tcBorders>
            <w:vAlign w:val="center"/>
          </w:tcPr>
          <w:p w:rsidR="00140188" w:rsidRPr="00F134CE" w:rsidRDefault="00140188" w:rsidP="0097164A">
            <w:r w:rsidRPr="00F134CE">
              <w:rPr>
                <w:color w:val="000000" w:themeColor="text1"/>
                <w:sz w:val="22"/>
                <w:szCs w:val="22"/>
              </w:rPr>
              <w:t>8.7e-7</w:t>
            </w:r>
          </w:p>
        </w:tc>
        <w:tc>
          <w:tcPr>
            <w:tcW w:w="990" w:type="dxa"/>
            <w:tcBorders>
              <w:bottom w:val="single" w:sz="4" w:space="0" w:color="auto"/>
              <w:right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0.</w:t>
            </w:r>
            <w:r w:rsidR="0032786B" w:rsidRPr="00F134CE">
              <w:rPr>
                <w:color w:val="000000" w:themeColor="text1"/>
                <w:sz w:val="22"/>
                <w:szCs w:val="22"/>
              </w:rPr>
              <w:t>722</w:t>
            </w:r>
          </w:p>
        </w:tc>
        <w:tc>
          <w:tcPr>
            <w:tcW w:w="900" w:type="dxa"/>
            <w:gridSpan w:val="2"/>
            <w:tcBorders>
              <w:left w:val="single" w:sz="4" w:space="0" w:color="auto"/>
              <w:bottom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1.1</w:t>
            </w:r>
            <w:r w:rsidR="0032786B" w:rsidRPr="00F134CE">
              <w:rPr>
                <w:color w:val="000000" w:themeColor="text1"/>
                <w:sz w:val="22"/>
                <w:szCs w:val="22"/>
              </w:rPr>
              <w:t>59</w:t>
            </w:r>
          </w:p>
        </w:tc>
        <w:tc>
          <w:tcPr>
            <w:tcW w:w="720" w:type="dxa"/>
            <w:tcBorders>
              <w:bottom w:val="single" w:sz="4" w:space="0" w:color="auto"/>
            </w:tcBorders>
            <w:vAlign w:val="center"/>
          </w:tcPr>
          <w:p w:rsidR="00140188" w:rsidRPr="00F134CE" w:rsidRDefault="00140188">
            <w:pPr>
              <w:rPr>
                <w:color w:val="000000" w:themeColor="text1"/>
                <w:sz w:val="22"/>
                <w:szCs w:val="22"/>
              </w:rPr>
            </w:pPr>
            <w:r w:rsidRPr="00F134CE">
              <w:rPr>
                <w:color w:val="000000" w:themeColor="text1"/>
                <w:sz w:val="22"/>
                <w:szCs w:val="22"/>
              </w:rPr>
              <w:t>2.</w:t>
            </w:r>
            <w:r w:rsidR="0032786B" w:rsidRPr="00F134CE">
              <w:rPr>
                <w:color w:val="000000" w:themeColor="text1"/>
                <w:sz w:val="22"/>
                <w:szCs w:val="22"/>
              </w:rPr>
              <w:t>319</w:t>
            </w:r>
          </w:p>
        </w:tc>
        <w:tc>
          <w:tcPr>
            <w:tcW w:w="994" w:type="dxa"/>
            <w:gridSpan w:val="3"/>
            <w:tcBorders>
              <w:bottom w:val="single" w:sz="4" w:space="0" w:color="auto"/>
            </w:tcBorders>
            <w:vAlign w:val="center"/>
          </w:tcPr>
          <w:p w:rsidR="00140188" w:rsidRPr="00F134CE" w:rsidRDefault="0032786B" w:rsidP="0097164A">
            <w:pPr>
              <w:jc w:val="center"/>
              <w:rPr>
                <w:color w:val="000000" w:themeColor="text1"/>
                <w:sz w:val="22"/>
                <w:szCs w:val="22"/>
              </w:rPr>
            </w:pPr>
            <w:r w:rsidRPr="00F134CE">
              <w:rPr>
                <w:color w:val="000000" w:themeColor="text1"/>
                <w:sz w:val="22"/>
                <w:szCs w:val="22"/>
              </w:rPr>
              <w:t>3.2</w:t>
            </w:r>
          </w:p>
        </w:tc>
      </w:tr>
    </w:tbl>
    <w:p w:rsidR="00140188" w:rsidRPr="00F134CE" w:rsidRDefault="00140188" w:rsidP="00140188">
      <w:pPr>
        <w:spacing w:before="240"/>
        <w:rPr>
          <w:color w:val="000000" w:themeColor="text1"/>
        </w:rPr>
      </w:pPr>
      <w:r w:rsidRPr="00F134CE">
        <w:rPr>
          <w:color w:val="000000" w:themeColor="text1"/>
        </w:rPr>
        <w:t>* 0.8 % uncertainty of purity reference compound</w:t>
      </w:r>
    </w:p>
    <w:p w:rsidR="00140188" w:rsidRPr="00F134CE" w:rsidRDefault="00140188" w:rsidP="00140188">
      <w:pPr>
        <w:spacing w:before="240"/>
        <w:rPr>
          <w:color w:val="000000" w:themeColor="text1"/>
        </w:rPr>
      </w:pPr>
      <w:r w:rsidRPr="00F134CE">
        <w:rPr>
          <w:color w:val="000000" w:themeColor="text1"/>
          <w:vertAlign w:val="superscript"/>
        </w:rPr>
        <w:t>#</w:t>
      </w:r>
      <w:r w:rsidRPr="00F134CE">
        <w:rPr>
          <w:color w:val="000000" w:themeColor="text1"/>
          <w:vertAlign w:val="subscript"/>
        </w:rPr>
        <w:t xml:space="preserve"> </w:t>
      </w:r>
      <w:r w:rsidRPr="00F134CE">
        <w:rPr>
          <w:color w:val="000000" w:themeColor="text1"/>
        </w:rPr>
        <w:t>1% uncertainty of systemic error</w:t>
      </w:r>
    </w:p>
    <w:p w:rsidR="00140188" w:rsidRPr="00F134CE" w:rsidRDefault="00140188" w:rsidP="00140188">
      <w:pPr>
        <w:spacing w:before="240"/>
        <w:rPr>
          <w:color w:val="000000" w:themeColor="text1"/>
        </w:rPr>
      </w:pPr>
      <w:proofErr w:type="gramStart"/>
      <w:r w:rsidRPr="00F134CE">
        <w:rPr>
          <w:color w:val="000000" w:themeColor="text1"/>
          <w:vertAlign w:val="superscript"/>
        </w:rPr>
        <w:t>a</w:t>
      </w:r>
      <w:proofErr w:type="gramEnd"/>
      <w:r w:rsidRPr="00F134CE">
        <w:rPr>
          <w:color w:val="000000" w:themeColor="text1"/>
        </w:rPr>
        <w:t xml:space="preserve"> combined standard uncertainty</w:t>
      </w:r>
    </w:p>
    <w:p w:rsidR="00140188" w:rsidRPr="00F134CE" w:rsidRDefault="00140188" w:rsidP="00140188">
      <w:pPr>
        <w:spacing w:before="240"/>
        <w:rPr>
          <w:color w:val="000000" w:themeColor="text1"/>
        </w:rPr>
      </w:pPr>
      <w:proofErr w:type="gramStart"/>
      <w:r w:rsidRPr="00F134CE">
        <w:rPr>
          <w:color w:val="000000" w:themeColor="text1"/>
          <w:vertAlign w:val="superscript"/>
        </w:rPr>
        <w:t>b</w:t>
      </w:r>
      <w:proofErr w:type="gramEnd"/>
      <w:r w:rsidRPr="00F134CE">
        <w:rPr>
          <w:color w:val="000000" w:themeColor="text1"/>
        </w:rPr>
        <w:t xml:space="preserve"> expanded uncertainty with coverage factor of 2 (95% confidence interval)</w:t>
      </w:r>
    </w:p>
    <w:p w:rsidR="00DB03D7" w:rsidRPr="00F134CE" w:rsidRDefault="00140188" w:rsidP="00DB03D7">
      <w:pPr>
        <w:spacing w:before="240"/>
        <w:rPr>
          <w:color w:val="000000" w:themeColor="text1"/>
        </w:rPr>
      </w:pPr>
      <w:proofErr w:type="gramStart"/>
      <w:r w:rsidRPr="00F134CE">
        <w:rPr>
          <w:color w:val="000000" w:themeColor="text1"/>
          <w:vertAlign w:val="superscript"/>
        </w:rPr>
        <w:t>c</w:t>
      </w:r>
      <w:proofErr w:type="gramEnd"/>
      <w:r w:rsidRPr="00F134CE">
        <w:rPr>
          <w:color w:val="000000" w:themeColor="text1"/>
        </w:rPr>
        <w:t xml:space="preserve"> relative expanded uncertainty</w:t>
      </w:r>
      <w:r w:rsidR="00DB03D7" w:rsidRPr="00F134CE">
        <w:rPr>
          <w:color w:val="000000" w:themeColor="text1"/>
        </w:rPr>
        <w:br w:type="page"/>
      </w:r>
    </w:p>
    <w:p w:rsidR="00BB4002" w:rsidRPr="00F134CE" w:rsidRDefault="00BB4002" w:rsidP="00BB4002">
      <w:pPr>
        <w:spacing w:after="240" w:line="480" w:lineRule="auto"/>
        <w:rPr>
          <w:b/>
        </w:rPr>
      </w:pPr>
      <w:r w:rsidRPr="00F134CE">
        <w:rPr>
          <w:b/>
          <w:color w:val="000000" w:themeColor="text1"/>
        </w:rPr>
        <w:lastRenderedPageBreak/>
        <w:t>F</w:t>
      </w:r>
      <w:r w:rsidRPr="00F134CE">
        <w:rPr>
          <w:b/>
        </w:rPr>
        <w:t>igure captions and legends</w:t>
      </w:r>
    </w:p>
    <w:p w:rsidR="00BB4002" w:rsidRPr="00F134CE" w:rsidRDefault="00BB4002" w:rsidP="004025EF">
      <w:pPr>
        <w:spacing w:line="480" w:lineRule="auto"/>
        <w:rPr>
          <w:bCs/>
          <w:color w:val="000000" w:themeColor="text1"/>
        </w:rPr>
      </w:pPr>
      <w:r w:rsidRPr="00F134CE">
        <w:rPr>
          <w:b/>
          <w:bCs/>
          <w:color w:val="000000" w:themeColor="text1"/>
        </w:rPr>
        <w:t xml:space="preserve">Fig. S1 </w:t>
      </w:r>
      <w:r w:rsidRPr="00F134CE">
        <w:rPr>
          <w:bCs/>
          <w:color w:val="000000" w:themeColor="text1"/>
        </w:rPr>
        <w:t>Typical run set up</w:t>
      </w:r>
    </w:p>
    <w:p w:rsidR="00DB03D7" w:rsidRPr="00F134CE" w:rsidRDefault="00DB03D7" w:rsidP="004025EF">
      <w:pPr>
        <w:spacing w:line="480" w:lineRule="auto"/>
        <w:rPr>
          <w:b/>
          <w:bCs/>
          <w:color w:val="000000" w:themeColor="text1"/>
        </w:rPr>
      </w:pPr>
    </w:p>
    <w:p w:rsidR="004025EF" w:rsidRPr="00CD615A" w:rsidRDefault="004025EF" w:rsidP="00F134CE">
      <w:pPr>
        <w:spacing w:line="480" w:lineRule="auto"/>
        <w:rPr>
          <w:color w:val="000000" w:themeColor="text1"/>
        </w:rPr>
      </w:pPr>
      <w:r w:rsidRPr="00F134CE">
        <w:rPr>
          <w:b/>
          <w:bCs/>
          <w:color w:val="000000" w:themeColor="text1"/>
        </w:rPr>
        <w:t xml:space="preserve">Fig. </w:t>
      </w:r>
      <w:r w:rsidR="00BB4002" w:rsidRPr="00F134CE">
        <w:rPr>
          <w:b/>
          <w:bCs/>
          <w:color w:val="000000" w:themeColor="text1"/>
        </w:rPr>
        <w:t>S2</w:t>
      </w:r>
      <w:r w:rsidRPr="00F134CE">
        <w:rPr>
          <w:b/>
          <w:bCs/>
          <w:color w:val="000000" w:themeColor="text1"/>
        </w:rPr>
        <w:t xml:space="preserve"> </w:t>
      </w:r>
      <w:r w:rsidRPr="00F134CE">
        <w:rPr>
          <w:bCs/>
          <w:color w:val="000000" w:themeColor="text1"/>
        </w:rPr>
        <w:t>Analytical imprecision of 25(OH</w:t>
      </w:r>
      <w:proofErr w:type="gramStart"/>
      <w:r w:rsidRPr="00F134CE">
        <w:rPr>
          <w:bCs/>
          <w:color w:val="000000" w:themeColor="text1"/>
        </w:rPr>
        <w:t>)</w:t>
      </w:r>
      <w:r w:rsidRPr="00F134CE">
        <w:rPr>
          <w:bCs/>
          <w:color w:val="000000" w:themeColor="text1"/>
          <w:vertAlign w:val="subscript"/>
        </w:rPr>
        <w:t>2</w:t>
      </w:r>
      <w:proofErr w:type="gramEnd"/>
      <w:r w:rsidRPr="00F134CE">
        <w:rPr>
          <w:bCs/>
          <w:color w:val="000000" w:themeColor="text1"/>
        </w:rPr>
        <w:t xml:space="preserve"> as a</w:t>
      </w:r>
      <w:r w:rsidR="00DB03D7" w:rsidRPr="00F134CE">
        <w:rPr>
          <w:bCs/>
          <w:color w:val="000000" w:themeColor="text1"/>
        </w:rPr>
        <w:t xml:space="preserve"> function of concentration. </w:t>
      </w:r>
      <w:r w:rsidRPr="00F134CE">
        <w:rPr>
          <w:bCs/>
          <w:color w:val="000000" w:themeColor="text1"/>
        </w:rPr>
        <w:t>NIST SRM materials (n = 8) are depicted by open diamonds and in-house IQC materials (n = 5-8) a</w:t>
      </w:r>
      <w:r w:rsidR="00445662" w:rsidRPr="00F134CE">
        <w:rPr>
          <w:bCs/>
          <w:color w:val="000000" w:themeColor="text1"/>
        </w:rPr>
        <w:t>re represented by closed diamond</w:t>
      </w:r>
      <w:bookmarkStart w:id="0" w:name="_GoBack"/>
      <w:bookmarkEnd w:id="0"/>
    </w:p>
    <w:sectPr w:rsidR="004025EF" w:rsidRPr="00CD615A" w:rsidSect="00AC45E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68" w:rsidRDefault="00041968" w:rsidP="00041968">
      <w:r>
        <w:separator/>
      </w:r>
    </w:p>
  </w:endnote>
  <w:endnote w:type="continuationSeparator" w:id="0">
    <w:p w:rsidR="00041968" w:rsidRDefault="00041968" w:rsidP="0004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58921"/>
      <w:docPartObj>
        <w:docPartGallery w:val="Page Numbers (Bottom of Page)"/>
        <w:docPartUnique/>
      </w:docPartObj>
    </w:sdtPr>
    <w:sdtEndPr>
      <w:rPr>
        <w:noProof/>
      </w:rPr>
    </w:sdtEndPr>
    <w:sdtContent>
      <w:p w:rsidR="00041968" w:rsidRDefault="00041968">
        <w:pPr>
          <w:pStyle w:val="Footer"/>
          <w:jc w:val="right"/>
        </w:pPr>
      </w:p>
      <w:p w:rsidR="00041968" w:rsidRDefault="00041968">
        <w:pPr>
          <w:pStyle w:val="Footer"/>
          <w:jc w:val="right"/>
        </w:pPr>
        <w:r>
          <w:fldChar w:fldCharType="begin"/>
        </w:r>
        <w:r>
          <w:instrText xml:space="preserve"> PAGE   \* MERGEFORMAT </w:instrText>
        </w:r>
        <w:r>
          <w:fldChar w:fldCharType="separate"/>
        </w:r>
        <w:r w:rsidR="00F134CE">
          <w:rPr>
            <w:noProof/>
          </w:rPr>
          <w:t>1</w:t>
        </w:r>
        <w:r>
          <w:rPr>
            <w:noProof/>
          </w:rPr>
          <w:fldChar w:fldCharType="end"/>
        </w:r>
      </w:p>
    </w:sdtContent>
  </w:sdt>
  <w:p w:rsidR="00041968" w:rsidRDefault="00041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68" w:rsidRDefault="00041968" w:rsidP="00041968">
      <w:r>
        <w:separator/>
      </w:r>
    </w:p>
  </w:footnote>
  <w:footnote w:type="continuationSeparator" w:id="0">
    <w:p w:rsidR="00041968" w:rsidRDefault="00041968" w:rsidP="0004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57CA2"/>
    <w:multiLevelType w:val="hybridMultilevel"/>
    <w:tmpl w:val="79F6384E"/>
    <w:lvl w:ilvl="0" w:tplc="8F02C506">
      <w:start w:val="1"/>
      <w:numFmt w:val="decimal"/>
      <w:lvlText w:val="%1."/>
      <w:lvlJc w:val="left"/>
      <w:pPr>
        <w:ind w:left="360" w:hanging="360"/>
      </w:pPr>
      <w:rPr>
        <w:rFonts w:hint="default"/>
        <w:b w:val="0"/>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F7"/>
    <w:rsid w:val="00013265"/>
    <w:rsid w:val="00021472"/>
    <w:rsid w:val="00041968"/>
    <w:rsid w:val="000539C8"/>
    <w:rsid w:val="0005473D"/>
    <w:rsid w:val="000624A8"/>
    <w:rsid w:val="00071C1D"/>
    <w:rsid w:val="000C70BA"/>
    <w:rsid w:val="000D46D9"/>
    <w:rsid w:val="00114C9B"/>
    <w:rsid w:val="00140188"/>
    <w:rsid w:val="00152600"/>
    <w:rsid w:val="001C4669"/>
    <w:rsid w:val="001C7582"/>
    <w:rsid w:val="001E0D29"/>
    <w:rsid w:val="001F5011"/>
    <w:rsid w:val="00202444"/>
    <w:rsid w:val="00266A59"/>
    <w:rsid w:val="002F44F8"/>
    <w:rsid w:val="0032786B"/>
    <w:rsid w:val="003D5B13"/>
    <w:rsid w:val="004025EF"/>
    <w:rsid w:val="00411E7B"/>
    <w:rsid w:val="00445662"/>
    <w:rsid w:val="00457546"/>
    <w:rsid w:val="0046609D"/>
    <w:rsid w:val="00471858"/>
    <w:rsid w:val="00484D70"/>
    <w:rsid w:val="00553676"/>
    <w:rsid w:val="00555E3E"/>
    <w:rsid w:val="00564859"/>
    <w:rsid w:val="0057036D"/>
    <w:rsid w:val="0059343D"/>
    <w:rsid w:val="0059422C"/>
    <w:rsid w:val="005B1AB5"/>
    <w:rsid w:val="00616228"/>
    <w:rsid w:val="00630FFE"/>
    <w:rsid w:val="00631D57"/>
    <w:rsid w:val="006357E7"/>
    <w:rsid w:val="006661B0"/>
    <w:rsid w:val="00697016"/>
    <w:rsid w:val="006B49F1"/>
    <w:rsid w:val="006C0549"/>
    <w:rsid w:val="006C5C5C"/>
    <w:rsid w:val="006D3591"/>
    <w:rsid w:val="00717D96"/>
    <w:rsid w:val="007A1DFB"/>
    <w:rsid w:val="007B27FA"/>
    <w:rsid w:val="007D4ACC"/>
    <w:rsid w:val="00801CE4"/>
    <w:rsid w:val="00811D80"/>
    <w:rsid w:val="008467F9"/>
    <w:rsid w:val="00855D71"/>
    <w:rsid w:val="00861C6A"/>
    <w:rsid w:val="008649A2"/>
    <w:rsid w:val="0086654A"/>
    <w:rsid w:val="008907D9"/>
    <w:rsid w:val="008910C5"/>
    <w:rsid w:val="00892552"/>
    <w:rsid w:val="008C0F02"/>
    <w:rsid w:val="008D1311"/>
    <w:rsid w:val="008E7155"/>
    <w:rsid w:val="00914BB6"/>
    <w:rsid w:val="009309F0"/>
    <w:rsid w:val="0093506E"/>
    <w:rsid w:val="009C5406"/>
    <w:rsid w:val="009D031A"/>
    <w:rsid w:val="009D438F"/>
    <w:rsid w:val="009E3F70"/>
    <w:rsid w:val="00A07758"/>
    <w:rsid w:val="00A51526"/>
    <w:rsid w:val="00A67D3D"/>
    <w:rsid w:val="00A738BA"/>
    <w:rsid w:val="00AC45E1"/>
    <w:rsid w:val="00AC60F1"/>
    <w:rsid w:val="00AE2611"/>
    <w:rsid w:val="00B213AD"/>
    <w:rsid w:val="00B75DD6"/>
    <w:rsid w:val="00BB4002"/>
    <w:rsid w:val="00BC7DF9"/>
    <w:rsid w:val="00BD37A8"/>
    <w:rsid w:val="00BE4CA3"/>
    <w:rsid w:val="00C0713C"/>
    <w:rsid w:val="00C326E2"/>
    <w:rsid w:val="00C33EC1"/>
    <w:rsid w:val="00C51CD2"/>
    <w:rsid w:val="00C5779D"/>
    <w:rsid w:val="00C621B0"/>
    <w:rsid w:val="00C70A7C"/>
    <w:rsid w:val="00C913D4"/>
    <w:rsid w:val="00C92430"/>
    <w:rsid w:val="00CA4539"/>
    <w:rsid w:val="00CA67B9"/>
    <w:rsid w:val="00CB63B3"/>
    <w:rsid w:val="00CD615A"/>
    <w:rsid w:val="00D0780B"/>
    <w:rsid w:val="00D706F4"/>
    <w:rsid w:val="00D759BD"/>
    <w:rsid w:val="00D8552D"/>
    <w:rsid w:val="00DB03D7"/>
    <w:rsid w:val="00DC24BC"/>
    <w:rsid w:val="00DD1FF7"/>
    <w:rsid w:val="00DE2827"/>
    <w:rsid w:val="00E041BE"/>
    <w:rsid w:val="00E149FF"/>
    <w:rsid w:val="00E22132"/>
    <w:rsid w:val="00E25E7A"/>
    <w:rsid w:val="00E43952"/>
    <w:rsid w:val="00E51E85"/>
    <w:rsid w:val="00E5747A"/>
    <w:rsid w:val="00E647FD"/>
    <w:rsid w:val="00E95B32"/>
    <w:rsid w:val="00ED799B"/>
    <w:rsid w:val="00F02FCE"/>
    <w:rsid w:val="00F134CE"/>
    <w:rsid w:val="00F353A1"/>
    <w:rsid w:val="00F361FC"/>
    <w:rsid w:val="00F50EEA"/>
    <w:rsid w:val="00F561BE"/>
    <w:rsid w:val="00FE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ACA1A-CA73-4ED2-8E53-DC0ED1CE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C4669"/>
    <w:rPr>
      <w:sz w:val="16"/>
      <w:szCs w:val="16"/>
    </w:rPr>
  </w:style>
  <w:style w:type="paragraph" w:styleId="CommentText">
    <w:name w:val="annotation text"/>
    <w:basedOn w:val="Normal"/>
    <w:link w:val="CommentTextChar"/>
    <w:unhideWhenUsed/>
    <w:rsid w:val="001C4669"/>
    <w:rPr>
      <w:sz w:val="20"/>
      <w:szCs w:val="20"/>
    </w:rPr>
  </w:style>
  <w:style w:type="character" w:customStyle="1" w:styleId="CommentTextChar">
    <w:name w:val="Comment Text Char"/>
    <w:basedOn w:val="DefaultParagraphFont"/>
    <w:link w:val="CommentText"/>
    <w:rsid w:val="001C46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669"/>
    <w:rPr>
      <w:b/>
      <w:bCs/>
    </w:rPr>
  </w:style>
  <w:style w:type="character" w:customStyle="1" w:styleId="CommentSubjectChar">
    <w:name w:val="Comment Subject Char"/>
    <w:basedOn w:val="CommentTextChar"/>
    <w:link w:val="CommentSubject"/>
    <w:uiPriority w:val="99"/>
    <w:semiHidden/>
    <w:rsid w:val="001C46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669"/>
    <w:rPr>
      <w:rFonts w:ascii="Tahoma" w:hAnsi="Tahoma" w:cs="Tahoma"/>
      <w:sz w:val="16"/>
      <w:szCs w:val="16"/>
    </w:rPr>
  </w:style>
  <w:style w:type="character" w:customStyle="1" w:styleId="BalloonTextChar">
    <w:name w:val="Balloon Text Char"/>
    <w:basedOn w:val="DefaultParagraphFont"/>
    <w:link w:val="BalloonText"/>
    <w:uiPriority w:val="99"/>
    <w:semiHidden/>
    <w:rsid w:val="001C4669"/>
    <w:rPr>
      <w:rFonts w:ascii="Tahoma" w:eastAsia="Times New Roman" w:hAnsi="Tahoma" w:cs="Tahoma"/>
      <w:sz w:val="16"/>
      <w:szCs w:val="16"/>
    </w:rPr>
  </w:style>
  <w:style w:type="table" w:styleId="TableGrid">
    <w:name w:val="Table Grid"/>
    <w:basedOn w:val="TableNormal"/>
    <w:rsid w:val="001401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6E2"/>
    <w:pPr>
      <w:ind w:left="720"/>
      <w:contextualSpacing/>
    </w:pPr>
  </w:style>
  <w:style w:type="character" w:styleId="LineNumber">
    <w:name w:val="line number"/>
    <w:basedOn w:val="DefaultParagraphFont"/>
    <w:uiPriority w:val="99"/>
    <w:semiHidden/>
    <w:unhideWhenUsed/>
    <w:rsid w:val="00C33EC1"/>
  </w:style>
  <w:style w:type="paragraph" w:styleId="Header">
    <w:name w:val="header"/>
    <w:basedOn w:val="Normal"/>
    <w:link w:val="HeaderChar"/>
    <w:uiPriority w:val="99"/>
    <w:unhideWhenUsed/>
    <w:rsid w:val="00041968"/>
    <w:pPr>
      <w:tabs>
        <w:tab w:val="center" w:pos="4680"/>
        <w:tab w:val="right" w:pos="9360"/>
      </w:tabs>
    </w:pPr>
  </w:style>
  <w:style w:type="character" w:customStyle="1" w:styleId="HeaderChar">
    <w:name w:val="Header Char"/>
    <w:basedOn w:val="DefaultParagraphFont"/>
    <w:link w:val="Header"/>
    <w:uiPriority w:val="99"/>
    <w:rsid w:val="000419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1968"/>
    <w:pPr>
      <w:tabs>
        <w:tab w:val="center" w:pos="4680"/>
        <w:tab w:val="right" w:pos="9360"/>
      </w:tabs>
    </w:pPr>
  </w:style>
  <w:style w:type="character" w:customStyle="1" w:styleId="FooterChar">
    <w:name w:val="Footer Char"/>
    <w:basedOn w:val="DefaultParagraphFont"/>
    <w:link w:val="Footer"/>
    <w:uiPriority w:val="99"/>
    <w:rsid w:val="000419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4BA9-1DE1-4BA7-940D-BB5D56E2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Ekaterina Mineva</dc:creator>
  <cp:lastModifiedBy>Pfeiffer, Christine (CDC/ONDIEH/NCEH)</cp:lastModifiedBy>
  <cp:revision>4</cp:revision>
  <cp:lastPrinted>2015-01-14T20:51:00Z</cp:lastPrinted>
  <dcterms:created xsi:type="dcterms:W3CDTF">2015-04-20T18:04:00Z</dcterms:created>
  <dcterms:modified xsi:type="dcterms:W3CDTF">2016-03-17T16:31:00Z</dcterms:modified>
</cp:coreProperties>
</file>