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B2" w:rsidRPr="006607BD" w:rsidRDefault="005B7EB2" w:rsidP="005B7EB2">
      <w:pPr>
        <w:rPr>
          <w:rFonts w:eastAsia="Calibri"/>
          <w:b/>
        </w:rPr>
      </w:pPr>
      <w:r>
        <w:rPr>
          <w:rFonts w:eastAsia="Calibri"/>
          <w:b/>
        </w:rPr>
        <w:t>S4</w:t>
      </w:r>
      <w:r w:rsidRPr="006607BD">
        <w:rPr>
          <w:rFonts w:eastAsia="Calibri"/>
          <w:b/>
        </w:rPr>
        <w:t xml:space="preserve"> Table</w:t>
      </w:r>
      <w:r>
        <w:rPr>
          <w:rFonts w:eastAsia="Calibri"/>
          <w:b/>
        </w:rPr>
        <w:t>.</w:t>
      </w:r>
      <w:r w:rsidRPr="005B7EB2">
        <w:rPr>
          <w:rFonts w:eastAsia="Calibri"/>
          <w:b/>
        </w:rPr>
        <w:t xml:space="preserve"> Laboratory values and </w:t>
      </w:r>
      <w:bookmarkStart w:id="0" w:name="_GoBack"/>
      <w:bookmarkEnd w:id="0"/>
      <w:r w:rsidRPr="005B7EB2">
        <w:rPr>
          <w:rFonts w:eastAsia="Calibri"/>
          <w:b/>
        </w:rPr>
        <w:t>comparison results of matched fatal and non-fatal leptospirosis patients at presentation or worst recorded value during entire hospitalization, Puerto Rico, 2010.*</w:t>
      </w:r>
    </w:p>
    <w:tbl>
      <w:tblPr>
        <w:tblW w:w="4903" w:type="pct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360"/>
        <w:gridCol w:w="990"/>
        <w:gridCol w:w="360"/>
        <w:gridCol w:w="1081"/>
        <w:gridCol w:w="1350"/>
        <w:gridCol w:w="830"/>
        <w:gridCol w:w="41"/>
        <w:gridCol w:w="1378"/>
        <w:gridCol w:w="1353"/>
        <w:gridCol w:w="1619"/>
        <w:gridCol w:w="1167"/>
      </w:tblGrid>
      <w:tr w:rsidR="005B7EB2" w:rsidRPr="006607BD" w:rsidTr="00DA54A6">
        <w:trPr>
          <w:trHeight w:val="205"/>
        </w:trPr>
        <w:tc>
          <w:tcPr>
            <w:tcW w:w="85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959" w:type="pct"/>
            <w:gridSpan w:val="6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At first presentation</w:t>
            </w:r>
          </w:p>
        </w:tc>
        <w:tc>
          <w:tcPr>
            <w:tcW w:w="16" w:type="pct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4"/>
          </w:tcPr>
          <w:p w:rsidR="005B7EB2" w:rsidRPr="006607BD" w:rsidRDefault="005B7EB2" w:rsidP="00DA54A6">
            <w:pPr>
              <w:tabs>
                <w:tab w:val="left" w:pos="225"/>
                <w:tab w:val="center" w:pos="1321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Worst value†</w:t>
            </w:r>
          </w:p>
        </w:tc>
      </w:tr>
      <w:tr w:rsidR="005B7EB2" w:rsidRPr="006607BD" w:rsidTr="00DA54A6">
        <w:trPr>
          <w:trHeight w:val="187"/>
        </w:trPr>
        <w:tc>
          <w:tcPr>
            <w:tcW w:w="851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" w:type="pct"/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Fatal</w:t>
            </w:r>
          </w:p>
        </w:tc>
        <w:tc>
          <w:tcPr>
            <w:tcW w:w="568" w:type="pct"/>
            <w:gridSpan w:val="2"/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Non-fatal</w:t>
            </w:r>
          </w:p>
        </w:tc>
        <w:tc>
          <w:tcPr>
            <w:tcW w:w="532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Fatal</w:t>
            </w:r>
          </w:p>
        </w:tc>
        <w:tc>
          <w:tcPr>
            <w:tcW w:w="5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Non-fatal</w:t>
            </w:r>
          </w:p>
        </w:tc>
        <w:tc>
          <w:tcPr>
            <w:tcW w:w="638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B7EB2" w:rsidRPr="006607BD" w:rsidTr="00DA54A6">
        <w:trPr>
          <w:trHeight w:val="187"/>
        </w:trPr>
        <w:tc>
          <w:tcPr>
            <w:tcW w:w="851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" w:type="pct"/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90" w:type="pct"/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Median (Range)</w:t>
            </w:r>
          </w:p>
        </w:tc>
        <w:tc>
          <w:tcPr>
            <w:tcW w:w="142" w:type="pct"/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6" w:type="pct"/>
            <w:vAlign w:val="bottom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 xml:space="preserve">Median </w:t>
            </w:r>
            <w:r w:rsidRPr="006607BD">
              <w:rPr>
                <w:rFonts w:eastAsia="Calibri"/>
                <w:b/>
                <w:bCs/>
                <w:sz w:val="20"/>
                <w:szCs w:val="20"/>
              </w:rPr>
              <w:br/>
              <w:t>(Range)</w:t>
            </w:r>
          </w:p>
        </w:tc>
        <w:tc>
          <w:tcPr>
            <w:tcW w:w="532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OR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327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6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 xml:space="preserve">Median </w:t>
            </w:r>
            <w:r w:rsidRPr="006607BD">
              <w:rPr>
                <w:rFonts w:eastAsia="Calibri"/>
                <w:b/>
                <w:bCs/>
                <w:sz w:val="20"/>
                <w:szCs w:val="20"/>
              </w:rPr>
              <w:br/>
              <w:t>(Range)</w:t>
            </w:r>
          </w:p>
        </w:tc>
        <w:tc>
          <w:tcPr>
            <w:tcW w:w="5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 xml:space="preserve">Median </w:t>
            </w:r>
            <w:r w:rsidRPr="006607BD">
              <w:rPr>
                <w:rFonts w:eastAsia="Calibri"/>
                <w:b/>
                <w:bCs/>
                <w:sz w:val="20"/>
                <w:szCs w:val="20"/>
              </w:rPr>
              <w:br/>
              <w:t>(Range)</w:t>
            </w:r>
          </w:p>
        </w:tc>
        <w:tc>
          <w:tcPr>
            <w:tcW w:w="638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OR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460" w:type="pct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607BD">
              <w:rPr>
                <w:rFonts w:eastAsia="Calibri"/>
                <w:b/>
                <w:bCs/>
                <w:sz w:val="20"/>
                <w:szCs w:val="20"/>
              </w:rPr>
              <w:t>P-value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White blood cell (WBC)count (x 10</w:t>
            </w:r>
            <w:r w:rsidRPr="006607BD">
              <w:rPr>
                <w:rFonts w:eastAsia="Calibri"/>
                <w:sz w:val="20"/>
                <w:szCs w:val="20"/>
                <w:vertAlign w:val="superscript"/>
              </w:rPr>
              <w:t>3</w:t>
            </w:r>
            <w:r w:rsidRPr="006607BD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9.9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(4.1–26.9)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8.4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(2.1–23.4)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1.18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(1.04–1.37)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21.7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(4.8–65.3)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13.4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(3.3–48.8)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1.1 (1.03–1.19)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0.002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Neutrophil (%)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89.3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(5.9–96.8)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79.7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(26.0–95.1)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(1.005–1.08)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90.0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(66.0–96.8)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77.4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(16.0–99.0)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vertAlign w:val="superscript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1.08 (1.03–1.15)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0.0006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Platelet count (x 10</w:t>
            </w:r>
            <w:r w:rsidRPr="006607BD">
              <w:rPr>
                <w:rFonts w:eastAsia="Calibri"/>
                <w:sz w:val="20"/>
                <w:szCs w:val="20"/>
                <w:vertAlign w:val="superscript"/>
              </w:rPr>
              <w:t>3</w:t>
            </w:r>
            <w:r w:rsidRPr="006607BD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(6–343)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56.5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(12–202)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(0.996–1.02)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(6–98)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(4–202)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0.98 (0.96–1)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0.05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Hematocrit (%)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37.1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(23.7–45.8)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40.4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(20.9–54.6)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0.94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(0.85–1.04)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 xml:space="preserve">26.1 </w:t>
            </w:r>
            <w:r w:rsidRPr="006607BD">
              <w:rPr>
                <w:rFonts w:eastAsia="Calibri"/>
                <w:sz w:val="20"/>
                <w:szCs w:val="20"/>
              </w:rPr>
              <w:br/>
              <w:t>(13.6–42.8)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30.2</w:t>
            </w:r>
            <w:r w:rsidRPr="006607BD">
              <w:rPr>
                <w:rFonts w:eastAsia="Calibri"/>
                <w:sz w:val="20"/>
                <w:szCs w:val="20"/>
              </w:rPr>
              <w:br/>
              <w:t>(12.0–43.8)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vertAlign w:val="superscript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0.92 (0.84–0.99)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0.03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Potassium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3.9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(3.0–7.0)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3.8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(2.8–6.0)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1.27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(0.67–2.39)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3.3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(2.6–4.3)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3.2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(2.4–5.6)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1.26 (0.51–3.14)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0.6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Bicarbonate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20.8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(12.9–28.0)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24.7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(16.3–31.0)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0.64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(0.44–0.83)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19.2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(11.5–24.0)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21.9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(11.0–30.4)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0.79 (0.62–0.95)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0.006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Calcium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8.1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(6.9–9.4)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8.4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(6.6–9.8)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0.52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(0.23–1.12)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7.4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(6.2–8.9)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7.4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(4.3–9.1)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1.09 (0.63–1.98)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0.8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Blood urea nitrogen (BUN)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45.0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(3.7–168.0)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20.5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(5.0–78.5)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(1.01–1.09)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72.5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(11.0–173.0)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35.5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(6–242)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1.02 (1.004–1.04)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0.009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Creatinine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2.2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(0.9–10.3)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1.3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(0.6–6.0)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2.09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(1.18–4.32)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4.1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(1.0–10.3)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1.6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(0.7–13.4)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1.26 (1.01–1.64)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0.04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Albumin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(1.4–3.4)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2.8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(1.8–4.3)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0.3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(0.08–0.86)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2.0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(0.9–3.3)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2.3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(1.4–4.2)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0.43 (0.14–1.13)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0.09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Alanine transaminase (ALT)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111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(29–823)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90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(15–5,131)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(0.998–1.003)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285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(56–823)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125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(23–10,162)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 (&lt;1–1.0005)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0.6</w:t>
            </w:r>
          </w:p>
        </w:tc>
      </w:tr>
      <w:tr w:rsidR="005B7EB2" w:rsidRPr="006607BD" w:rsidTr="00DA54A6">
        <w:trPr>
          <w:trHeight w:val="198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lastRenderedPageBreak/>
              <w:t>Aspartate transaminase (AST)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64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(27–561)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77.5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(16–5614)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(0.99–1.004)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102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(36–1,350)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114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(16–5,614)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 (&lt;1–1.001)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0.7</w:t>
            </w:r>
          </w:p>
        </w:tc>
      </w:tr>
      <w:tr w:rsidR="005B7EB2" w:rsidRPr="006607BD" w:rsidTr="00DA54A6">
        <w:trPr>
          <w:trHeight w:val="14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Total bilirubin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7.5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(0.5–36.9)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(0.2–26.3)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1.17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(1.04–1.37)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14.0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(1.6–36.9)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2.8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(0.2–83.0)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1.03 (0.99–1.08)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0.2</w:t>
            </w:r>
          </w:p>
        </w:tc>
      </w:tr>
      <w:tr w:rsidR="005B7EB2" w:rsidRPr="006607BD" w:rsidTr="00DA54A6">
        <w:trPr>
          <w:trHeight w:val="14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Prothrombin time (PT)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12.5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(10.7–26.0)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13.1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(10.4–18.5)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1.15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(0.89–1.52)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13.2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(1.3–45.9)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13.2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(10.4–23.5)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1.15 (1.01–1.38)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0.03</w:t>
            </w:r>
          </w:p>
        </w:tc>
      </w:tr>
      <w:tr w:rsidR="005B7EB2" w:rsidRPr="006607BD" w:rsidTr="00DA54A6">
        <w:trPr>
          <w:trHeight w:val="14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Partial thromboplastin time (PTT)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31.2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(22.4–92.1)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29.7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(20.0–39.4)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1.08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(1.00–1.22)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32.2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(14.1–180.0)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30.3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(20.0–40.2)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1.06 (1.01–1.2)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0.005</w:t>
            </w:r>
          </w:p>
        </w:tc>
      </w:tr>
      <w:tr w:rsidR="005B7EB2" w:rsidRPr="006607BD" w:rsidTr="00DA54A6">
        <w:trPr>
          <w:trHeight w:val="14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International normalized ratio (INR)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(0.9–2.0)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(0.9–1.7)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1.4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(0.04–40.93)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(1.0–50.7)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(1.0–2.1)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4.18 (0.92–40.7)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0.07</w:t>
            </w:r>
          </w:p>
        </w:tc>
      </w:tr>
      <w:tr w:rsidR="005B7EB2" w:rsidRPr="006607BD" w:rsidTr="00DA54A6">
        <w:trPr>
          <w:trHeight w:val="14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Urine specific gravity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1.01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(1.00–1.03)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1.02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(1.01–1.03)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&lt;0.001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(&lt;0.001–&gt;1000)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 xml:space="preserve">1.01 </w:t>
            </w:r>
            <w:r w:rsidRPr="006607BD">
              <w:rPr>
                <w:rFonts w:eastAsia="Calibri"/>
                <w:sz w:val="20"/>
                <w:szCs w:val="20"/>
              </w:rPr>
              <w:br/>
              <w:t>(1.00–1.03)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1.02</w:t>
            </w:r>
            <w:r w:rsidRPr="006607BD">
              <w:rPr>
                <w:rFonts w:eastAsia="Calibri"/>
                <w:sz w:val="20"/>
                <w:szCs w:val="20"/>
              </w:rPr>
              <w:br/>
              <w:t>(1.01–1.03)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&gt;1000 (&lt;1–&gt;1000)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0.7</w:t>
            </w:r>
          </w:p>
        </w:tc>
      </w:tr>
      <w:tr w:rsidR="005B7EB2" w:rsidRPr="006607BD" w:rsidTr="00DA54A6">
        <w:trPr>
          <w:trHeight w:val="14"/>
        </w:trPr>
        <w:tc>
          <w:tcPr>
            <w:tcW w:w="8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Urine pH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6.0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(5.0–7.0)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(5.0–7.5)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1.26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(0.56–2.76)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6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5.3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(5.0–8.0)</w:t>
            </w:r>
          </w:p>
        </w:tc>
        <w:tc>
          <w:tcPr>
            <w:tcW w:w="5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5.5</w:t>
            </w:r>
          </w:p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sz w:val="20"/>
                <w:szCs w:val="20"/>
              </w:rPr>
              <w:t>(5.0–7.5)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1.13 (0.57–2.16)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B7EB2" w:rsidRPr="006607BD" w:rsidRDefault="005B7EB2" w:rsidP="00DA54A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607BD">
              <w:rPr>
                <w:rFonts w:eastAsia="Calibri"/>
                <w:color w:val="000000"/>
                <w:sz w:val="20"/>
                <w:szCs w:val="20"/>
              </w:rPr>
              <w:t>0.8</w:t>
            </w:r>
          </w:p>
        </w:tc>
      </w:tr>
    </w:tbl>
    <w:p w:rsidR="005B7EB2" w:rsidRPr="006607BD" w:rsidRDefault="005B7EB2" w:rsidP="005B7EB2">
      <w:pPr>
        <w:spacing w:after="0" w:line="240" w:lineRule="auto"/>
        <w:rPr>
          <w:rFonts w:eastAsia="Calibri"/>
          <w:b/>
          <w:sz w:val="20"/>
        </w:rPr>
      </w:pPr>
      <w:r w:rsidRPr="006607BD">
        <w:rPr>
          <w:rFonts w:eastAsia="Calibri"/>
          <w:sz w:val="20"/>
        </w:rPr>
        <w:br/>
        <w:t>* Only cases and controls with test results from more than one day were included.</w:t>
      </w:r>
    </w:p>
    <w:p w:rsidR="001B3B4C" w:rsidRDefault="005B7EB2">
      <w:r w:rsidRPr="006607BD">
        <w:rPr>
          <w:rFonts w:eastAsia="Calibri"/>
          <w:sz w:val="20"/>
        </w:rPr>
        <w:t>†For WBC count, neutrophil,  BUN, creatinine, ALT, AST, total bilirubin, PT, PTT, INR, and urine specific gravity,  “worst” was defined by the highest value; for platelet count, hem</w:t>
      </w:r>
      <w:r>
        <w:rPr>
          <w:rFonts w:eastAsia="Calibri"/>
          <w:sz w:val="20"/>
        </w:rPr>
        <w:t xml:space="preserve">atocrit, potassium, </w:t>
      </w:r>
      <w:r w:rsidRPr="006607BD">
        <w:rPr>
          <w:rFonts w:eastAsia="Calibri"/>
          <w:sz w:val="20"/>
        </w:rPr>
        <w:t>bicarbonate, calcium, albumin, and urine pH,  “worst” was defined by the lowest value.</w:t>
      </w:r>
    </w:p>
    <w:sectPr w:rsidR="001B3B4C" w:rsidSect="005B7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B2"/>
    <w:rsid w:val="001B3B4C"/>
    <w:rsid w:val="005B7EB2"/>
    <w:rsid w:val="006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4E3EE-9931-44A3-815F-56D6927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B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Tyler M. (CDC/OID/NCEZID)</dc:creator>
  <cp:keywords/>
  <dc:description/>
  <cp:lastModifiedBy>Sharp, Tyler M. (CDC/OID/NCEZID)</cp:lastModifiedBy>
  <cp:revision>2</cp:revision>
  <dcterms:created xsi:type="dcterms:W3CDTF">2015-12-14T01:25:00Z</dcterms:created>
  <dcterms:modified xsi:type="dcterms:W3CDTF">2016-02-06T02:39:00Z</dcterms:modified>
</cp:coreProperties>
</file>