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88" w:rsidRPr="00DF1DDE" w:rsidRDefault="00266212" w:rsidP="00DF1DDE">
      <w:r>
        <w:t xml:space="preserve"> </w:t>
      </w:r>
      <w:proofErr w:type="gramStart"/>
      <w:r w:rsidR="000F2174">
        <w:t>sTable</w:t>
      </w:r>
      <w:proofErr w:type="gramEnd"/>
      <w:r w:rsidR="000F2174">
        <w:t xml:space="preserve"> 2. </w:t>
      </w:r>
      <w:r>
        <w:t>WG</w:t>
      </w:r>
      <w:r w:rsidR="00454F86">
        <w:t xml:space="preserve">S-based antimicrobial resistance detection </w:t>
      </w:r>
      <w:r w:rsidR="00AC02A5">
        <w:t>platform</w:t>
      </w:r>
      <w:r w:rsidR="000721E3">
        <w:t xml:space="preserve"> base coordinates and rationale.</w:t>
      </w:r>
    </w:p>
    <w:tbl>
      <w:tblPr>
        <w:tblStyle w:val="TableGrid"/>
        <w:tblW w:w="11340" w:type="dxa"/>
        <w:tblInd w:w="288" w:type="dxa"/>
        <w:tblLayout w:type="fixed"/>
        <w:tblLook w:val="04A0" w:firstRow="1" w:lastRow="0" w:firstColumn="1" w:lastColumn="0" w:noHBand="0" w:noVBand="1"/>
      </w:tblPr>
      <w:tblGrid>
        <w:gridCol w:w="1350"/>
        <w:gridCol w:w="1787"/>
        <w:gridCol w:w="3379"/>
        <w:gridCol w:w="4824"/>
      </w:tblGrid>
      <w:tr w:rsidR="00B83B4B" w:rsidRPr="00C666E7" w:rsidTr="00873B1B">
        <w:trPr>
          <w:trHeight w:val="218"/>
        </w:trPr>
        <w:tc>
          <w:tcPr>
            <w:tcW w:w="1350" w:type="dxa"/>
            <w:noWrap/>
            <w:hideMark/>
          </w:tcPr>
          <w:p w:rsidR="00B83B4B" w:rsidRPr="00C666E7" w:rsidRDefault="00A86D8D" w:rsidP="001056B7">
            <w:pPr>
              <w:rPr>
                <w:sz w:val="16"/>
              </w:rPr>
            </w:pPr>
            <w:r>
              <w:rPr>
                <w:sz w:val="16"/>
              </w:rPr>
              <w:t xml:space="preserve">query </w:t>
            </w:r>
            <w:r w:rsidR="00B83B4B" w:rsidRPr="00C666E7">
              <w:rPr>
                <w:sz w:val="16"/>
              </w:rPr>
              <w:t>(No. bp)</w:t>
            </w:r>
          </w:p>
        </w:tc>
        <w:tc>
          <w:tcPr>
            <w:tcW w:w="1787" w:type="dxa"/>
          </w:tcPr>
          <w:p w:rsidR="00B83B4B" w:rsidRPr="00C666E7" w:rsidRDefault="00B83B4B" w:rsidP="00C9591C">
            <w:pPr>
              <w:rPr>
                <w:sz w:val="16"/>
              </w:rPr>
            </w:pPr>
            <w:r w:rsidRPr="00C666E7">
              <w:rPr>
                <w:sz w:val="16"/>
              </w:rPr>
              <w:t>resistance</w:t>
            </w:r>
          </w:p>
        </w:tc>
        <w:tc>
          <w:tcPr>
            <w:tcW w:w="3379" w:type="dxa"/>
          </w:tcPr>
          <w:p w:rsidR="00B83B4B" w:rsidRPr="00C666E7" w:rsidRDefault="00B83B4B">
            <w:pPr>
              <w:rPr>
                <w:sz w:val="16"/>
              </w:rPr>
            </w:pPr>
            <w:r w:rsidRPr="00C666E7">
              <w:rPr>
                <w:sz w:val="16"/>
              </w:rPr>
              <w:t>Accession,</w:t>
            </w:r>
            <w:r w:rsidR="00AB78C8">
              <w:rPr>
                <w:sz w:val="16"/>
              </w:rPr>
              <w:t xml:space="preserve"> sequence</w:t>
            </w:r>
            <w:r w:rsidRPr="00C666E7">
              <w:rPr>
                <w:sz w:val="16"/>
              </w:rPr>
              <w:t xml:space="preserve"> coordinates</w:t>
            </w:r>
          </w:p>
        </w:tc>
        <w:tc>
          <w:tcPr>
            <w:tcW w:w="4824" w:type="dxa"/>
            <w:hideMark/>
          </w:tcPr>
          <w:p w:rsidR="00B83B4B" w:rsidRPr="00C666E7" w:rsidRDefault="00B83B4B">
            <w:pPr>
              <w:rPr>
                <w:sz w:val="16"/>
              </w:rPr>
            </w:pPr>
            <w:r w:rsidRPr="00C666E7">
              <w:rPr>
                <w:sz w:val="16"/>
              </w:rPr>
              <w:t>rationale</w:t>
            </w:r>
          </w:p>
        </w:tc>
      </w:tr>
      <w:tr w:rsidR="00B83B4B" w:rsidRPr="00C666E7" w:rsidTr="00873B1B">
        <w:trPr>
          <w:trHeight w:val="218"/>
        </w:trPr>
        <w:tc>
          <w:tcPr>
            <w:tcW w:w="1350" w:type="dxa"/>
            <w:noWrap/>
          </w:tcPr>
          <w:p w:rsidR="00B83B4B" w:rsidRPr="00C666E7" w:rsidRDefault="00B83B4B">
            <w:pPr>
              <w:rPr>
                <w:sz w:val="16"/>
              </w:rPr>
            </w:pPr>
            <w:r w:rsidRPr="00C666E7">
              <w:rPr>
                <w:i/>
                <w:sz w:val="16"/>
              </w:rPr>
              <w:t>pbp1a</w:t>
            </w:r>
            <w:r w:rsidR="004D2457">
              <w:rPr>
                <w:sz w:val="16"/>
              </w:rPr>
              <w:t xml:space="preserve"> (831</w:t>
            </w:r>
            <w:r w:rsidRPr="00C666E7">
              <w:rPr>
                <w:sz w:val="16"/>
              </w:rPr>
              <w:t>)</w:t>
            </w:r>
          </w:p>
          <w:p w:rsidR="00B83B4B" w:rsidRPr="00C666E7" w:rsidRDefault="00B83B4B">
            <w:pPr>
              <w:rPr>
                <w:i/>
                <w:sz w:val="16"/>
              </w:rPr>
            </w:pPr>
            <w:r w:rsidRPr="00C666E7">
              <w:rPr>
                <w:i/>
                <w:sz w:val="16"/>
              </w:rPr>
              <w:t>pbp2b</w:t>
            </w:r>
            <w:r w:rsidR="004D2457">
              <w:rPr>
                <w:sz w:val="16"/>
              </w:rPr>
              <w:t xml:space="preserve"> (834</w:t>
            </w:r>
            <w:r w:rsidRPr="00C666E7">
              <w:rPr>
                <w:sz w:val="16"/>
              </w:rPr>
              <w:t>)</w:t>
            </w:r>
          </w:p>
          <w:p w:rsidR="00B83B4B" w:rsidRPr="00C666E7" w:rsidRDefault="00B83B4B">
            <w:pPr>
              <w:rPr>
                <w:sz w:val="16"/>
              </w:rPr>
            </w:pPr>
            <w:r w:rsidRPr="00C666E7">
              <w:rPr>
                <w:i/>
                <w:sz w:val="16"/>
              </w:rPr>
              <w:t>pbp2x</w:t>
            </w:r>
            <w:r w:rsidR="004D2457">
              <w:rPr>
                <w:sz w:val="16"/>
              </w:rPr>
              <w:t xml:space="preserve"> (1077</w:t>
            </w:r>
            <w:r w:rsidRPr="00C666E7">
              <w:rPr>
                <w:sz w:val="16"/>
              </w:rPr>
              <w:t>)</w:t>
            </w:r>
          </w:p>
        </w:tc>
        <w:tc>
          <w:tcPr>
            <w:tcW w:w="1787" w:type="dxa"/>
          </w:tcPr>
          <w:p w:rsidR="00B83B4B" w:rsidRPr="00C666E7" w:rsidRDefault="002E61DE" w:rsidP="00C9591C">
            <w:pPr>
              <w:rPr>
                <w:sz w:val="16"/>
              </w:rPr>
            </w:pPr>
            <w:r>
              <w:rPr>
                <w:sz w:val="16"/>
              </w:rPr>
              <w:t>various</w:t>
            </w:r>
            <w:r w:rsidR="00B83B4B" w:rsidRPr="00C666E7">
              <w:rPr>
                <w:sz w:val="16"/>
              </w:rPr>
              <w:t xml:space="preserve"> classes of beta lactam antibiotics</w:t>
            </w:r>
          </w:p>
        </w:tc>
        <w:tc>
          <w:tcPr>
            <w:tcW w:w="3379" w:type="dxa"/>
          </w:tcPr>
          <w:p w:rsidR="00B83B4B" w:rsidRPr="00C666E7" w:rsidRDefault="002E61DE">
            <w:pPr>
              <w:rPr>
                <w:sz w:val="16"/>
              </w:rPr>
            </w:pPr>
            <w:r>
              <w:rPr>
                <w:sz w:val="16"/>
              </w:rPr>
              <w:t xml:space="preserve">1a: AE007317, </w:t>
            </w:r>
            <w:r w:rsidR="00393C91">
              <w:rPr>
                <w:sz w:val="16"/>
              </w:rPr>
              <w:t>333083</w:t>
            </w:r>
            <w:r>
              <w:rPr>
                <w:sz w:val="16"/>
              </w:rPr>
              <w:t xml:space="preserve"> -333913 (complement)</w:t>
            </w:r>
          </w:p>
          <w:p w:rsidR="00B83B4B" w:rsidRPr="00C666E7" w:rsidRDefault="00B83B4B">
            <w:pPr>
              <w:rPr>
                <w:sz w:val="16"/>
              </w:rPr>
            </w:pPr>
            <w:r w:rsidRPr="00C666E7">
              <w:rPr>
                <w:sz w:val="16"/>
              </w:rPr>
              <w:t>2b:</w:t>
            </w:r>
            <w:r w:rsidR="00C666E7">
              <w:rPr>
                <w:sz w:val="16"/>
              </w:rPr>
              <w:t xml:space="preserve"> </w:t>
            </w:r>
            <w:r w:rsidRPr="00C666E7">
              <w:rPr>
                <w:sz w:val="16"/>
              </w:rPr>
              <w:t xml:space="preserve">AE007317, </w:t>
            </w:r>
            <w:r w:rsidR="00393C91">
              <w:rPr>
                <w:sz w:val="16"/>
              </w:rPr>
              <w:t>1494292-1495124 (complement)</w:t>
            </w:r>
          </w:p>
          <w:p w:rsidR="00B83B4B" w:rsidRPr="00C666E7" w:rsidRDefault="00B83B4B" w:rsidP="004D2457">
            <w:pPr>
              <w:rPr>
                <w:sz w:val="16"/>
              </w:rPr>
            </w:pPr>
            <w:r w:rsidRPr="00C666E7">
              <w:rPr>
                <w:sz w:val="16"/>
              </w:rPr>
              <w:t>2x:</w:t>
            </w:r>
            <w:r w:rsidR="00C666E7">
              <w:rPr>
                <w:sz w:val="16"/>
              </w:rPr>
              <w:t xml:space="preserve"> A</w:t>
            </w:r>
            <w:r w:rsidRPr="00C666E7">
              <w:rPr>
                <w:sz w:val="16"/>
              </w:rPr>
              <w:t>E007317,</w:t>
            </w:r>
            <w:r w:rsidR="00393C91">
              <w:rPr>
                <w:sz w:val="16"/>
              </w:rPr>
              <w:t xml:space="preserve"> 302945-304019</w:t>
            </w:r>
          </w:p>
        </w:tc>
        <w:tc>
          <w:tcPr>
            <w:tcW w:w="4824" w:type="dxa"/>
          </w:tcPr>
          <w:p w:rsidR="00393C91" w:rsidRDefault="00B83B4B">
            <w:pPr>
              <w:rPr>
                <w:sz w:val="16"/>
              </w:rPr>
            </w:pPr>
            <w:r w:rsidRPr="00C666E7">
              <w:rPr>
                <w:sz w:val="16"/>
              </w:rPr>
              <w:t>specific combinations of the 3 PBP trans</w:t>
            </w:r>
            <w:r w:rsidR="00393C91">
              <w:rPr>
                <w:sz w:val="16"/>
              </w:rPr>
              <w:t xml:space="preserve">peptidase domains </w:t>
            </w:r>
            <w:r w:rsidRPr="00C666E7">
              <w:rPr>
                <w:sz w:val="16"/>
              </w:rPr>
              <w:t xml:space="preserve">predict </w:t>
            </w:r>
          </w:p>
          <w:p w:rsidR="00B83B4B" w:rsidRPr="00C666E7" w:rsidRDefault="00B83B4B">
            <w:pPr>
              <w:rPr>
                <w:sz w:val="16"/>
              </w:rPr>
            </w:pPr>
            <w:r w:rsidRPr="00C666E7">
              <w:rPr>
                <w:sz w:val="16"/>
              </w:rPr>
              <w:t>different minimum inhibitory concentrations to specific beta lactams</w:t>
            </w:r>
          </w:p>
        </w:tc>
      </w:tr>
      <w:tr w:rsidR="00C666E7" w:rsidRPr="00C666E7" w:rsidTr="00873B1B">
        <w:trPr>
          <w:trHeight w:val="273"/>
        </w:trPr>
        <w:tc>
          <w:tcPr>
            <w:tcW w:w="1350" w:type="dxa"/>
            <w:noWrap/>
          </w:tcPr>
          <w:p w:rsidR="00C666E7" w:rsidRDefault="00C666E7" w:rsidP="00B0560B">
            <w:pPr>
              <w:rPr>
                <w:sz w:val="16"/>
              </w:rPr>
            </w:pPr>
            <w:r w:rsidRPr="000600BA">
              <w:rPr>
                <w:i/>
                <w:sz w:val="16"/>
              </w:rPr>
              <w:t xml:space="preserve">ermB </w:t>
            </w:r>
            <w:r w:rsidRPr="000600BA">
              <w:rPr>
                <w:sz w:val="16"/>
              </w:rPr>
              <w:t>(100)</w:t>
            </w:r>
          </w:p>
          <w:p w:rsidR="00454F86" w:rsidRPr="000600BA" w:rsidRDefault="00454F86" w:rsidP="00B0560B">
            <w:pPr>
              <w:rPr>
                <w:sz w:val="16"/>
              </w:rPr>
            </w:pPr>
            <w:r w:rsidRPr="000600BA">
              <w:rPr>
                <w:i/>
                <w:sz w:val="16"/>
              </w:rPr>
              <w:t>ermTR</w:t>
            </w:r>
            <w:r w:rsidRPr="000600BA">
              <w:rPr>
                <w:sz w:val="16"/>
              </w:rPr>
              <w:t xml:space="preserve"> (68)</w:t>
            </w:r>
          </w:p>
        </w:tc>
        <w:tc>
          <w:tcPr>
            <w:tcW w:w="1787" w:type="dxa"/>
          </w:tcPr>
          <w:p w:rsidR="00C666E7" w:rsidRPr="00C666E7" w:rsidRDefault="00C666E7" w:rsidP="00B0560B">
            <w:pPr>
              <w:rPr>
                <w:sz w:val="16"/>
              </w:rPr>
            </w:pPr>
            <w:r w:rsidRPr="00C666E7">
              <w:rPr>
                <w:sz w:val="16"/>
              </w:rPr>
              <w:t>macrolides, lincosamides</w:t>
            </w:r>
          </w:p>
          <w:p w:rsidR="00C666E7" w:rsidRPr="00C666E7" w:rsidRDefault="00C666E7" w:rsidP="00B0560B">
            <w:pPr>
              <w:rPr>
                <w:sz w:val="16"/>
              </w:rPr>
            </w:pPr>
            <w:r w:rsidRPr="00C666E7">
              <w:rPr>
                <w:sz w:val="16"/>
              </w:rPr>
              <w:t>streptogramins</w:t>
            </w:r>
          </w:p>
        </w:tc>
        <w:tc>
          <w:tcPr>
            <w:tcW w:w="3379" w:type="dxa"/>
          </w:tcPr>
          <w:p w:rsidR="00C666E7" w:rsidRDefault="00C666E7" w:rsidP="00B0560B">
            <w:pPr>
              <w:rPr>
                <w:sz w:val="16"/>
              </w:rPr>
            </w:pPr>
            <w:r w:rsidRPr="00C666E7">
              <w:rPr>
                <w:sz w:val="16"/>
              </w:rPr>
              <w:t>HG799494,44520-44619</w:t>
            </w:r>
          </w:p>
          <w:p w:rsidR="00454F86" w:rsidRPr="00C666E7" w:rsidRDefault="00454F86" w:rsidP="00B0560B">
            <w:pPr>
              <w:rPr>
                <w:sz w:val="16"/>
              </w:rPr>
            </w:pPr>
            <w:r>
              <w:rPr>
                <w:sz w:val="16"/>
              </w:rPr>
              <w:t>CP002121,856516-856583</w:t>
            </w:r>
          </w:p>
        </w:tc>
        <w:tc>
          <w:tcPr>
            <w:tcW w:w="4824" w:type="dxa"/>
          </w:tcPr>
          <w:p w:rsidR="00C666E7" w:rsidRPr="000600BA" w:rsidRDefault="000600BA" w:rsidP="000600BA">
            <w:pPr>
              <w:rPr>
                <w:sz w:val="16"/>
              </w:rPr>
            </w:pPr>
            <w:r>
              <w:rPr>
                <w:sz w:val="16"/>
              </w:rPr>
              <w:t xml:space="preserve">≥ </w:t>
            </w:r>
            <w:r w:rsidRPr="000600BA">
              <w:rPr>
                <w:sz w:val="16"/>
              </w:rPr>
              <w:t>95%</w:t>
            </w:r>
            <w:r>
              <w:rPr>
                <w:sz w:val="16"/>
              </w:rPr>
              <w:t xml:space="preserve"> sequence identity predicts presence predicts resistance</w:t>
            </w:r>
            <w:r w:rsidR="00C666E7" w:rsidRPr="000600BA">
              <w:rPr>
                <w:sz w:val="16"/>
              </w:rPr>
              <w:t xml:space="preserve"> </w:t>
            </w:r>
          </w:p>
          <w:p w:rsidR="00C666E7" w:rsidRPr="00C666E7" w:rsidRDefault="00C666E7" w:rsidP="00B0560B">
            <w:pPr>
              <w:rPr>
                <w:sz w:val="16"/>
              </w:rPr>
            </w:pPr>
          </w:p>
        </w:tc>
      </w:tr>
      <w:tr w:rsidR="007951DD" w:rsidRPr="00C666E7" w:rsidTr="00873B1B">
        <w:trPr>
          <w:trHeight w:val="422"/>
        </w:trPr>
        <w:tc>
          <w:tcPr>
            <w:tcW w:w="1350" w:type="dxa"/>
            <w:noWrap/>
          </w:tcPr>
          <w:p w:rsidR="007951DD" w:rsidRPr="000600BA" w:rsidRDefault="007951DD" w:rsidP="00792903">
            <w:pPr>
              <w:rPr>
                <w:sz w:val="16"/>
              </w:rPr>
            </w:pPr>
            <w:r w:rsidRPr="000600BA">
              <w:rPr>
                <w:sz w:val="16"/>
              </w:rPr>
              <w:t>23SWT1-1 (34)</w:t>
            </w:r>
            <w:r w:rsidR="000600BA" w:rsidRPr="000600BA">
              <w:rPr>
                <w:sz w:val="16"/>
                <w:vertAlign w:val="superscript"/>
              </w:rPr>
              <w:t>A</w:t>
            </w:r>
          </w:p>
          <w:p w:rsidR="007951DD" w:rsidRPr="000600BA" w:rsidRDefault="007951DD" w:rsidP="00792903">
            <w:pPr>
              <w:rPr>
                <w:sz w:val="16"/>
                <w:vertAlign w:val="superscript"/>
              </w:rPr>
            </w:pPr>
            <w:r w:rsidRPr="000600BA">
              <w:rPr>
                <w:sz w:val="16"/>
              </w:rPr>
              <w:t>23SWT2-1 (34)</w:t>
            </w:r>
            <w:r w:rsidR="000600BA" w:rsidRPr="000600BA">
              <w:rPr>
                <w:sz w:val="16"/>
                <w:vertAlign w:val="superscript"/>
              </w:rPr>
              <w:t>A</w:t>
            </w:r>
          </w:p>
          <w:p w:rsidR="004A087D" w:rsidRPr="000600BA" w:rsidRDefault="004A087D" w:rsidP="00792903">
            <w:pPr>
              <w:rPr>
                <w:sz w:val="16"/>
              </w:rPr>
            </w:pPr>
          </w:p>
        </w:tc>
        <w:tc>
          <w:tcPr>
            <w:tcW w:w="1787" w:type="dxa"/>
          </w:tcPr>
          <w:p w:rsidR="007951DD" w:rsidRPr="00C666E7" w:rsidRDefault="007951DD" w:rsidP="00792903">
            <w:pPr>
              <w:rPr>
                <w:sz w:val="16"/>
              </w:rPr>
            </w:pPr>
            <w:r w:rsidRPr="00C666E7">
              <w:rPr>
                <w:sz w:val="16"/>
              </w:rPr>
              <w:t>macrolides, lincosamides</w:t>
            </w:r>
          </w:p>
          <w:p w:rsidR="007951DD" w:rsidRPr="00C666E7" w:rsidRDefault="007951DD" w:rsidP="00792903">
            <w:pPr>
              <w:rPr>
                <w:sz w:val="16"/>
              </w:rPr>
            </w:pPr>
            <w:r w:rsidRPr="00C666E7">
              <w:rPr>
                <w:sz w:val="16"/>
              </w:rPr>
              <w:t>streptogramins</w:t>
            </w:r>
          </w:p>
        </w:tc>
        <w:tc>
          <w:tcPr>
            <w:tcW w:w="3379" w:type="dxa"/>
          </w:tcPr>
          <w:p w:rsidR="007951DD" w:rsidRDefault="006111EA" w:rsidP="00792903">
            <w:pPr>
              <w:rPr>
                <w:sz w:val="16"/>
              </w:rPr>
            </w:pPr>
            <w:r>
              <w:rPr>
                <w:sz w:val="16"/>
              </w:rPr>
              <w:t>AE007317,19182-19215</w:t>
            </w:r>
          </w:p>
          <w:p w:rsidR="004A087D" w:rsidRDefault="004A087D" w:rsidP="00792903">
            <w:pPr>
              <w:rPr>
                <w:sz w:val="16"/>
              </w:rPr>
            </w:pPr>
            <w:r>
              <w:rPr>
                <w:sz w:val="16"/>
              </w:rPr>
              <w:t>AE007317,19741-19770</w:t>
            </w:r>
          </w:p>
          <w:p w:rsidR="004A087D" w:rsidRPr="004A087D" w:rsidRDefault="004A087D" w:rsidP="004A087D">
            <w:pPr>
              <w:pStyle w:val="ListParagraph"/>
              <w:numPr>
                <w:ilvl w:val="0"/>
                <w:numId w:val="3"/>
              </w:numPr>
              <w:rPr>
                <w:sz w:val="16"/>
              </w:rPr>
            </w:pPr>
            <w:r w:rsidRPr="004A087D">
              <w:rPr>
                <w:sz w:val="16"/>
              </w:rPr>
              <w:t>these coordinates depict only 1 of 4 copies of 23S rRNA gene</w:t>
            </w:r>
          </w:p>
        </w:tc>
        <w:tc>
          <w:tcPr>
            <w:tcW w:w="4824" w:type="dxa"/>
          </w:tcPr>
          <w:p w:rsidR="006111EA" w:rsidRDefault="007951DD" w:rsidP="00792903">
            <w:pPr>
              <w:rPr>
                <w:sz w:val="16"/>
              </w:rPr>
            </w:pPr>
            <w:r w:rsidRPr="00C666E7">
              <w:rPr>
                <w:sz w:val="16"/>
              </w:rPr>
              <w:t>Specific base substitutions</w:t>
            </w:r>
            <w:r w:rsidR="004A087D">
              <w:rPr>
                <w:sz w:val="16"/>
              </w:rPr>
              <w:t xml:space="preserve"> (rare)</w:t>
            </w:r>
            <w:r w:rsidRPr="00C666E7">
              <w:rPr>
                <w:sz w:val="16"/>
              </w:rPr>
              <w:t xml:space="preserve"> confer resistance</w:t>
            </w:r>
            <w:r w:rsidR="006111EA">
              <w:rPr>
                <w:sz w:val="16"/>
              </w:rPr>
              <w:t xml:space="preserve">. Analyze and </w:t>
            </w:r>
          </w:p>
          <w:p w:rsidR="007951DD" w:rsidRDefault="006111EA" w:rsidP="00792903">
            <w:pPr>
              <w:rPr>
                <w:sz w:val="16"/>
              </w:rPr>
            </w:pPr>
            <w:proofErr w:type="gramStart"/>
            <w:r>
              <w:rPr>
                <w:sz w:val="16"/>
              </w:rPr>
              <w:t>document</w:t>
            </w:r>
            <w:proofErr w:type="gramEnd"/>
            <w:r>
              <w:rPr>
                <w:sz w:val="16"/>
              </w:rPr>
              <w:t xml:space="preserve"> phenotypes for all encountered substitutions.</w:t>
            </w:r>
          </w:p>
          <w:p w:rsidR="006111EA" w:rsidRPr="00C666E7" w:rsidRDefault="005B4DDB" w:rsidP="00792903">
            <w:pPr>
              <w:rPr>
                <w:sz w:val="16"/>
              </w:rPr>
            </w:pPr>
            <w:r>
              <w:rPr>
                <w:sz w:val="16"/>
              </w:rPr>
              <w:t>A2060C, A2061G</w:t>
            </w:r>
            <w:r w:rsidR="006111EA">
              <w:rPr>
                <w:sz w:val="16"/>
              </w:rPr>
              <w:t>, C2613G  predict</w:t>
            </w:r>
            <w:r w:rsidR="008D773E">
              <w:rPr>
                <w:sz w:val="16"/>
              </w:rPr>
              <w:t xml:space="preserve"> erythromycin + clindamycin resistance</w:t>
            </w:r>
          </w:p>
        </w:tc>
      </w:tr>
      <w:tr w:rsidR="007951DD" w:rsidRPr="00C666E7" w:rsidTr="00873B1B">
        <w:trPr>
          <w:trHeight w:val="136"/>
        </w:trPr>
        <w:tc>
          <w:tcPr>
            <w:tcW w:w="1350" w:type="dxa"/>
            <w:noWrap/>
          </w:tcPr>
          <w:p w:rsidR="007951DD" w:rsidRPr="000600BA" w:rsidRDefault="00EC2892" w:rsidP="00792903">
            <w:pPr>
              <w:rPr>
                <w:bCs/>
                <w:sz w:val="16"/>
              </w:rPr>
            </w:pPr>
            <w:r w:rsidRPr="000600BA">
              <w:rPr>
                <w:bCs/>
                <w:i/>
                <w:sz w:val="16"/>
              </w:rPr>
              <w:t>rplD-1</w:t>
            </w:r>
            <w:r w:rsidR="007951DD" w:rsidRPr="000600BA">
              <w:rPr>
                <w:bCs/>
                <w:sz w:val="16"/>
              </w:rPr>
              <w:t xml:space="preserve"> (36)</w:t>
            </w:r>
            <w:r w:rsidR="000600BA" w:rsidRPr="000600BA">
              <w:rPr>
                <w:sz w:val="16"/>
                <w:vertAlign w:val="superscript"/>
              </w:rPr>
              <w:t xml:space="preserve"> A</w:t>
            </w:r>
          </w:p>
          <w:p w:rsidR="007951DD" w:rsidRPr="000600BA" w:rsidRDefault="00EC2892" w:rsidP="00792903">
            <w:pPr>
              <w:rPr>
                <w:bCs/>
                <w:sz w:val="16"/>
                <w:vertAlign w:val="superscript"/>
              </w:rPr>
            </w:pPr>
            <w:r w:rsidRPr="000600BA">
              <w:rPr>
                <w:bCs/>
                <w:i/>
                <w:sz w:val="16"/>
              </w:rPr>
              <w:t>rplD</w:t>
            </w:r>
            <w:r w:rsidR="007951DD" w:rsidRPr="000600BA">
              <w:rPr>
                <w:bCs/>
                <w:sz w:val="16"/>
              </w:rPr>
              <w:t>-2 (30)</w:t>
            </w:r>
            <w:r w:rsidR="000600BA" w:rsidRPr="000600BA">
              <w:rPr>
                <w:sz w:val="16"/>
                <w:vertAlign w:val="superscript"/>
              </w:rPr>
              <w:t xml:space="preserve"> A</w:t>
            </w:r>
          </w:p>
          <w:p w:rsidR="007951DD" w:rsidRPr="000600BA" w:rsidRDefault="00EC2892" w:rsidP="00792903">
            <w:pPr>
              <w:rPr>
                <w:bCs/>
                <w:sz w:val="16"/>
              </w:rPr>
            </w:pPr>
            <w:r w:rsidRPr="00873B1B">
              <w:rPr>
                <w:bCs/>
                <w:i/>
                <w:sz w:val="16"/>
              </w:rPr>
              <w:t>rplV</w:t>
            </w:r>
            <w:r w:rsidRPr="007E6524">
              <w:rPr>
                <w:b/>
                <w:bCs/>
                <w:i/>
                <w:sz w:val="16"/>
              </w:rPr>
              <w:t>-1</w:t>
            </w:r>
            <w:r w:rsidR="007951DD" w:rsidRPr="000600BA">
              <w:rPr>
                <w:bCs/>
                <w:sz w:val="16"/>
              </w:rPr>
              <w:t xml:space="preserve"> (27)</w:t>
            </w:r>
            <w:r w:rsidR="000600BA" w:rsidRPr="000600BA">
              <w:rPr>
                <w:sz w:val="16"/>
                <w:vertAlign w:val="superscript"/>
              </w:rPr>
              <w:t xml:space="preserve"> A</w:t>
            </w:r>
          </w:p>
          <w:p w:rsidR="007951DD" w:rsidRPr="00C666E7" w:rsidRDefault="00EC2892" w:rsidP="00792903">
            <w:pPr>
              <w:rPr>
                <w:bCs/>
                <w:sz w:val="16"/>
              </w:rPr>
            </w:pPr>
            <w:r w:rsidRPr="00873B1B">
              <w:rPr>
                <w:bCs/>
                <w:i/>
                <w:sz w:val="16"/>
              </w:rPr>
              <w:t>rplV</w:t>
            </w:r>
            <w:r w:rsidRPr="007E6524">
              <w:rPr>
                <w:b/>
                <w:bCs/>
                <w:i/>
                <w:sz w:val="16"/>
              </w:rPr>
              <w:t>-2</w:t>
            </w:r>
            <w:r w:rsidR="007951DD" w:rsidRPr="000600BA">
              <w:rPr>
                <w:bCs/>
                <w:sz w:val="16"/>
              </w:rPr>
              <w:t xml:space="preserve"> (30)</w:t>
            </w:r>
            <w:r w:rsidR="000600BA" w:rsidRPr="000600BA">
              <w:rPr>
                <w:sz w:val="16"/>
                <w:vertAlign w:val="superscript"/>
              </w:rPr>
              <w:t xml:space="preserve"> A</w:t>
            </w:r>
          </w:p>
        </w:tc>
        <w:tc>
          <w:tcPr>
            <w:tcW w:w="1787" w:type="dxa"/>
          </w:tcPr>
          <w:p w:rsidR="007951DD" w:rsidRPr="00C666E7" w:rsidRDefault="007951DD" w:rsidP="00C666E7">
            <w:pPr>
              <w:rPr>
                <w:bCs/>
                <w:sz w:val="16"/>
              </w:rPr>
            </w:pPr>
            <w:r w:rsidRPr="00C666E7">
              <w:rPr>
                <w:bCs/>
                <w:sz w:val="16"/>
              </w:rPr>
              <w:t>macrolides</w:t>
            </w:r>
            <w:r>
              <w:rPr>
                <w:bCs/>
                <w:sz w:val="16"/>
              </w:rPr>
              <w:t>,</w:t>
            </w:r>
            <w:r w:rsidRPr="00C666E7">
              <w:rPr>
                <w:bCs/>
                <w:sz w:val="16"/>
              </w:rPr>
              <w:t xml:space="preserve"> streptogramins</w:t>
            </w:r>
          </w:p>
          <w:p w:rsidR="007951DD" w:rsidRPr="00C666E7" w:rsidRDefault="007951DD" w:rsidP="00C666E7">
            <w:pPr>
              <w:rPr>
                <w:sz w:val="16"/>
              </w:rPr>
            </w:pPr>
          </w:p>
        </w:tc>
        <w:tc>
          <w:tcPr>
            <w:tcW w:w="3379" w:type="dxa"/>
          </w:tcPr>
          <w:p w:rsidR="007951DD" w:rsidRDefault="007951DD" w:rsidP="00B0560B">
            <w:pPr>
              <w:rPr>
                <w:sz w:val="16"/>
              </w:rPr>
            </w:pPr>
            <w:r>
              <w:rPr>
                <w:i/>
                <w:sz w:val="16"/>
              </w:rPr>
              <w:t>rplD-1</w:t>
            </w:r>
            <w:r w:rsidR="00594D81">
              <w:rPr>
                <w:sz w:val="16"/>
              </w:rPr>
              <w:t>:</w:t>
            </w:r>
            <w:r>
              <w:rPr>
                <w:i/>
                <w:sz w:val="16"/>
              </w:rPr>
              <w:t xml:space="preserve"> </w:t>
            </w:r>
            <w:r>
              <w:rPr>
                <w:sz w:val="16"/>
              </w:rPr>
              <w:t>A</w:t>
            </w:r>
            <w:r w:rsidRPr="00C666E7">
              <w:rPr>
                <w:sz w:val="16"/>
              </w:rPr>
              <w:t>E007317,</w:t>
            </w:r>
            <w:r>
              <w:rPr>
                <w:sz w:val="16"/>
              </w:rPr>
              <w:t>196913-196948</w:t>
            </w:r>
          </w:p>
          <w:p w:rsidR="007951DD" w:rsidRDefault="007951DD" w:rsidP="00B0560B">
            <w:pPr>
              <w:rPr>
                <w:sz w:val="16"/>
              </w:rPr>
            </w:pPr>
            <w:r>
              <w:rPr>
                <w:i/>
                <w:sz w:val="16"/>
              </w:rPr>
              <w:t>rplD</w:t>
            </w:r>
            <w:r>
              <w:rPr>
                <w:sz w:val="16"/>
              </w:rPr>
              <w:t>-2</w:t>
            </w:r>
            <w:r w:rsidR="00594D81">
              <w:rPr>
                <w:sz w:val="16"/>
              </w:rPr>
              <w:t>:</w:t>
            </w:r>
            <w:r>
              <w:rPr>
                <w:sz w:val="16"/>
              </w:rPr>
              <w:t xml:space="preserve"> AE007317,196787-196839</w:t>
            </w:r>
          </w:p>
          <w:p w:rsidR="007951DD" w:rsidRDefault="007951DD" w:rsidP="00B0560B">
            <w:pPr>
              <w:rPr>
                <w:sz w:val="16"/>
              </w:rPr>
            </w:pPr>
            <w:r>
              <w:rPr>
                <w:i/>
                <w:sz w:val="16"/>
              </w:rPr>
              <w:t>rplV-1</w:t>
            </w:r>
            <w:r w:rsidR="00594D81">
              <w:rPr>
                <w:sz w:val="16"/>
              </w:rPr>
              <w:t>: AE007317,199197-199223</w:t>
            </w:r>
          </w:p>
          <w:p w:rsidR="00594D81" w:rsidRPr="00594D81" w:rsidRDefault="00594D81" w:rsidP="00B0560B">
            <w:pPr>
              <w:rPr>
                <w:sz w:val="16"/>
              </w:rPr>
            </w:pPr>
            <w:r>
              <w:rPr>
                <w:i/>
                <w:sz w:val="16"/>
              </w:rPr>
              <w:t xml:space="preserve">rplV-2 </w:t>
            </w:r>
            <w:r>
              <w:rPr>
                <w:sz w:val="16"/>
              </w:rPr>
              <w:t>: AE007317,199143-199172</w:t>
            </w:r>
          </w:p>
        </w:tc>
        <w:tc>
          <w:tcPr>
            <w:tcW w:w="4824" w:type="dxa"/>
          </w:tcPr>
          <w:p w:rsidR="006111EA" w:rsidRDefault="007951DD" w:rsidP="006111EA">
            <w:pPr>
              <w:rPr>
                <w:sz w:val="16"/>
              </w:rPr>
            </w:pPr>
            <w:r>
              <w:rPr>
                <w:bCs/>
                <w:sz w:val="16"/>
              </w:rPr>
              <w:t>Specific t</w:t>
            </w:r>
            <w:r w:rsidRPr="00C666E7">
              <w:rPr>
                <w:bCs/>
                <w:sz w:val="16"/>
              </w:rPr>
              <w:t>ranslational changes</w:t>
            </w:r>
            <w:r w:rsidR="004A087D">
              <w:rPr>
                <w:bCs/>
                <w:sz w:val="16"/>
              </w:rPr>
              <w:t xml:space="preserve"> (rare)</w:t>
            </w:r>
            <w:r w:rsidRPr="00C666E7">
              <w:rPr>
                <w:bCs/>
                <w:sz w:val="16"/>
              </w:rPr>
              <w:t xml:space="preserve"> predict resistance</w:t>
            </w:r>
            <w:r w:rsidR="006111EA">
              <w:rPr>
                <w:bCs/>
                <w:sz w:val="16"/>
              </w:rPr>
              <w:t xml:space="preserve">. </w:t>
            </w:r>
            <w:r w:rsidR="006111EA">
              <w:rPr>
                <w:sz w:val="16"/>
              </w:rPr>
              <w:t xml:space="preserve">Analyze and </w:t>
            </w:r>
          </w:p>
          <w:p w:rsidR="006111EA" w:rsidRDefault="006111EA" w:rsidP="006111EA">
            <w:pPr>
              <w:rPr>
                <w:sz w:val="16"/>
              </w:rPr>
            </w:pPr>
            <w:proofErr w:type="gramStart"/>
            <w:r>
              <w:rPr>
                <w:sz w:val="16"/>
              </w:rPr>
              <w:t>document</w:t>
            </w:r>
            <w:proofErr w:type="gramEnd"/>
            <w:r>
              <w:rPr>
                <w:sz w:val="16"/>
              </w:rPr>
              <w:t xml:space="preserve"> phenotypes for all encountered variants.</w:t>
            </w:r>
          </w:p>
          <w:p w:rsidR="007951DD" w:rsidRPr="00C666E7" w:rsidRDefault="007951DD" w:rsidP="00C666E7">
            <w:pPr>
              <w:rPr>
                <w:bCs/>
                <w:sz w:val="16"/>
              </w:rPr>
            </w:pPr>
          </w:p>
          <w:p w:rsidR="007951DD" w:rsidRPr="00C666E7" w:rsidRDefault="007951DD" w:rsidP="00B0560B">
            <w:pPr>
              <w:rPr>
                <w:sz w:val="16"/>
              </w:rPr>
            </w:pPr>
          </w:p>
        </w:tc>
      </w:tr>
      <w:tr w:rsidR="007951DD" w:rsidRPr="00C666E7" w:rsidTr="00873B1B">
        <w:trPr>
          <w:trHeight w:val="308"/>
        </w:trPr>
        <w:tc>
          <w:tcPr>
            <w:tcW w:w="1350" w:type="dxa"/>
            <w:noWrap/>
          </w:tcPr>
          <w:p w:rsidR="007951DD" w:rsidRPr="00C666E7" w:rsidRDefault="00EC2892" w:rsidP="00C666E7">
            <w:pPr>
              <w:rPr>
                <w:color w:val="00B050"/>
                <w:sz w:val="16"/>
              </w:rPr>
            </w:pPr>
            <w:r w:rsidRPr="001513F6">
              <w:rPr>
                <w:i/>
                <w:sz w:val="16"/>
              </w:rPr>
              <w:t>ermB</w:t>
            </w:r>
            <w:r w:rsidRPr="001513F6">
              <w:rPr>
                <w:sz w:val="16"/>
              </w:rPr>
              <w:t xml:space="preserve"> leader</w:t>
            </w:r>
            <w:r w:rsidR="007951DD" w:rsidRPr="001513F6">
              <w:rPr>
                <w:sz w:val="16"/>
              </w:rPr>
              <w:t xml:space="preserve"> (69)</w:t>
            </w:r>
            <w:r w:rsidR="00454F86">
              <w:rPr>
                <w:sz w:val="16"/>
                <w:vertAlign w:val="superscript"/>
              </w:rPr>
              <w:t>B</w:t>
            </w:r>
          </w:p>
        </w:tc>
        <w:tc>
          <w:tcPr>
            <w:tcW w:w="1787" w:type="dxa"/>
          </w:tcPr>
          <w:p w:rsidR="007951DD" w:rsidRPr="00C666E7" w:rsidRDefault="007951DD" w:rsidP="00B0560B">
            <w:pPr>
              <w:rPr>
                <w:sz w:val="16"/>
              </w:rPr>
            </w:pPr>
            <w:r w:rsidRPr="00C666E7">
              <w:rPr>
                <w:sz w:val="16"/>
              </w:rPr>
              <w:t>telithromycin</w:t>
            </w:r>
          </w:p>
        </w:tc>
        <w:tc>
          <w:tcPr>
            <w:tcW w:w="3379" w:type="dxa"/>
          </w:tcPr>
          <w:p w:rsidR="007951DD" w:rsidRPr="00594D81" w:rsidRDefault="00594D81" w:rsidP="00B0560B">
            <w:pPr>
              <w:rPr>
                <w:sz w:val="16"/>
              </w:rPr>
            </w:pPr>
            <w:r>
              <w:rPr>
                <w:sz w:val="16"/>
              </w:rPr>
              <w:t>HG799494,43866-43926</w:t>
            </w:r>
          </w:p>
        </w:tc>
        <w:tc>
          <w:tcPr>
            <w:tcW w:w="4824" w:type="dxa"/>
          </w:tcPr>
          <w:p w:rsidR="007951DD" w:rsidRPr="00C666E7" w:rsidRDefault="00886C9B" w:rsidP="00C666E7">
            <w:pPr>
              <w:rPr>
                <w:sz w:val="16"/>
              </w:rPr>
            </w:pPr>
            <w:r>
              <w:rPr>
                <w:sz w:val="16"/>
              </w:rPr>
              <w:t>A</w:t>
            </w:r>
            <w:r w:rsidR="007951DD" w:rsidRPr="00C666E7">
              <w:rPr>
                <w:sz w:val="16"/>
              </w:rPr>
              <w:t xml:space="preserve">lterations in </w:t>
            </w:r>
            <w:r w:rsidR="007951DD" w:rsidRPr="00C666E7">
              <w:rPr>
                <w:i/>
                <w:sz w:val="16"/>
              </w:rPr>
              <w:t>ermB</w:t>
            </w:r>
            <w:r w:rsidR="001513F6">
              <w:rPr>
                <w:sz w:val="16"/>
              </w:rPr>
              <w:t xml:space="preserve"> leader sequence can cause</w:t>
            </w:r>
            <w:r w:rsidR="007951DD" w:rsidRPr="00C666E7">
              <w:rPr>
                <w:sz w:val="16"/>
              </w:rPr>
              <w:t xml:space="preserve"> high level</w:t>
            </w:r>
          </w:p>
          <w:p w:rsidR="007951DD" w:rsidRPr="00C666E7" w:rsidRDefault="00886C9B" w:rsidP="00C666E7">
            <w:pPr>
              <w:rPr>
                <w:sz w:val="16"/>
              </w:rPr>
            </w:pPr>
            <w:r>
              <w:rPr>
                <w:sz w:val="16"/>
              </w:rPr>
              <w:t>MLS resistance, and rare variants confer telithromycin-resistance</w:t>
            </w:r>
          </w:p>
        </w:tc>
      </w:tr>
      <w:tr w:rsidR="007951DD" w:rsidRPr="00C666E7" w:rsidTr="00873B1B">
        <w:trPr>
          <w:trHeight w:val="218"/>
        </w:trPr>
        <w:tc>
          <w:tcPr>
            <w:tcW w:w="1350" w:type="dxa"/>
            <w:noWrap/>
          </w:tcPr>
          <w:p w:rsidR="007951DD" w:rsidRPr="00454F86" w:rsidRDefault="00EC2892" w:rsidP="00B0560B">
            <w:pPr>
              <w:rPr>
                <w:i/>
                <w:sz w:val="16"/>
              </w:rPr>
            </w:pPr>
            <w:r w:rsidRPr="00454F86">
              <w:rPr>
                <w:i/>
                <w:sz w:val="16"/>
              </w:rPr>
              <w:t>mefA</w:t>
            </w:r>
            <w:r w:rsidR="007951DD" w:rsidRPr="00454F86">
              <w:rPr>
                <w:sz w:val="16"/>
              </w:rPr>
              <w:t xml:space="preserve"> (67)</w:t>
            </w:r>
          </w:p>
        </w:tc>
        <w:tc>
          <w:tcPr>
            <w:tcW w:w="1787" w:type="dxa"/>
          </w:tcPr>
          <w:p w:rsidR="007951DD" w:rsidRPr="00C666E7" w:rsidRDefault="007951DD" w:rsidP="00B0560B">
            <w:pPr>
              <w:rPr>
                <w:sz w:val="16"/>
              </w:rPr>
            </w:pPr>
            <w:r w:rsidRPr="00C666E7">
              <w:rPr>
                <w:sz w:val="16"/>
              </w:rPr>
              <w:t>macrolides</w:t>
            </w:r>
          </w:p>
        </w:tc>
        <w:tc>
          <w:tcPr>
            <w:tcW w:w="3379" w:type="dxa"/>
          </w:tcPr>
          <w:p w:rsidR="007951DD" w:rsidRPr="00C666E7" w:rsidRDefault="00BC44CF" w:rsidP="00B0560B">
            <w:pPr>
              <w:rPr>
                <w:sz w:val="16"/>
              </w:rPr>
            </w:pPr>
            <w:r>
              <w:rPr>
                <w:sz w:val="16"/>
              </w:rPr>
              <w:t>CP000921,2802680-1802746</w:t>
            </w:r>
          </w:p>
        </w:tc>
        <w:tc>
          <w:tcPr>
            <w:tcW w:w="4824" w:type="dxa"/>
          </w:tcPr>
          <w:p w:rsidR="007951DD" w:rsidRPr="00C666E7" w:rsidRDefault="000600BA" w:rsidP="00B0560B">
            <w:pPr>
              <w:rPr>
                <w:sz w:val="16"/>
              </w:rPr>
            </w:pPr>
            <w:r>
              <w:rPr>
                <w:sz w:val="16"/>
              </w:rPr>
              <w:t xml:space="preserve">≥ </w:t>
            </w:r>
            <w:r w:rsidRPr="000600BA">
              <w:rPr>
                <w:sz w:val="16"/>
              </w:rPr>
              <w:t>95%</w:t>
            </w:r>
            <w:r>
              <w:rPr>
                <w:sz w:val="16"/>
              </w:rPr>
              <w:t xml:space="preserve"> sequence identity predicts resistance</w:t>
            </w:r>
            <w:r w:rsidRPr="000600BA">
              <w:rPr>
                <w:sz w:val="16"/>
              </w:rPr>
              <w:t xml:space="preserve"> </w:t>
            </w:r>
          </w:p>
        </w:tc>
      </w:tr>
      <w:tr w:rsidR="007951DD" w:rsidRPr="00C666E7" w:rsidTr="00873B1B">
        <w:trPr>
          <w:trHeight w:val="218"/>
        </w:trPr>
        <w:tc>
          <w:tcPr>
            <w:tcW w:w="1350" w:type="dxa"/>
            <w:noWrap/>
          </w:tcPr>
          <w:p w:rsidR="007951DD" w:rsidRPr="00454F86" w:rsidRDefault="00EC2892" w:rsidP="00690A58">
            <w:pPr>
              <w:rPr>
                <w:bCs/>
                <w:sz w:val="16"/>
              </w:rPr>
            </w:pPr>
            <w:r w:rsidRPr="00454F86">
              <w:rPr>
                <w:bCs/>
                <w:i/>
                <w:sz w:val="16"/>
              </w:rPr>
              <w:t>folA</w:t>
            </w:r>
            <w:r w:rsidR="007951DD" w:rsidRPr="00454F86">
              <w:rPr>
                <w:bCs/>
                <w:sz w:val="16"/>
              </w:rPr>
              <w:t xml:space="preserve"> (60)</w:t>
            </w:r>
          </w:p>
        </w:tc>
        <w:tc>
          <w:tcPr>
            <w:tcW w:w="1787" w:type="dxa"/>
          </w:tcPr>
          <w:p w:rsidR="007951DD" w:rsidRPr="00C666E7" w:rsidRDefault="007951DD" w:rsidP="00C9591C">
            <w:pPr>
              <w:rPr>
                <w:bCs/>
                <w:sz w:val="16"/>
              </w:rPr>
            </w:pPr>
            <w:r w:rsidRPr="00C666E7">
              <w:rPr>
                <w:bCs/>
                <w:sz w:val="16"/>
              </w:rPr>
              <w:t xml:space="preserve">trimethoprim </w:t>
            </w:r>
            <w:r w:rsidR="00925C33">
              <w:rPr>
                <w:bCs/>
                <w:sz w:val="16"/>
              </w:rPr>
              <w:t>resistance, intermediate cotrimoxazole-resistance</w:t>
            </w:r>
          </w:p>
        </w:tc>
        <w:tc>
          <w:tcPr>
            <w:tcW w:w="3379" w:type="dxa"/>
          </w:tcPr>
          <w:p w:rsidR="007951DD" w:rsidRPr="00C666E7" w:rsidRDefault="00B5583D" w:rsidP="00C9591C">
            <w:pPr>
              <w:rPr>
                <w:bCs/>
                <w:sz w:val="16"/>
              </w:rPr>
            </w:pPr>
            <w:r>
              <w:rPr>
                <w:sz w:val="16"/>
              </w:rPr>
              <w:t>AE007317,1413068-1413127</w:t>
            </w:r>
          </w:p>
        </w:tc>
        <w:tc>
          <w:tcPr>
            <w:tcW w:w="4824" w:type="dxa"/>
          </w:tcPr>
          <w:p w:rsidR="00285719" w:rsidRPr="00A3296A" w:rsidRDefault="007951DD" w:rsidP="00C9591C">
            <w:pPr>
              <w:rPr>
                <w:bCs/>
                <w:sz w:val="16"/>
              </w:rPr>
            </w:pPr>
            <w:r>
              <w:rPr>
                <w:bCs/>
                <w:sz w:val="16"/>
              </w:rPr>
              <w:t>I100</w:t>
            </w:r>
            <w:r w:rsidR="00A3296A">
              <w:rPr>
                <w:bCs/>
                <w:sz w:val="16"/>
              </w:rPr>
              <w:t>L substitutions (common) and D92R (not yet seen in ABCs isolates)</w:t>
            </w:r>
            <w:r w:rsidRPr="00C666E7">
              <w:rPr>
                <w:bCs/>
                <w:sz w:val="16"/>
              </w:rPr>
              <w:t xml:space="preserve"> confer</w:t>
            </w:r>
            <w:r>
              <w:rPr>
                <w:bCs/>
                <w:sz w:val="16"/>
              </w:rPr>
              <w:t xml:space="preserve"> trimethoprim</w:t>
            </w:r>
            <w:r w:rsidR="00285719">
              <w:rPr>
                <w:bCs/>
                <w:sz w:val="16"/>
              </w:rPr>
              <w:t xml:space="preserve"> resistance; I100L substitution</w:t>
            </w:r>
            <w:r w:rsidR="00925C33">
              <w:rPr>
                <w:bCs/>
                <w:sz w:val="16"/>
              </w:rPr>
              <w:t xml:space="preserve"> alone</w:t>
            </w:r>
            <w:r w:rsidR="00285719">
              <w:rPr>
                <w:bCs/>
                <w:sz w:val="16"/>
              </w:rPr>
              <w:t xml:space="preserve"> confers intermediate cotrimoxazole-resistance</w:t>
            </w:r>
            <w:r w:rsidR="00A3296A">
              <w:rPr>
                <w:bCs/>
                <w:sz w:val="16"/>
              </w:rPr>
              <w:t xml:space="preserve">. Usually seen in combination with </w:t>
            </w:r>
            <w:r w:rsidR="00A3296A">
              <w:rPr>
                <w:bCs/>
                <w:i/>
                <w:sz w:val="16"/>
              </w:rPr>
              <w:t>folP</w:t>
            </w:r>
            <w:r w:rsidR="00A3296A">
              <w:rPr>
                <w:bCs/>
                <w:sz w:val="16"/>
              </w:rPr>
              <w:t xml:space="preserve"> I100L with full cotrimoxaxole resistance (</w:t>
            </w:r>
            <w:r w:rsidR="00A3296A">
              <w:rPr>
                <w:bCs/>
                <w:sz w:val="16"/>
                <w:u w:val="single"/>
              </w:rPr>
              <w:t>&gt;</w:t>
            </w:r>
            <w:r w:rsidR="00A3296A">
              <w:rPr>
                <w:bCs/>
                <w:sz w:val="16"/>
              </w:rPr>
              <w:t xml:space="preserve"> 4 µg/ml).</w:t>
            </w:r>
          </w:p>
        </w:tc>
      </w:tr>
      <w:tr w:rsidR="007951DD" w:rsidRPr="00C666E7" w:rsidTr="00873B1B">
        <w:trPr>
          <w:trHeight w:val="263"/>
        </w:trPr>
        <w:tc>
          <w:tcPr>
            <w:tcW w:w="1350" w:type="dxa"/>
            <w:noWrap/>
          </w:tcPr>
          <w:p w:rsidR="007951DD" w:rsidRPr="00454F86" w:rsidRDefault="007951DD" w:rsidP="00C9591C">
            <w:pPr>
              <w:rPr>
                <w:sz w:val="16"/>
              </w:rPr>
            </w:pPr>
            <w:r w:rsidRPr="00454F86">
              <w:rPr>
                <w:sz w:val="16"/>
              </w:rPr>
              <w:t>FOLP-1(57)</w:t>
            </w:r>
          </w:p>
        </w:tc>
        <w:tc>
          <w:tcPr>
            <w:tcW w:w="1787" w:type="dxa"/>
          </w:tcPr>
          <w:p w:rsidR="007951DD" w:rsidRPr="00C666E7" w:rsidRDefault="007951DD" w:rsidP="00C9591C">
            <w:pPr>
              <w:rPr>
                <w:bCs/>
                <w:sz w:val="16"/>
              </w:rPr>
            </w:pPr>
            <w:r w:rsidRPr="00C666E7">
              <w:rPr>
                <w:bCs/>
                <w:sz w:val="16"/>
              </w:rPr>
              <w:t>sulfamethoxazole</w:t>
            </w:r>
            <w:r w:rsidR="00925C33">
              <w:rPr>
                <w:bCs/>
                <w:sz w:val="16"/>
              </w:rPr>
              <w:t xml:space="preserve"> resistance, intermediate cotrimoxazole resistance</w:t>
            </w:r>
            <w:r w:rsidRPr="00C666E7">
              <w:rPr>
                <w:bCs/>
                <w:sz w:val="16"/>
              </w:rPr>
              <w:t xml:space="preserve"> </w:t>
            </w:r>
          </w:p>
        </w:tc>
        <w:tc>
          <w:tcPr>
            <w:tcW w:w="3379" w:type="dxa"/>
          </w:tcPr>
          <w:p w:rsidR="007951DD" w:rsidRPr="00C666E7" w:rsidRDefault="00B5583D" w:rsidP="00690A58">
            <w:pPr>
              <w:rPr>
                <w:sz w:val="16"/>
              </w:rPr>
            </w:pPr>
            <w:r>
              <w:rPr>
                <w:sz w:val="16"/>
              </w:rPr>
              <w:t>AE007317,</w:t>
            </w:r>
            <w:r w:rsidR="00A3296A">
              <w:rPr>
                <w:sz w:val="16"/>
              </w:rPr>
              <w:t>268022-268300</w:t>
            </w:r>
          </w:p>
        </w:tc>
        <w:tc>
          <w:tcPr>
            <w:tcW w:w="4824" w:type="dxa"/>
          </w:tcPr>
          <w:p w:rsidR="007951DD" w:rsidRPr="00C666E7" w:rsidRDefault="007951DD" w:rsidP="00690A58">
            <w:pPr>
              <w:rPr>
                <w:sz w:val="16"/>
              </w:rPr>
            </w:pPr>
            <w:r w:rsidRPr="00C666E7">
              <w:rPr>
                <w:sz w:val="16"/>
              </w:rPr>
              <w:t>various insertions of 1-2 codons</w:t>
            </w:r>
            <w:r w:rsidR="000600BA">
              <w:rPr>
                <w:sz w:val="16"/>
              </w:rPr>
              <w:t xml:space="preserve"> </w:t>
            </w:r>
            <w:r w:rsidR="00A3296A">
              <w:rPr>
                <w:sz w:val="16"/>
              </w:rPr>
              <w:t xml:space="preserve">between bases 168 and 201 of </w:t>
            </w:r>
            <w:r w:rsidR="00A3296A">
              <w:rPr>
                <w:i/>
                <w:sz w:val="16"/>
              </w:rPr>
              <w:t>folP</w:t>
            </w:r>
            <w:r w:rsidR="00A3296A">
              <w:rPr>
                <w:sz w:val="16"/>
              </w:rPr>
              <w:t xml:space="preserve">  </w:t>
            </w:r>
            <w:r w:rsidR="00285719">
              <w:rPr>
                <w:sz w:val="16"/>
              </w:rPr>
              <w:t>confer sulfamethoxazole resistance and intermediate cotrimoxazole-resistance</w:t>
            </w:r>
          </w:p>
        </w:tc>
      </w:tr>
      <w:tr w:rsidR="007951DD" w:rsidRPr="00C666E7" w:rsidTr="00873B1B">
        <w:trPr>
          <w:trHeight w:val="263"/>
        </w:trPr>
        <w:tc>
          <w:tcPr>
            <w:tcW w:w="1350" w:type="dxa"/>
            <w:noWrap/>
          </w:tcPr>
          <w:p w:rsidR="007951DD" w:rsidRPr="00284B66" w:rsidRDefault="007951DD" w:rsidP="00C9591C">
            <w:pPr>
              <w:rPr>
                <w:sz w:val="16"/>
              </w:rPr>
            </w:pPr>
            <w:r w:rsidRPr="00454F86">
              <w:rPr>
                <w:i/>
                <w:sz w:val="16"/>
              </w:rPr>
              <w:t>folA-1</w:t>
            </w:r>
            <w:r w:rsidRPr="00454F86">
              <w:rPr>
                <w:sz w:val="16"/>
              </w:rPr>
              <w:t xml:space="preserve"> + </w:t>
            </w:r>
            <w:r w:rsidRPr="00454F86">
              <w:rPr>
                <w:i/>
                <w:sz w:val="16"/>
              </w:rPr>
              <w:t>folP-1</w:t>
            </w:r>
            <w:r w:rsidR="00284B66" w:rsidRPr="00284B66">
              <w:rPr>
                <w:sz w:val="16"/>
                <w:vertAlign w:val="superscript"/>
              </w:rPr>
              <w:t>c</w:t>
            </w:r>
          </w:p>
        </w:tc>
        <w:tc>
          <w:tcPr>
            <w:tcW w:w="1787" w:type="dxa"/>
          </w:tcPr>
          <w:p w:rsidR="004F25C3" w:rsidRDefault="004F25C3" w:rsidP="00C9591C">
            <w:pPr>
              <w:rPr>
                <w:bCs/>
                <w:sz w:val="16"/>
              </w:rPr>
            </w:pPr>
            <w:r>
              <w:rPr>
                <w:bCs/>
                <w:sz w:val="16"/>
              </w:rPr>
              <w:t>cotrimoxaxole</w:t>
            </w:r>
          </w:p>
          <w:p w:rsidR="00285719" w:rsidRDefault="00285719" w:rsidP="00C9591C">
            <w:pPr>
              <w:rPr>
                <w:bCs/>
                <w:sz w:val="16"/>
              </w:rPr>
            </w:pPr>
            <w:r>
              <w:rPr>
                <w:bCs/>
                <w:sz w:val="16"/>
              </w:rPr>
              <w:t>(</w:t>
            </w:r>
            <w:r w:rsidR="007951DD" w:rsidRPr="00C666E7">
              <w:rPr>
                <w:bCs/>
                <w:sz w:val="16"/>
              </w:rPr>
              <w:t>trimethoprim+</w:t>
            </w:r>
          </w:p>
          <w:p w:rsidR="007951DD" w:rsidRPr="00C666E7" w:rsidRDefault="007951DD" w:rsidP="00C9591C">
            <w:pPr>
              <w:rPr>
                <w:bCs/>
                <w:sz w:val="16"/>
              </w:rPr>
            </w:pPr>
            <w:r w:rsidRPr="00C666E7">
              <w:rPr>
                <w:bCs/>
                <w:sz w:val="16"/>
              </w:rPr>
              <w:t>sulfamethoxaxole</w:t>
            </w:r>
            <w:r w:rsidR="00285719">
              <w:rPr>
                <w:bCs/>
                <w:sz w:val="16"/>
              </w:rPr>
              <w:t>)</w:t>
            </w:r>
            <w:r w:rsidR="004F25C3">
              <w:rPr>
                <w:bCs/>
                <w:sz w:val="16"/>
              </w:rPr>
              <w:t xml:space="preserve"> resistance</w:t>
            </w:r>
          </w:p>
        </w:tc>
        <w:tc>
          <w:tcPr>
            <w:tcW w:w="3379" w:type="dxa"/>
          </w:tcPr>
          <w:p w:rsidR="007951DD" w:rsidRPr="00C666E7" w:rsidRDefault="007951DD" w:rsidP="00690A58">
            <w:pPr>
              <w:rPr>
                <w:sz w:val="16"/>
              </w:rPr>
            </w:pPr>
          </w:p>
        </w:tc>
        <w:tc>
          <w:tcPr>
            <w:tcW w:w="4824" w:type="dxa"/>
          </w:tcPr>
          <w:p w:rsidR="007951DD" w:rsidRPr="00C666E7" w:rsidRDefault="007951DD" w:rsidP="00690A58">
            <w:pPr>
              <w:rPr>
                <w:sz w:val="16"/>
              </w:rPr>
            </w:pPr>
            <w:proofErr w:type="gramStart"/>
            <w:r w:rsidRPr="00C666E7">
              <w:rPr>
                <w:sz w:val="16"/>
              </w:rPr>
              <w:t>combination</w:t>
            </w:r>
            <w:proofErr w:type="gramEnd"/>
            <w:r w:rsidRPr="00C666E7">
              <w:rPr>
                <w:sz w:val="16"/>
              </w:rPr>
              <w:t xml:space="preserve"> of two above features</w:t>
            </w:r>
            <w:r w:rsidR="00A3296A">
              <w:rPr>
                <w:sz w:val="16"/>
              </w:rPr>
              <w:t xml:space="preserve"> in </w:t>
            </w:r>
            <w:r w:rsidR="00A3296A">
              <w:rPr>
                <w:i/>
                <w:sz w:val="16"/>
              </w:rPr>
              <w:t>folA</w:t>
            </w:r>
            <w:r w:rsidR="00A3296A">
              <w:rPr>
                <w:sz w:val="16"/>
              </w:rPr>
              <w:t xml:space="preserve"> and </w:t>
            </w:r>
            <w:r w:rsidR="00A3296A">
              <w:rPr>
                <w:i/>
                <w:sz w:val="16"/>
              </w:rPr>
              <w:t>folP</w:t>
            </w:r>
            <w:r w:rsidR="000600BA">
              <w:rPr>
                <w:sz w:val="16"/>
              </w:rPr>
              <w:t xml:space="preserve"> predicts</w:t>
            </w:r>
            <w:r w:rsidR="00A3296A">
              <w:rPr>
                <w:sz w:val="16"/>
              </w:rPr>
              <w:t xml:space="preserve"> full</w:t>
            </w:r>
            <w:r w:rsidR="000600BA">
              <w:rPr>
                <w:sz w:val="16"/>
              </w:rPr>
              <w:t xml:space="preserve"> resistance</w:t>
            </w:r>
            <w:bookmarkStart w:id="0" w:name="_GoBack"/>
            <w:bookmarkEnd w:id="0"/>
            <w:r w:rsidR="00A3296A">
              <w:rPr>
                <w:sz w:val="16"/>
              </w:rPr>
              <w:t xml:space="preserve"> to cotrimoxazole.</w:t>
            </w:r>
          </w:p>
        </w:tc>
      </w:tr>
      <w:tr w:rsidR="007951DD" w:rsidRPr="00C666E7" w:rsidTr="00873B1B">
        <w:trPr>
          <w:trHeight w:val="218"/>
        </w:trPr>
        <w:tc>
          <w:tcPr>
            <w:tcW w:w="1350" w:type="dxa"/>
            <w:noWrap/>
          </w:tcPr>
          <w:p w:rsidR="007951DD" w:rsidRPr="00454F86" w:rsidRDefault="00CD4B66" w:rsidP="00C9591C">
            <w:pPr>
              <w:rPr>
                <w:sz w:val="16"/>
              </w:rPr>
            </w:pPr>
            <w:r w:rsidRPr="007E6524">
              <w:rPr>
                <w:b/>
                <w:i/>
                <w:sz w:val="16"/>
              </w:rPr>
              <w:t>gyrA</w:t>
            </w:r>
            <w:r w:rsidRPr="00454F86">
              <w:rPr>
                <w:sz w:val="16"/>
              </w:rPr>
              <w:t xml:space="preserve"> </w:t>
            </w:r>
            <w:r w:rsidR="007951DD" w:rsidRPr="00454F86">
              <w:rPr>
                <w:sz w:val="16"/>
              </w:rPr>
              <w:t>(78)</w:t>
            </w:r>
          </w:p>
        </w:tc>
        <w:tc>
          <w:tcPr>
            <w:tcW w:w="1787" w:type="dxa"/>
          </w:tcPr>
          <w:p w:rsidR="007951DD" w:rsidRPr="00C666E7" w:rsidRDefault="007951DD" w:rsidP="00C9591C">
            <w:pPr>
              <w:rPr>
                <w:bCs/>
                <w:sz w:val="16"/>
              </w:rPr>
            </w:pPr>
            <w:r w:rsidRPr="00C666E7">
              <w:rPr>
                <w:bCs/>
                <w:sz w:val="16"/>
              </w:rPr>
              <w:t xml:space="preserve">fluoroquinolones </w:t>
            </w:r>
          </w:p>
        </w:tc>
        <w:tc>
          <w:tcPr>
            <w:tcW w:w="3379" w:type="dxa"/>
          </w:tcPr>
          <w:p w:rsidR="007951DD" w:rsidRPr="00C666E7" w:rsidRDefault="00560DEA" w:rsidP="00C9591C">
            <w:pPr>
              <w:rPr>
                <w:sz w:val="16"/>
              </w:rPr>
            </w:pPr>
            <w:r>
              <w:rPr>
                <w:sz w:val="16"/>
              </w:rPr>
              <w:t>AE007317,1097644-1097721</w:t>
            </w:r>
          </w:p>
        </w:tc>
        <w:tc>
          <w:tcPr>
            <w:tcW w:w="4824" w:type="dxa"/>
          </w:tcPr>
          <w:p w:rsidR="007951DD" w:rsidRPr="00C666E7" w:rsidRDefault="00CD4B66" w:rsidP="00C9591C">
            <w:pPr>
              <w:rPr>
                <w:sz w:val="16"/>
              </w:rPr>
            </w:pPr>
            <w:r>
              <w:rPr>
                <w:sz w:val="16"/>
              </w:rPr>
              <w:t>S81Y or</w:t>
            </w:r>
            <w:r w:rsidR="007951DD" w:rsidRPr="00C666E7">
              <w:rPr>
                <w:sz w:val="16"/>
              </w:rPr>
              <w:t xml:space="preserve"> </w:t>
            </w:r>
            <w:r>
              <w:rPr>
                <w:sz w:val="16"/>
              </w:rPr>
              <w:t>S81</w:t>
            </w:r>
            <w:r w:rsidR="007951DD" w:rsidRPr="00C666E7">
              <w:rPr>
                <w:sz w:val="16"/>
              </w:rPr>
              <w:t>F</w:t>
            </w:r>
            <w:r w:rsidR="000600BA">
              <w:rPr>
                <w:sz w:val="16"/>
              </w:rPr>
              <w:t xml:space="preserve"> predicts resistance</w:t>
            </w:r>
            <w:r w:rsidR="00284B66" w:rsidRPr="00284B66">
              <w:rPr>
                <w:sz w:val="16"/>
                <w:vertAlign w:val="superscript"/>
              </w:rPr>
              <w:t>d</w:t>
            </w:r>
          </w:p>
        </w:tc>
      </w:tr>
      <w:tr w:rsidR="007951DD" w:rsidRPr="00C666E7" w:rsidTr="00873B1B">
        <w:trPr>
          <w:trHeight w:val="218"/>
        </w:trPr>
        <w:tc>
          <w:tcPr>
            <w:tcW w:w="1350" w:type="dxa"/>
            <w:noWrap/>
          </w:tcPr>
          <w:p w:rsidR="007951DD" w:rsidRPr="00454F86" w:rsidRDefault="007E6524">
            <w:pPr>
              <w:rPr>
                <w:bCs/>
                <w:sz w:val="16"/>
              </w:rPr>
            </w:pPr>
            <w:r>
              <w:rPr>
                <w:bCs/>
                <w:i/>
                <w:sz w:val="16"/>
              </w:rPr>
              <w:t>parC</w:t>
            </w:r>
            <w:r w:rsidR="007951DD" w:rsidRPr="00454F86">
              <w:rPr>
                <w:bCs/>
                <w:sz w:val="16"/>
              </w:rPr>
              <w:t xml:space="preserve"> (210)</w:t>
            </w:r>
          </w:p>
        </w:tc>
        <w:tc>
          <w:tcPr>
            <w:tcW w:w="1787" w:type="dxa"/>
          </w:tcPr>
          <w:p w:rsidR="007951DD" w:rsidRPr="00C666E7" w:rsidRDefault="007951DD" w:rsidP="00C9591C">
            <w:pPr>
              <w:rPr>
                <w:bCs/>
                <w:sz w:val="16"/>
              </w:rPr>
            </w:pPr>
            <w:r w:rsidRPr="00C666E7">
              <w:rPr>
                <w:bCs/>
                <w:sz w:val="16"/>
              </w:rPr>
              <w:t xml:space="preserve">fluoroquinolones </w:t>
            </w:r>
          </w:p>
        </w:tc>
        <w:tc>
          <w:tcPr>
            <w:tcW w:w="3379" w:type="dxa"/>
          </w:tcPr>
          <w:p w:rsidR="007951DD" w:rsidRPr="00C666E7" w:rsidRDefault="00560DEA">
            <w:pPr>
              <w:rPr>
                <w:sz w:val="16"/>
              </w:rPr>
            </w:pPr>
            <w:r>
              <w:rPr>
                <w:sz w:val="16"/>
              </w:rPr>
              <w:t>AE007317,752481-752690</w:t>
            </w:r>
          </w:p>
        </w:tc>
        <w:tc>
          <w:tcPr>
            <w:tcW w:w="4824" w:type="dxa"/>
          </w:tcPr>
          <w:p w:rsidR="007951DD" w:rsidRPr="00C666E7" w:rsidRDefault="000600BA">
            <w:pPr>
              <w:rPr>
                <w:b/>
                <w:bCs/>
                <w:sz w:val="16"/>
              </w:rPr>
            </w:pPr>
            <w:r>
              <w:rPr>
                <w:sz w:val="16"/>
              </w:rPr>
              <w:t xml:space="preserve">each of </w:t>
            </w:r>
            <w:r w:rsidR="0016477D">
              <w:rPr>
                <w:sz w:val="16"/>
              </w:rPr>
              <w:t>S79F,</w:t>
            </w:r>
            <w:r w:rsidR="004627C2">
              <w:rPr>
                <w:sz w:val="16"/>
              </w:rPr>
              <w:t xml:space="preserve"> S79Y,</w:t>
            </w:r>
            <w:r w:rsidR="0016477D">
              <w:rPr>
                <w:sz w:val="16"/>
              </w:rPr>
              <w:t xml:space="preserve"> D83N, D83</w:t>
            </w:r>
            <w:r w:rsidR="007951DD" w:rsidRPr="00C666E7">
              <w:rPr>
                <w:sz w:val="16"/>
              </w:rPr>
              <w:t>Y,</w:t>
            </w:r>
            <w:r w:rsidR="0016477D">
              <w:rPr>
                <w:sz w:val="16"/>
              </w:rPr>
              <w:t xml:space="preserve"> N91D, N91N</w:t>
            </w:r>
            <w:r>
              <w:rPr>
                <w:sz w:val="16"/>
              </w:rPr>
              <w:t xml:space="preserve"> predict resistance</w:t>
            </w:r>
            <w:r w:rsidR="00284B66">
              <w:rPr>
                <w:sz w:val="16"/>
                <w:vertAlign w:val="superscript"/>
              </w:rPr>
              <w:t>D</w:t>
            </w:r>
          </w:p>
        </w:tc>
      </w:tr>
      <w:tr w:rsidR="007951DD" w:rsidRPr="00C666E7" w:rsidTr="00873B1B">
        <w:trPr>
          <w:trHeight w:val="218"/>
        </w:trPr>
        <w:tc>
          <w:tcPr>
            <w:tcW w:w="1350" w:type="dxa"/>
            <w:noWrap/>
          </w:tcPr>
          <w:p w:rsidR="007951DD" w:rsidRPr="00454F86" w:rsidRDefault="007951DD">
            <w:pPr>
              <w:rPr>
                <w:sz w:val="16"/>
              </w:rPr>
            </w:pPr>
            <w:r w:rsidRPr="00454F86">
              <w:rPr>
                <w:i/>
                <w:sz w:val="16"/>
              </w:rPr>
              <w:t>gyrA-1</w:t>
            </w:r>
            <w:r w:rsidRPr="00454F86">
              <w:rPr>
                <w:sz w:val="16"/>
              </w:rPr>
              <w:t>+</w:t>
            </w:r>
            <w:r w:rsidRPr="00454F86">
              <w:rPr>
                <w:i/>
                <w:sz w:val="16"/>
              </w:rPr>
              <w:t>parC-1</w:t>
            </w:r>
          </w:p>
        </w:tc>
        <w:tc>
          <w:tcPr>
            <w:tcW w:w="1787" w:type="dxa"/>
          </w:tcPr>
          <w:p w:rsidR="007951DD" w:rsidRPr="00C666E7" w:rsidRDefault="007951DD" w:rsidP="00C9591C">
            <w:pPr>
              <w:rPr>
                <w:bCs/>
                <w:sz w:val="16"/>
              </w:rPr>
            </w:pPr>
            <w:r w:rsidRPr="00C666E7">
              <w:rPr>
                <w:bCs/>
                <w:sz w:val="16"/>
              </w:rPr>
              <w:t>fluoroquinolones</w:t>
            </w:r>
          </w:p>
        </w:tc>
        <w:tc>
          <w:tcPr>
            <w:tcW w:w="3379" w:type="dxa"/>
          </w:tcPr>
          <w:p w:rsidR="007951DD" w:rsidRPr="00C666E7" w:rsidRDefault="007951DD">
            <w:pPr>
              <w:rPr>
                <w:sz w:val="16"/>
              </w:rPr>
            </w:pPr>
          </w:p>
        </w:tc>
        <w:tc>
          <w:tcPr>
            <w:tcW w:w="4824" w:type="dxa"/>
          </w:tcPr>
          <w:p w:rsidR="007951DD" w:rsidRPr="00C666E7" w:rsidRDefault="007951DD">
            <w:pPr>
              <w:rPr>
                <w:sz w:val="16"/>
              </w:rPr>
            </w:pPr>
            <w:r w:rsidRPr="00C666E7">
              <w:rPr>
                <w:sz w:val="16"/>
              </w:rPr>
              <w:t xml:space="preserve">combinations </w:t>
            </w:r>
            <w:r w:rsidR="004627C2">
              <w:rPr>
                <w:sz w:val="16"/>
              </w:rPr>
              <w:t xml:space="preserve">of the above </w:t>
            </w:r>
            <w:r w:rsidRPr="00C666E7">
              <w:rPr>
                <w:sz w:val="16"/>
              </w:rPr>
              <w:t>dictate different resistance levels</w:t>
            </w:r>
          </w:p>
        </w:tc>
      </w:tr>
      <w:tr w:rsidR="007951DD" w:rsidRPr="00C666E7" w:rsidTr="00873B1B">
        <w:trPr>
          <w:trHeight w:val="552"/>
        </w:trPr>
        <w:tc>
          <w:tcPr>
            <w:tcW w:w="1350" w:type="dxa"/>
            <w:noWrap/>
          </w:tcPr>
          <w:p w:rsidR="007951DD" w:rsidRPr="00454F86" w:rsidRDefault="007951DD" w:rsidP="00C9591C">
            <w:pPr>
              <w:rPr>
                <w:sz w:val="16"/>
              </w:rPr>
            </w:pPr>
            <w:r w:rsidRPr="00454F86">
              <w:rPr>
                <w:sz w:val="16"/>
              </w:rPr>
              <w:t>TETM-1(100)</w:t>
            </w:r>
          </w:p>
          <w:p w:rsidR="007951DD" w:rsidRPr="00454F86" w:rsidRDefault="007951DD" w:rsidP="00C9591C">
            <w:pPr>
              <w:rPr>
                <w:sz w:val="16"/>
              </w:rPr>
            </w:pPr>
            <w:r w:rsidRPr="00454F86">
              <w:rPr>
                <w:sz w:val="16"/>
              </w:rPr>
              <w:t>TETO-1(100)</w:t>
            </w:r>
          </w:p>
        </w:tc>
        <w:tc>
          <w:tcPr>
            <w:tcW w:w="1787" w:type="dxa"/>
          </w:tcPr>
          <w:p w:rsidR="007951DD" w:rsidRPr="00C666E7" w:rsidRDefault="007951DD" w:rsidP="00C9591C">
            <w:pPr>
              <w:rPr>
                <w:bCs/>
                <w:sz w:val="16"/>
              </w:rPr>
            </w:pPr>
            <w:r w:rsidRPr="00C666E7">
              <w:rPr>
                <w:bCs/>
                <w:sz w:val="16"/>
              </w:rPr>
              <w:t>tetracycline</w:t>
            </w:r>
            <w:r w:rsidR="00F26FA5">
              <w:rPr>
                <w:bCs/>
                <w:sz w:val="16"/>
              </w:rPr>
              <w:t xml:space="preserve"> resistance</w:t>
            </w:r>
          </w:p>
        </w:tc>
        <w:tc>
          <w:tcPr>
            <w:tcW w:w="3379" w:type="dxa"/>
          </w:tcPr>
          <w:p w:rsidR="007951DD" w:rsidRDefault="00F26FA5" w:rsidP="00C9591C">
            <w:pPr>
              <w:rPr>
                <w:sz w:val="16"/>
              </w:rPr>
            </w:pPr>
            <w:r w:rsidRPr="00C666E7">
              <w:rPr>
                <w:sz w:val="16"/>
              </w:rPr>
              <w:t>HG799494</w:t>
            </w:r>
            <w:r>
              <w:rPr>
                <w:sz w:val="16"/>
              </w:rPr>
              <w:t>,42545-42644</w:t>
            </w:r>
          </w:p>
          <w:p w:rsidR="00F26FA5" w:rsidRPr="00C666E7" w:rsidRDefault="00F26FA5" w:rsidP="00C9591C">
            <w:pPr>
              <w:rPr>
                <w:sz w:val="16"/>
              </w:rPr>
            </w:pPr>
            <w:r>
              <w:rPr>
                <w:sz w:val="16"/>
              </w:rPr>
              <w:t>FM178797,1754-1853 (complement)</w:t>
            </w:r>
          </w:p>
        </w:tc>
        <w:tc>
          <w:tcPr>
            <w:tcW w:w="4824" w:type="dxa"/>
          </w:tcPr>
          <w:p w:rsidR="000600BA" w:rsidRPr="000600BA" w:rsidRDefault="000600BA" w:rsidP="000600BA">
            <w:pPr>
              <w:rPr>
                <w:sz w:val="16"/>
              </w:rPr>
            </w:pPr>
            <w:r>
              <w:rPr>
                <w:sz w:val="16"/>
              </w:rPr>
              <w:t xml:space="preserve">≥ </w:t>
            </w:r>
            <w:r w:rsidRPr="000600BA">
              <w:rPr>
                <w:sz w:val="16"/>
              </w:rPr>
              <w:t>95%</w:t>
            </w:r>
            <w:r>
              <w:rPr>
                <w:sz w:val="16"/>
              </w:rPr>
              <w:t xml:space="preserve"> sequence identity predicts presence predicts resistance</w:t>
            </w:r>
            <w:r w:rsidRPr="000600BA">
              <w:rPr>
                <w:sz w:val="16"/>
              </w:rPr>
              <w:t xml:space="preserve"> </w:t>
            </w:r>
          </w:p>
          <w:p w:rsidR="007951DD" w:rsidRPr="00C666E7" w:rsidRDefault="007951DD" w:rsidP="00C9591C">
            <w:pPr>
              <w:rPr>
                <w:sz w:val="16"/>
                <w:u w:val="single"/>
              </w:rPr>
            </w:pPr>
          </w:p>
        </w:tc>
      </w:tr>
      <w:tr w:rsidR="007951DD" w:rsidRPr="00C666E7" w:rsidTr="00873B1B">
        <w:trPr>
          <w:trHeight w:val="218"/>
        </w:trPr>
        <w:tc>
          <w:tcPr>
            <w:tcW w:w="1350" w:type="dxa"/>
            <w:noWrap/>
            <w:hideMark/>
          </w:tcPr>
          <w:p w:rsidR="007951DD" w:rsidRPr="00454F86" w:rsidRDefault="007951DD" w:rsidP="00C9591C">
            <w:pPr>
              <w:rPr>
                <w:sz w:val="16"/>
              </w:rPr>
            </w:pPr>
            <w:r w:rsidRPr="00454F86">
              <w:rPr>
                <w:sz w:val="16"/>
              </w:rPr>
              <w:t>CAT-1 (100)</w:t>
            </w:r>
          </w:p>
        </w:tc>
        <w:tc>
          <w:tcPr>
            <w:tcW w:w="1787" w:type="dxa"/>
          </w:tcPr>
          <w:p w:rsidR="007951DD" w:rsidRPr="00C666E7" w:rsidRDefault="007951DD" w:rsidP="00C23554">
            <w:pPr>
              <w:rPr>
                <w:bCs/>
                <w:sz w:val="16"/>
              </w:rPr>
            </w:pPr>
            <w:r w:rsidRPr="00C666E7">
              <w:rPr>
                <w:bCs/>
                <w:sz w:val="16"/>
              </w:rPr>
              <w:t>chloramphenicol</w:t>
            </w:r>
            <w:r w:rsidR="00F26FA5">
              <w:rPr>
                <w:bCs/>
                <w:sz w:val="16"/>
              </w:rPr>
              <w:t xml:space="preserve"> resistance</w:t>
            </w:r>
          </w:p>
        </w:tc>
        <w:tc>
          <w:tcPr>
            <w:tcW w:w="3379" w:type="dxa"/>
          </w:tcPr>
          <w:p w:rsidR="007951DD" w:rsidRPr="00C666E7" w:rsidRDefault="00F26FA5" w:rsidP="00C9591C">
            <w:pPr>
              <w:rPr>
                <w:sz w:val="16"/>
              </w:rPr>
            </w:pPr>
            <w:r>
              <w:rPr>
                <w:sz w:val="16"/>
              </w:rPr>
              <w:t>HG799499,56681-56780</w:t>
            </w:r>
          </w:p>
        </w:tc>
        <w:tc>
          <w:tcPr>
            <w:tcW w:w="4824" w:type="dxa"/>
            <w:hideMark/>
          </w:tcPr>
          <w:p w:rsidR="000600BA" w:rsidRPr="000600BA" w:rsidRDefault="000600BA" w:rsidP="000600BA">
            <w:pPr>
              <w:rPr>
                <w:sz w:val="16"/>
              </w:rPr>
            </w:pPr>
            <w:r>
              <w:rPr>
                <w:sz w:val="16"/>
              </w:rPr>
              <w:t xml:space="preserve">≥ </w:t>
            </w:r>
            <w:r w:rsidRPr="000600BA">
              <w:rPr>
                <w:sz w:val="16"/>
              </w:rPr>
              <w:t>95%</w:t>
            </w:r>
            <w:r>
              <w:rPr>
                <w:sz w:val="16"/>
              </w:rPr>
              <w:t xml:space="preserve"> sequence identity predicts presence predicts resistance</w:t>
            </w:r>
            <w:r w:rsidRPr="000600BA">
              <w:rPr>
                <w:sz w:val="16"/>
              </w:rPr>
              <w:t xml:space="preserve"> </w:t>
            </w:r>
          </w:p>
          <w:p w:rsidR="007951DD" w:rsidRPr="00C666E7" w:rsidRDefault="007951DD" w:rsidP="00C9591C">
            <w:pPr>
              <w:rPr>
                <w:sz w:val="16"/>
              </w:rPr>
            </w:pPr>
          </w:p>
        </w:tc>
      </w:tr>
      <w:tr w:rsidR="007951DD" w:rsidRPr="00C666E7" w:rsidTr="00873B1B">
        <w:trPr>
          <w:trHeight w:val="218"/>
        </w:trPr>
        <w:tc>
          <w:tcPr>
            <w:tcW w:w="1350" w:type="dxa"/>
            <w:noWrap/>
            <w:hideMark/>
          </w:tcPr>
          <w:p w:rsidR="007951DD" w:rsidRPr="00454F86" w:rsidRDefault="007951DD" w:rsidP="00C9591C">
            <w:pPr>
              <w:rPr>
                <w:bCs/>
                <w:sz w:val="16"/>
              </w:rPr>
            </w:pPr>
            <w:r w:rsidRPr="00454F86">
              <w:rPr>
                <w:bCs/>
                <w:sz w:val="16"/>
              </w:rPr>
              <w:t>RPOB-1 (99)</w:t>
            </w:r>
            <w:r w:rsidR="00284B66">
              <w:rPr>
                <w:sz w:val="16"/>
                <w:vertAlign w:val="superscript"/>
              </w:rPr>
              <w:t xml:space="preserve"> E</w:t>
            </w:r>
          </w:p>
        </w:tc>
        <w:tc>
          <w:tcPr>
            <w:tcW w:w="1787" w:type="dxa"/>
          </w:tcPr>
          <w:p w:rsidR="007951DD" w:rsidRPr="00C666E7" w:rsidRDefault="007951DD" w:rsidP="00C9591C">
            <w:pPr>
              <w:rPr>
                <w:bCs/>
                <w:sz w:val="16"/>
              </w:rPr>
            </w:pPr>
            <w:r w:rsidRPr="00C666E7">
              <w:rPr>
                <w:bCs/>
                <w:sz w:val="16"/>
              </w:rPr>
              <w:t>rifampin</w:t>
            </w:r>
            <w:r w:rsidR="00C47DF3">
              <w:rPr>
                <w:bCs/>
                <w:sz w:val="16"/>
              </w:rPr>
              <w:t xml:space="preserve"> resistance</w:t>
            </w:r>
          </w:p>
        </w:tc>
        <w:tc>
          <w:tcPr>
            <w:tcW w:w="3379" w:type="dxa"/>
          </w:tcPr>
          <w:p w:rsidR="007951DD" w:rsidRPr="00C666E7" w:rsidRDefault="00C47DF3" w:rsidP="00C23554">
            <w:pPr>
              <w:rPr>
                <w:sz w:val="16"/>
              </w:rPr>
            </w:pPr>
            <w:r>
              <w:rPr>
                <w:sz w:val="16"/>
              </w:rPr>
              <w:t>AE007317,1868571-1868473</w:t>
            </w:r>
          </w:p>
        </w:tc>
        <w:tc>
          <w:tcPr>
            <w:tcW w:w="4824" w:type="dxa"/>
            <w:hideMark/>
          </w:tcPr>
          <w:p w:rsidR="007951DD" w:rsidRPr="00C666E7" w:rsidRDefault="007951DD" w:rsidP="00C23554">
            <w:pPr>
              <w:rPr>
                <w:sz w:val="16"/>
              </w:rPr>
            </w:pPr>
            <w:r w:rsidRPr="00C666E7">
              <w:rPr>
                <w:sz w:val="16"/>
              </w:rPr>
              <w:t xml:space="preserve">Seven known substitutions predict resistance; any translational change requires phenotype analysis </w:t>
            </w:r>
          </w:p>
        </w:tc>
      </w:tr>
      <w:tr w:rsidR="007951DD" w:rsidRPr="00C666E7" w:rsidTr="00DF1DDE">
        <w:trPr>
          <w:trHeight w:val="1295"/>
        </w:trPr>
        <w:tc>
          <w:tcPr>
            <w:tcW w:w="1350" w:type="dxa"/>
            <w:noWrap/>
            <w:hideMark/>
          </w:tcPr>
          <w:p w:rsidR="007951DD" w:rsidRPr="00454F86" w:rsidRDefault="007951DD">
            <w:pPr>
              <w:rPr>
                <w:sz w:val="16"/>
              </w:rPr>
            </w:pPr>
            <w:r w:rsidRPr="00454F86">
              <w:rPr>
                <w:i/>
                <w:sz w:val="16"/>
              </w:rPr>
              <w:t>vanA-1</w:t>
            </w:r>
            <w:r w:rsidRPr="00454F86">
              <w:rPr>
                <w:sz w:val="16"/>
              </w:rPr>
              <w:t xml:space="preserve"> (120)</w:t>
            </w:r>
          </w:p>
          <w:p w:rsidR="007951DD" w:rsidRPr="00454F86" w:rsidRDefault="007951DD">
            <w:pPr>
              <w:rPr>
                <w:sz w:val="16"/>
              </w:rPr>
            </w:pPr>
            <w:r w:rsidRPr="00454F86">
              <w:rPr>
                <w:i/>
                <w:sz w:val="16"/>
              </w:rPr>
              <w:t>vanB-1</w:t>
            </w:r>
            <w:r w:rsidRPr="00454F86">
              <w:rPr>
                <w:sz w:val="16"/>
              </w:rPr>
              <w:t xml:space="preserve"> (120)</w:t>
            </w:r>
          </w:p>
          <w:p w:rsidR="007951DD" w:rsidRPr="00454F86" w:rsidRDefault="007951DD">
            <w:pPr>
              <w:rPr>
                <w:sz w:val="16"/>
              </w:rPr>
            </w:pPr>
            <w:r w:rsidRPr="00454F86">
              <w:rPr>
                <w:i/>
                <w:sz w:val="16"/>
              </w:rPr>
              <w:t>vanC-1</w:t>
            </w:r>
            <w:r w:rsidRPr="00454F86">
              <w:rPr>
                <w:sz w:val="16"/>
              </w:rPr>
              <w:t xml:space="preserve"> (120)</w:t>
            </w:r>
          </w:p>
          <w:p w:rsidR="007951DD" w:rsidRPr="00454F86" w:rsidRDefault="007951DD">
            <w:pPr>
              <w:rPr>
                <w:sz w:val="16"/>
              </w:rPr>
            </w:pPr>
            <w:r w:rsidRPr="00454F86">
              <w:rPr>
                <w:i/>
                <w:sz w:val="16"/>
              </w:rPr>
              <w:t>vanD-1</w:t>
            </w:r>
            <w:r w:rsidRPr="00454F86">
              <w:rPr>
                <w:sz w:val="16"/>
              </w:rPr>
              <w:t xml:space="preserve"> (120)</w:t>
            </w:r>
          </w:p>
          <w:p w:rsidR="007951DD" w:rsidRPr="00454F86" w:rsidRDefault="007951DD">
            <w:pPr>
              <w:rPr>
                <w:sz w:val="16"/>
              </w:rPr>
            </w:pPr>
            <w:r w:rsidRPr="00454F86">
              <w:rPr>
                <w:i/>
                <w:sz w:val="16"/>
              </w:rPr>
              <w:t>vanE-1</w:t>
            </w:r>
            <w:r w:rsidR="005B40C6" w:rsidRPr="00454F86">
              <w:rPr>
                <w:sz w:val="16"/>
              </w:rPr>
              <w:t xml:space="preserve"> (117</w:t>
            </w:r>
            <w:r w:rsidRPr="00454F86">
              <w:rPr>
                <w:sz w:val="16"/>
              </w:rPr>
              <w:t>)</w:t>
            </w:r>
          </w:p>
          <w:p w:rsidR="007951DD" w:rsidRPr="00454F86" w:rsidRDefault="007951DD" w:rsidP="00C23554">
            <w:pPr>
              <w:rPr>
                <w:sz w:val="16"/>
              </w:rPr>
            </w:pPr>
            <w:r w:rsidRPr="00454F86">
              <w:rPr>
                <w:i/>
                <w:sz w:val="16"/>
              </w:rPr>
              <w:t>vanG-1</w:t>
            </w:r>
            <w:r w:rsidR="005B40C6" w:rsidRPr="00454F86">
              <w:rPr>
                <w:sz w:val="16"/>
              </w:rPr>
              <w:t xml:space="preserve"> (120</w:t>
            </w:r>
            <w:r w:rsidRPr="00454F86">
              <w:rPr>
                <w:sz w:val="16"/>
              </w:rPr>
              <w:t>)</w:t>
            </w:r>
          </w:p>
        </w:tc>
        <w:tc>
          <w:tcPr>
            <w:tcW w:w="1787" w:type="dxa"/>
          </w:tcPr>
          <w:p w:rsidR="007951DD" w:rsidRPr="00C666E7" w:rsidRDefault="007951DD" w:rsidP="00C9591C">
            <w:pPr>
              <w:rPr>
                <w:sz w:val="16"/>
              </w:rPr>
            </w:pPr>
            <w:r w:rsidRPr="00C666E7">
              <w:rPr>
                <w:sz w:val="16"/>
              </w:rPr>
              <w:t>vancomycin resistance</w:t>
            </w:r>
          </w:p>
        </w:tc>
        <w:tc>
          <w:tcPr>
            <w:tcW w:w="3379" w:type="dxa"/>
          </w:tcPr>
          <w:p w:rsidR="007951DD" w:rsidRDefault="008150FE">
            <w:pPr>
              <w:rPr>
                <w:sz w:val="16"/>
              </w:rPr>
            </w:pPr>
            <w:r>
              <w:rPr>
                <w:sz w:val="16"/>
              </w:rPr>
              <w:t>KM235680,495-614</w:t>
            </w:r>
          </w:p>
          <w:p w:rsidR="00114E67" w:rsidRDefault="00114E67">
            <w:pPr>
              <w:rPr>
                <w:sz w:val="16"/>
              </w:rPr>
            </w:pPr>
            <w:r>
              <w:rPr>
                <w:sz w:val="16"/>
              </w:rPr>
              <w:t>KC489787,5466-5585</w:t>
            </w:r>
          </w:p>
          <w:p w:rsidR="003F033B" w:rsidRDefault="003F033B">
            <w:pPr>
              <w:rPr>
                <w:sz w:val="16"/>
              </w:rPr>
            </w:pPr>
            <w:r>
              <w:rPr>
                <w:sz w:val="16"/>
              </w:rPr>
              <w:t>JX435778,73-192</w:t>
            </w:r>
          </w:p>
          <w:p w:rsidR="003F033B" w:rsidRDefault="003F033B">
            <w:pPr>
              <w:rPr>
                <w:sz w:val="16"/>
              </w:rPr>
            </w:pPr>
            <w:r>
              <w:rPr>
                <w:sz w:val="16"/>
              </w:rPr>
              <w:t>EU999036,4326-4442</w:t>
            </w:r>
          </w:p>
          <w:p w:rsidR="003F033B" w:rsidRDefault="003F033B">
            <w:pPr>
              <w:rPr>
                <w:sz w:val="16"/>
              </w:rPr>
            </w:pPr>
            <w:r>
              <w:rPr>
                <w:sz w:val="16"/>
              </w:rPr>
              <w:t>J872411,40045-40155</w:t>
            </w:r>
          </w:p>
          <w:p w:rsidR="005B40C6" w:rsidRPr="00C666E7" w:rsidRDefault="005B40C6">
            <w:pPr>
              <w:rPr>
                <w:sz w:val="16"/>
              </w:rPr>
            </w:pPr>
            <w:r>
              <w:rPr>
                <w:sz w:val="16"/>
              </w:rPr>
              <w:t>KF704242,43286-43346</w:t>
            </w:r>
          </w:p>
        </w:tc>
        <w:tc>
          <w:tcPr>
            <w:tcW w:w="4824" w:type="dxa"/>
            <w:hideMark/>
          </w:tcPr>
          <w:p w:rsidR="00114E67" w:rsidRDefault="00454F86">
            <w:pPr>
              <w:rPr>
                <w:sz w:val="16"/>
              </w:rPr>
            </w:pPr>
            <w:r>
              <w:rPr>
                <w:sz w:val="16"/>
              </w:rPr>
              <w:t>≥ 85% sequence identity to</w:t>
            </w:r>
            <w:r w:rsidR="007951DD" w:rsidRPr="00C666E7">
              <w:rPr>
                <w:sz w:val="16"/>
              </w:rPr>
              <w:t xml:space="preserve"> any of these </w:t>
            </w:r>
            <w:r w:rsidR="00285719">
              <w:rPr>
                <w:sz w:val="16"/>
              </w:rPr>
              <w:t xml:space="preserve">peptidoglycan precursor altering </w:t>
            </w:r>
            <w:r w:rsidR="007951DD" w:rsidRPr="00C666E7">
              <w:rPr>
                <w:sz w:val="16"/>
              </w:rPr>
              <w:t xml:space="preserve">determinants </w:t>
            </w:r>
          </w:p>
          <w:p w:rsidR="00114E67" w:rsidRDefault="007951DD">
            <w:pPr>
              <w:rPr>
                <w:sz w:val="16"/>
              </w:rPr>
            </w:pPr>
            <w:r w:rsidRPr="00C666E7">
              <w:rPr>
                <w:sz w:val="16"/>
              </w:rPr>
              <w:t xml:space="preserve">potentially predictive of vancomycin-resistance which has not been documented </w:t>
            </w:r>
          </w:p>
          <w:p w:rsidR="007951DD" w:rsidRPr="00C666E7" w:rsidRDefault="007951DD">
            <w:pPr>
              <w:rPr>
                <w:sz w:val="16"/>
              </w:rPr>
            </w:pPr>
            <w:proofErr w:type="gramStart"/>
            <w:r w:rsidRPr="00C666E7">
              <w:rPr>
                <w:sz w:val="16"/>
              </w:rPr>
              <w:t>in</w:t>
            </w:r>
            <w:proofErr w:type="gramEnd"/>
            <w:r w:rsidRPr="00C666E7">
              <w:rPr>
                <w:sz w:val="16"/>
              </w:rPr>
              <w:t xml:space="preserve"> </w:t>
            </w:r>
            <w:r w:rsidRPr="00C666E7">
              <w:rPr>
                <w:i/>
                <w:sz w:val="16"/>
              </w:rPr>
              <w:t>S. pneumoniae</w:t>
            </w:r>
            <w:r w:rsidRPr="00C666E7">
              <w:rPr>
                <w:sz w:val="16"/>
              </w:rPr>
              <w:t>.</w:t>
            </w:r>
            <w:r w:rsidR="00454F86">
              <w:rPr>
                <w:sz w:val="16"/>
              </w:rPr>
              <w:t xml:space="preserve"> </w:t>
            </w:r>
          </w:p>
        </w:tc>
      </w:tr>
    </w:tbl>
    <w:p w:rsidR="007951DD" w:rsidRPr="007951DD" w:rsidRDefault="00454F86" w:rsidP="00E80A82">
      <w:pPr>
        <w:spacing w:after="0" w:line="240" w:lineRule="auto"/>
      </w:pPr>
      <w:r>
        <w:rPr>
          <w:b/>
          <w:bCs/>
          <w:vertAlign w:val="superscript"/>
        </w:rPr>
        <w:t>A</w:t>
      </w:r>
      <w:r w:rsidR="007951DD">
        <w:t xml:space="preserve"> The contributions of </w:t>
      </w:r>
      <w:r w:rsidR="000F2174">
        <w:t xml:space="preserve">several </w:t>
      </w:r>
      <w:r w:rsidR="007951DD">
        <w:t xml:space="preserve">specific amino acid </w:t>
      </w:r>
      <w:r w:rsidR="00611C4B">
        <w:t xml:space="preserve">and rRNA </w:t>
      </w:r>
      <w:r w:rsidR="007951DD">
        <w:t>substitutions</w:t>
      </w:r>
      <w:r w:rsidR="00611C4B">
        <w:t xml:space="preserve"> within translational apparatus</w:t>
      </w:r>
      <w:r w:rsidR="007951DD">
        <w:t xml:space="preserve"> known, however new associations still being compiled</w:t>
      </w:r>
    </w:p>
    <w:p w:rsidR="00266212" w:rsidRDefault="00454F86" w:rsidP="00E80A82">
      <w:pPr>
        <w:spacing w:after="0" w:line="240" w:lineRule="auto"/>
        <w:rPr>
          <w:bCs/>
        </w:rPr>
      </w:pPr>
      <w:r w:rsidRPr="00454F86">
        <w:rPr>
          <w:bCs/>
          <w:vertAlign w:val="superscript"/>
        </w:rPr>
        <w:lastRenderedPageBreak/>
        <w:t>B</w:t>
      </w:r>
      <w:r w:rsidR="00266212">
        <w:rPr>
          <w:bCs/>
        </w:rPr>
        <w:t>Although certain alterations are known that predict constitutive lincosamide and high level macrolide resistance (and in certain cases telithromycin-resistance), the mechanism is still under investigation</w:t>
      </w:r>
      <w:r w:rsidR="00284B66">
        <w:rPr>
          <w:bCs/>
        </w:rPr>
        <w:t xml:space="preserve"> (see </w:t>
      </w:r>
      <w:r w:rsidR="00284B66" w:rsidRPr="00284B66">
        <w:rPr>
          <w:bCs/>
        </w:rPr>
        <w:t>Hawkins PA, Chochua S, Jackson D, Beall B, McGee L. Mobile Elements and Chromosomal Changes Associated with MLS Resistance Phenotypes of Invasive Pneumococci Recovered in the United States. Mi</w:t>
      </w:r>
      <w:r w:rsidR="00284B66">
        <w:rPr>
          <w:bCs/>
        </w:rPr>
        <w:t xml:space="preserve">crob Drug Resist. 2015 </w:t>
      </w:r>
      <w:proofErr w:type="gramStart"/>
      <w:r w:rsidR="00284B66">
        <w:rPr>
          <w:bCs/>
        </w:rPr>
        <w:t>In</w:t>
      </w:r>
      <w:proofErr w:type="gramEnd"/>
      <w:r w:rsidR="00284B66">
        <w:rPr>
          <w:bCs/>
        </w:rPr>
        <w:t xml:space="preserve"> Press)</w:t>
      </w:r>
      <w:r w:rsidR="001513F6">
        <w:rPr>
          <w:bCs/>
        </w:rPr>
        <w:t>. Less than 95% identity dictates performance of</w:t>
      </w:r>
      <w:r w:rsidR="00886C9B">
        <w:rPr>
          <w:bCs/>
        </w:rPr>
        <w:t xml:space="preserve"> specific MIC testing for telithromycin</w:t>
      </w:r>
      <w:r w:rsidR="001513F6">
        <w:rPr>
          <w:bCs/>
        </w:rPr>
        <w:t>.</w:t>
      </w:r>
    </w:p>
    <w:p w:rsidR="00284B66" w:rsidRDefault="00284B66" w:rsidP="00E80A82">
      <w:pPr>
        <w:spacing w:after="0" w:line="240" w:lineRule="auto"/>
        <w:rPr>
          <w:bCs/>
        </w:rPr>
      </w:pPr>
      <w:r>
        <w:rPr>
          <w:bCs/>
          <w:vertAlign w:val="superscript"/>
        </w:rPr>
        <w:t>C</w:t>
      </w:r>
      <w:r>
        <w:rPr>
          <w:bCs/>
        </w:rPr>
        <w:t xml:space="preserve"> </w:t>
      </w:r>
      <w:r w:rsidRPr="00284B66">
        <w:rPr>
          <w:bCs/>
        </w:rPr>
        <w:t xml:space="preserve">Cornick JE, Harris SR, Parry CM et al. Genomic identification of a novel co-trimoxazole resistance genotype and its prevalence amongst Streptococcus pneumoniae in Malawi. J Antimicrob Chemother. 2014; </w:t>
      </w:r>
      <w:proofErr w:type="gramStart"/>
      <w:r w:rsidRPr="00284B66">
        <w:rPr>
          <w:bCs/>
        </w:rPr>
        <w:t>69 :</w:t>
      </w:r>
      <w:proofErr w:type="gramEnd"/>
      <w:r w:rsidRPr="00284B66">
        <w:rPr>
          <w:bCs/>
        </w:rPr>
        <w:t>368-74</w:t>
      </w:r>
    </w:p>
    <w:p w:rsidR="00284B66" w:rsidRDefault="00284B66" w:rsidP="00E80A82">
      <w:pPr>
        <w:spacing w:after="0" w:line="240" w:lineRule="auto"/>
        <w:rPr>
          <w:bCs/>
        </w:rPr>
      </w:pPr>
      <w:r>
        <w:rPr>
          <w:bCs/>
          <w:vertAlign w:val="superscript"/>
        </w:rPr>
        <w:t>D</w:t>
      </w:r>
      <w:r>
        <w:rPr>
          <w:bCs/>
        </w:rPr>
        <w:t xml:space="preserve"> </w:t>
      </w:r>
      <w:r w:rsidRPr="00284B66">
        <w:rPr>
          <w:bCs/>
        </w:rPr>
        <w:t>Brueggemann AB, Coffman SL, Rhomberg P, et al.  Fluoroquinolone resistance in Streptococcus pneumoniae in United States since 1994-1995. Antimicrob Agents Chemother. 2002; 46: 680-8.</w:t>
      </w:r>
    </w:p>
    <w:p w:rsidR="00284B66" w:rsidRPr="00284B66" w:rsidRDefault="00284B66" w:rsidP="00E80A82">
      <w:pPr>
        <w:spacing w:after="0" w:line="240" w:lineRule="auto"/>
        <w:rPr>
          <w:bCs/>
        </w:rPr>
      </w:pPr>
      <w:r>
        <w:rPr>
          <w:bCs/>
          <w:vertAlign w:val="superscript"/>
        </w:rPr>
        <w:t>E</w:t>
      </w:r>
      <w:r w:rsidRPr="00284B66">
        <w:rPr>
          <w:bCs/>
        </w:rPr>
        <w:t xml:space="preserve"> Ferrándiz MJ, Ardanuy C, Liñares J, Balsalobre L, García MT, de la Campa AG. New species genetic approach to identify strains of mitis group streptococci that are donors of rifampin resistance to Streptococcus pneumoniae. Antimicrob Agents Chemother. 2011; 55: 368-72.</w:t>
      </w:r>
    </w:p>
    <w:p w:rsidR="00284B66" w:rsidRPr="00284B66" w:rsidRDefault="00284B66" w:rsidP="00284B66">
      <w:pPr>
        <w:rPr>
          <w:rFonts w:ascii="Times New Roman" w:hAnsi="Times New Roman" w:cs="Times New Roman"/>
          <w:sz w:val="24"/>
          <w:szCs w:val="24"/>
        </w:rPr>
      </w:pPr>
    </w:p>
    <w:p w:rsidR="00BA1F39" w:rsidRDefault="00BA1F39" w:rsidP="00E80A82">
      <w:pPr>
        <w:spacing w:after="0" w:line="240" w:lineRule="auto"/>
        <w:rPr>
          <w:bCs/>
        </w:rPr>
      </w:pPr>
    </w:p>
    <w:p w:rsidR="00BA1F39" w:rsidRDefault="00BA1F39" w:rsidP="00E80A82">
      <w:pPr>
        <w:spacing w:after="0" w:line="240" w:lineRule="auto"/>
        <w:rPr>
          <w:bCs/>
        </w:rPr>
      </w:pPr>
    </w:p>
    <w:p w:rsidR="00BA1F39" w:rsidRDefault="00BA1F39" w:rsidP="00E80A82">
      <w:pPr>
        <w:spacing w:after="0" w:line="240" w:lineRule="auto"/>
        <w:rPr>
          <w:bCs/>
        </w:rPr>
      </w:pPr>
    </w:p>
    <w:p w:rsidR="00BA1F39" w:rsidRDefault="00BA1F39" w:rsidP="00E80A82">
      <w:pPr>
        <w:spacing w:after="0" w:line="240" w:lineRule="auto"/>
        <w:rPr>
          <w:bCs/>
        </w:rPr>
      </w:pPr>
    </w:p>
    <w:p w:rsidR="00BA1F39" w:rsidRPr="00BA1F39" w:rsidRDefault="00BA1F39" w:rsidP="00E80A82">
      <w:pPr>
        <w:spacing w:after="0" w:line="240" w:lineRule="auto"/>
        <w:rPr>
          <w:bCs/>
          <w:sz w:val="28"/>
          <w:szCs w:val="28"/>
        </w:rPr>
      </w:pPr>
    </w:p>
    <w:sectPr w:rsidR="00BA1F39" w:rsidRPr="00BA1F39" w:rsidSect="00C666E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11FA"/>
    <w:multiLevelType w:val="hybridMultilevel"/>
    <w:tmpl w:val="4BF8EDCA"/>
    <w:lvl w:ilvl="0" w:tplc="2C3A014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46D9"/>
    <w:multiLevelType w:val="hybridMultilevel"/>
    <w:tmpl w:val="6914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156D4"/>
    <w:multiLevelType w:val="hybridMultilevel"/>
    <w:tmpl w:val="8E3AEEF4"/>
    <w:lvl w:ilvl="0" w:tplc="EF983F94">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B5C"/>
    <w:multiLevelType w:val="hybridMultilevel"/>
    <w:tmpl w:val="EF7ABDA4"/>
    <w:lvl w:ilvl="0" w:tplc="791466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9285F"/>
    <w:multiLevelType w:val="hybridMultilevel"/>
    <w:tmpl w:val="D0142350"/>
    <w:lvl w:ilvl="0" w:tplc="3886F948">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A7C98"/>
    <w:multiLevelType w:val="hybridMultilevel"/>
    <w:tmpl w:val="78FC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65459"/>
    <w:multiLevelType w:val="hybridMultilevel"/>
    <w:tmpl w:val="20B88694"/>
    <w:lvl w:ilvl="0" w:tplc="F1EC82E6">
      <w:numFmt w:val="bullet"/>
      <w:lvlText w:val=""/>
      <w:lvlJc w:val="left"/>
      <w:pPr>
        <w:ind w:left="396" w:hanging="360"/>
      </w:pPr>
      <w:rPr>
        <w:rFonts w:ascii="Wingdings" w:eastAsiaTheme="minorHAnsi" w:hAnsi="Wingdings" w:cstheme="minorBidi" w:hint="default"/>
        <w:u w:val="single"/>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3A"/>
    <w:rsid w:val="00004C48"/>
    <w:rsid w:val="000600BA"/>
    <w:rsid w:val="000721E3"/>
    <w:rsid w:val="00093166"/>
    <w:rsid w:val="000F2174"/>
    <w:rsid w:val="001056B7"/>
    <w:rsid w:val="001114A4"/>
    <w:rsid w:val="00114E67"/>
    <w:rsid w:val="001513F6"/>
    <w:rsid w:val="0016477D"/>
    <w:rsid w:val="00204198"/>
    <w:rsid w:val="00207842"/>
    <w:rsid w:val="00266212"/>
    <w:rsid w:val="00284B66"/>
    <w:rsid w:val="00285719"/>
    <w:rsid w:val="002E61DE"/>
    <w:rsid w:val="00377788"/>
    <w:rsid w:val="0038160A"/>
    <w:rsid w:val="00393C91"/>
    <w:rsid w:val="003D7D85"/>
    <w:rsid w:val="003F033B"/>
    <w:rsid w:val="00416AF5"/>
    <w:rsid w:val="00454F86"/>
    <w:rsid w:val="004627C2"/>
    <w:rsid w:val="004A087D"/>
    <w:rsid w:val="004D2457"/>
    <w:rsid w:val="004F25C3"/>
    <w:rsid w:val="00500893"/>
    <w:rsid w:val="00560DEA"/>
    <w:rsid w:val="0057328C"/>
    <w:rsid w:val="00594D81"/>
    <w:rsid w:val="005B40C6"/>
    <w:rsid w:val="005B4DDB"/>
    <w:rsid w:val="005F601F"/>
    <w:rsid w:val="006111EA"/>
    <w:rsid w:val="00611C4B"/>
    <w:rsid w:val="00667CAE"/>
    <w:rsid w:val="00690A58"/>
    <w:rsid w:val="0075789F"/>
    <w:rsid w:val="007951DD"/>
    <w:rsid w:val="007E6524"/>
    <w:rsid w:val="008150FE"/>
    <w:rsid w:val="00873B1B"/>
    <w:rsid w:val="00886C9B"/>
    <w:rsid w:val="008D773E"/>
    <w:rsid w:val="00925C33"/>
    <w:rsid w:val="009678C0"/>
    <w:rsid w:val="00991D88"/>
    <w:rsid w:val="009B08F1"/>
    <w:rsid w:val="009B7BE9"/>
    <w:rsid w:val="00A16FCD"/>
    <w:rsid w:val="00A3296A"/>
    <w:rsid w:val="00A86D8D"/>
    <w:rsid w:val="00AB78C8"/>
    <w:rsid w:val="00AC02A5"/>
    <w:rsid w:val="00B0560B"/>
    <w:rsid w:val="00B55735"/>
    <w:rsid w:val="00B5583D"/>
    <w:rsid w:val="00B83B4B"/>
    <w:rsid w:val="00BA1F39"/>
    <w:rsid w:val="00BC44CF"/>
    <w:rsid w:val="00BC4A3A"/>
    <w:rsid w:val="00BF7B10"/>
    <w:rsid w:val="00C23554"/>
    <w:rsid w:val="00C406C7"/>
    <w:rsid w:val="00C47DF3"/>
    <w:rsid w:val="00C666E7"/>
    <w:rsid w:val="00CD4B66"/>
    <w:rsid w:val="00D21ADF"/>
    <w:rsid w:val="00D84110"/>
    <w:rsid w:val="00DC57CC"/>
    <w:rsid w:val="00DD6192"/>
    <w:rsid w:val="00DF1DDE"/>
    <w:rsid w:val="00DF3CD9"/>
    <w:rsid w:val="00E442F2"/>
    <w:rsid w:val="00E80A82"/>
    <w:rsid w:val="00E92A3A"/>
    <w:rsid w:val="00EC2892"/>
    <w:rsid w:val="00ED7E7E"/>
    <w:rsid w:val="00F2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D9E4A-DEA0-4FFD-8B24-0575CB9A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60B"/>
    <w:pPr>
      <w:ind w:left="720"/>
      <w:contextualSpacing/>
    </w:pPr>
  </w:style>
  <w:style w:type="paragraph" w:styleId="NormalWeb">
    <w:name w:val="Normal (Web)"/>
    <w:basedOn w:val="Normal"/>
    <w:uiPriority w:val="99"/>
    <w:semiHidden/>
    <w:unhideWhenUsed/>
    <w:rsid w:val="00BA1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1983">
      <w:bodyDiv w:val="1"/>
      <w:marLeft w:val="0"/>
      <w:marRight w:val="0"/>
      <w:marTop w:val="0"/>
      <w:marBottom w:val="0"/>
      <w:divBdr>
        <w:top w:val="none" w:sz="0" w:space="0" w:color="auto"/>
        <w:left w:val="none" w:sz="0" w:space="0" w:color="auto"/>
        <w:bottom w:val="none" w:sz="0" w:space="0" w:color="auto"/>
        <w:right w:val="none" w:sz="0" w:space="0" w:color="auto"/>
      </w:divBdr>
    </w:div>
    <w:div w:id="376903792">
      <w:bodyDiv w:val="1"/>
      <w:marLeft w:val="0"/>
      <w:marRight w:val="0"/>
      <w:marTop w:val="0"/>
      <w:marBottom w:val="0"/>
      <w:divBdr>
        <w:top w:val="none" w:sz="0" w:space="0" w:color="auto"/>
        <w:left w:val="none" w:sz="0" w:space="0" w:color="auto"/>
        <w:bottom w:val="none" w:sz="0" w:space="0" w:color="auto"/>
        <w:right w:val="none" w:sz="0" w:space="0" w:color="auto"/>
      </w:divBdr>
    </w:div>
    <w:div w:id="548616391">
      <w:bodyDiv w:val="1"/>
      <w:marLeft w:val="0"/>
      <w:marRight w:val="0"/>
      <w:marTop w:val="0"/>
      <w:marBottom w:val="0"/>
      <w:divBdr>
        <w:top w:val="none" w:sz="0" w:space="0" w:color="auto"/>
        <w:left w:val="none" w:sz="0" w:space="0" w:color="auto"/>
        <w:bottom w:val="none" w:sz="0" w:space="0" w:color="auto"/>
        <w:right w:val="none" w:sz="0" w:space="0" w:color="auto"/>
      </w:divBdr>
      <w:divsChild>
        <w:div w:id="2141654505">
          <w:marLeft w:val="0"/>
          <w:marRight w:val="1"/>
          <w:marTop w:val="0"/>
          <w:marBottom w:val="0"/>
          <w:divBdr>
            <w:top w:val="none" w:sz="0" w:space="0" w:color="auto"/>
            <w:left w:val="none" w:sz="0" w:space="0" w:color="auto"/>
            <w:bottom w:val="none" w:sz="0" w:space="0" w:color="auto"/>
            <w:right w:val="none" w:sz="0" w:space="0" w:color="auto"/>
          </w:divBdr>
          <w:divsChild>
            <w:div w:id="1589385444">
              <w:marLeft w:val="0"/>
              <w:marRight w:val="0"/>
              <w:marTop w:val="0"/>
              <w:marBottom w:val="0"/>
              <w:divBdr>
                <w:top w:val="none" w:sz="0" w:space="0" w:color="auto"/>
                <w:left w:val="none" w:sz="0" w:space="0" w:color="auto"/>
                <w:bottom w:val="none" w:sz="0" w:space="0" w:color="auto"/>
                <w:right w:val="none" w:sz="0" w:space="0" w:color="auto"/>
              </w:divBdr>
              <w:divsChild>
                <w:div w:id="127861005">
                  <w:marLeft w:val="0"/>
                  <w:marRight w:val="1"/>
                  <w:marTop w:val="0"/>
                  <w:marBottom w:val="0"/>
                  <w:divBdr>
                    <w:top w:val="none" w:sz="0" w:space="0" w:color="auto"/>
                    <w:left w:val="none" w:sz="0" w:space="0" w:color="auto"/>
                    <w:bottom w:val="none" w:sz="0" w:space="0" w:color="auto"/>
                    <w:right w:val="none" w:sz="0" w:space="0" w:color="auto"/>
                  </w:divBdr>
                  <w:divsChild>
                    <w:div w:id="72826955">
                      <w:marLeft w:val="0"/>
                      <w:marRight w:val="0"/>
                      <w:marTop w:val="0"/>
                      <w:marBottom w:val="0"/>
                      <w:divBdr>
                        <w:top w:val="none" w:sz="0" w:space="0" w:color="auto"/>
                        <w:left w:val="none" w:sz="0" w:space="0" w:color="auto"/>
                        <w:bottom w:val="none" w:sz="0" w:space="0" w:color="auto"/>
                        <w:right w:val="none" w:sz="0" w:space="0" w:color="auto"/>
                      </w:divBdr>
                      <w:divsChild>
                        <w:div w:id="1416441235">
                          <w:marLeft w:val="0"/>
                          <w:marRight w:val="0"/>
                          <w:marTop w:val="0"/>
                          <w:marBottom w:val="0"/>
                          <w:divBdr>
                            <w:top w:val="none" w:sz="0" w:space="0" w:color="auto"/>
                            <w:left w:val="none" w:sz="0" w:space="0" w:color="auto"/>
                            <w:bottom w:val="none" w:sz="0" w:space="0" w:color="auto"/>
                            <w:right w:val="none" w:sz="0" w:space="0" w:color="auto"/>
                          </w:divBdr>
                          <w:divsChild>
                            <w:div w:id="1698576256">
                              <w:marLeft w:val="0"/>
                              <w:marRight w:val="0"/>
                              <w:marTop w:val="0"/>
                              <w:marBottom w:val="0"/>
                              <w:divBdr>
                                <w:top w:val="none" w:sz="0" w:space="0" w:color="auto"/>
                                <w:left w:val="none" w:sz="0" w:space="0" w:color="auto"/>
                                <w:bottom w:val="none" w:sz="0" w:space="0" w:color="auto"/>
                                <w:right w:val="none" w:sz="0" w:space="0" w:color="auto"/>
                              </w:divBdr>
                              <w:divsChild>
                                <w:div w:id="882012481">
                                  <w:marLeft w:val="0"/>
                                  <w:marRight w:val="0"/>
                                  <w:marTop w:val="120"/>
                                  <w:marBottom w:val="0"/>
                                  <w:divBdr>
                                    <w:top w:val="none" w:sz="0" w:space="0" w:color="auto"/>
                                    <w:left w:val="none" w:sz="0" w:space="0" w:color="auto"/>
                                    <w:bottom w:val="none" w:sz="0" w:space="0" w:color="auto"/>
                                    <w:right w:val="none" w:sz="0" w:space="0" w:color="auto"/>
                                  </w:divBdr>
                                  <w:divsChild>
                                    <w:div w:id="11904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47038">
      <w:bodyDiv w:val="1"/>
      <w:marLeft w:val="0"/>
      <w:marRight w:val="0"/>
      <w:marTop w:val="0"/>
      <w:marBottom w:val="0"/>
      <w:divBdr>
        <w:top w:val="none" w:sz="0" w:space="0" w:color="auto"/>
        <w:left w:val="none" w:sz="0" w:space="0" w:color="auto"/>
        <w:bottom w:val="none" w:sz="0" w:space="0" w:color="auto"/>
        <w:right w:val="none" w:sz="0" w:space="0" w:color="auto"/>
      </w:divBdr>
      <w:divsChild>
        <w:div w:id="581523476">
          <w:marLeft w:val="0"/>
          <w:marRight w:val="1"/>
          <w:marTop w:val="0"/>
          <w:marBottom w:val="0"/>
          <w:divBdr>
            <w:top w:val="none" w:sz="0" w:space="0" w:color="auto"/>
            <w:left w:val="none" w:sz="0" w:space="0" w:color="auto"/>
            <w:bottom w:val="none" w:sz="0" w:space="0" w:color="auto"/>
            <w:right w:val="none" w:sz="0" w:space="0" w:color="auto"/>
          </w:divBdr>
          <w:divsChild>
            <w:div w:id="1209074075">
              <w:marLeft w:val="0"/>
              <w:marRight w:val="0"/>
              <w:marTop w:val="0"/>
              <w:marBottom w:val="0"/>
              <w:divBdr>
                <w:top w:val="none" w:sz="0" w:space="0" w:color="auto"/>
                <w:left w:val="none" w:sz="0" w:space="0" w:color="auto"/>
                <w:bottom w:val="none" w:sz="0" w:space="0" w:color="auto"/>
                <w:right w:val="none" w:sz="0" w:space="0" w:color="auto"/>
              </w:divBdr>
              <w:divsChild>
                <w:div w:id="1550917326">
                  <w:marLeft w:val="0"/>
                  <w:marRight w:val="1"/>
                  <w:marTop w:val="0"/>
                  <w:marBottom w:val="0"/>
                  <w:divBdr>
                    <w:top w:val="none" w:sz="0" w:space="0" w:color="auto"/>
                    <w:left w:val="none" w:sz="0" w:space="0" w:color="auto"/>
                    <w:bottom w:val="none" w:sz="0" w:space="0" w:color="auto"/>
                    <w:right w:val="none" w:sz="0" w:space="0" w:color="auto"/>
                  </w:divBdr>
                  <w:divsChild>
                    <w:div w:id="1471050796">
                      <w:marLeft w:val="0"/>
                      <w:marRight w:val="0"/>
                      <w:marTop w:val="0"/>
                      <w:marBottom w:val="0"/>
                      <w:divBdr>
                        <w:top w:val="none" w:sz="0" w:space="0" w:color="auto"/>
                        <w:left w:val="none" w:sz="0" w:space="0" w:color="auto"/>
                        <w:bottom w:val="none" w:sz="0" w:space="0" w:color="auto"/>
                        <w:right w:val="none" w:sz="0" w:space="0" w:color="auto"/>
                      </w:divBdr>
                      <w:divsChild>
                        <w:div w:id="810515974">
                          <w:marLeft w:val="0"/>
                          <w:marRight w:val="0"/>
                          <w:marTop w:val="0"/>
                          <w:marBottom w:val="0"/>
                          <w:divBdr>
                            <w:top w:val="none" w:sz="0" w:space="0" w:color="auto"/>
                            <w:left w:val="none" w:sz="0" w:space="0" w:color="auto"/>
                            <w:bottom w:val="none" w:sz="0" w:space="0" w:color="auto"/>
                            <w:right w:val="none" w:sz="0" w:space="0" w:color="auto"/>
                          </w:divBdr>
                          <w:divsChild>
                            <w:div w:id="658659072">
                              <w:marLeft w:val="0"/>
                              <w:marRight w:val="0"/>
                              <w:marTop w:val="0"/>
                              <w:marBottom w:val="0"/>
                              <w:divBdr>
                                <w:top w:val="none" w:sz="0" w:space="0" w:color="auto"/>
                                <w:left w:val="none" w:sz="0" w:space="0" w:color="auto"/>
                                <w:bottom w:val="none" w:sz="0" w:space="0" w:color="auto"/>
                                <w:right w:val="none" w:sz="0" w:space="0" w:color="auto"/>
                              </w:divBdr>
                              <w:divsChild>
                                <w:div w:id="740251715">
                                  <w:marLeft w:val="0"/>
                                  <w:marRight w:val="0"/>
                                  <w:marTop w:val="120"/>
                                  <w:marBottom w:val="0"/>
                                  <w:divBdr>
                                    <w:top w:val="none" w:sz="0" w:space="0" w:color="auto"/>
                                    <w:left w:val="none" w:sz="0" w:space="0" w:color="auto"/>
                                    <w:bottom w:val="none" w:sz="0" w:space="0" w:color="auto"/>
                                    <w:right w:val="none" w:sz="0" w:space="0" w:color="auto"/>
                                  </w:divBdr>
                                  <w:divsChild>
                                    <w:div w:id="16717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835245">
      <w:bodyDiv w:val="1"/>
      <w:marLeft w:val="0"/>
      <w:marRight w:val="0"/>
      <w:marTop w:val="0"/>
      <w:marBottom w:val="0"/>
      <w:divBdr>
        <w:top w:val="none" w:sz="0" w:space="0" w:color="auto"/>
        <w:left w:val="none" w:sz="0" w:space="0" w:color="auto"/>
        <w:bottom w:val="none" w:sz="0" w:space="0" w:color="auto"/>
        <w:right w:val="none" w:sz="0" w:space="0" w:color="auto"/>
      </w:divBdr>
    </w:div>
    <w:div w:id="1819153198">
      <w:bodyDiv w:val="1"/>
      <w:marLeft w:val="0"/>
      <w:marRight w:val="0"/>
      <w:marTop w:val="0"/>
      <w:marBottom w:val="0"/>
      <w:divBdr>
        <w:top w:val="none" w:sz="0" w:space="0" w:color="auto"/>
        <w:left w:val="none" w:sz="0" w:space="0" w:color="auto"/>
        <w:bottom w:val="none" w:sz="0" w:space="0" w:color="auto"/>
        <w:right w:val="none" w:sz="0" w:space="0" w:color="auto"/>
      </w:divBdr>
    </w:div>
    <w:div w:id="18486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Beall, Bernard (CDC/OID/NCIRD)</cp:lastModifiedBy>
  <cp:revision>7</cp:revision>
  <cp:lastPrinted>2015-03-05T15:37:00Z</cp:lastPrinted>
  <dcterms:created xsi:type="dcterms:W3CDTF">2015-03-03T14:30:00Z</dcterms:created>
  <dcterms:modified xsi:type="dcterms:W3CDTF">2015-04-27T21:32:00Z</dcterms:modified>
</cp:coreProperties>
</file>