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A7" w:rsidRDefault="00EB3F48" w:rsidP="00F16589">
      <w:pPr>
        <w:pStyle w:val="Title"/>
      </w:pPr>
      <w:bookmarkStart w:id="0" w:name="_Toc335646685"/>
      <w:r>
        <w:t xml:space="preserve">Analytical plan for </w:t>
      </w:r>
      <w:r w:rsidRPr="00F16589">
        <w:rPr>
          <w:i/>
        </w:rPr>
        <w:t>In vivo</w:t>
      </w:r>
      <w:r>
        <w:t xml:space="preserve"> </w:t>
      </w:r>
      <w:bookmarkEnd w:id="0"/>
      <w:r w:rsidR="00542BE3">
        <w:t>module</w:t>
      </w:r>
      <w:r>
        <w:t xml:space="preserve"> </w:t>
      </w:r>
    </w:p>
    <w:p w:rsidR="00EB3F48" w:rsidRDefault="00EB3F48" w:rsidP="00F16589">
      <w:pPr>
        <w:pStyle w:val="Heading2"/>
      </w:pPr>
      <w:bookmarkStart w:id="1" w:name="_Toc335646752"/>
      <w:r>
        <w:t>Objectives</w:t>
      </w:r>
      <w:bookmarkEnd w:id="1"/>
    </w:p>
    <w:p w:rsidR="00EB3F48" w:rsidRDefault="00EB3F48" w:rsidP="00072A75">
      <w:pPr>
        <w:pStyle w:val="ListParagraph"/>
        <w:numPr>
          <w:ilvl w:val="1"/>
          <w:numId w:val="22"/>
        </w:numPr>
        <w:ind w:left="992" w:hanging="357"/>
      </w:pPr>
      <w:r>
        <w:t xml:space="preserve">To determine the efficacy of IPTp-SP in clearing peripheral parasiatemias </w:t>
      </w:r>
      <w:r w:rsidR="00BA54EB">
        <w:t xml:space="preserve">and prevent new infections </w:t>
      </w:r>
      <w:r>
        <w:t>in asymptomatic parasitaemic pregnant women</w:t>
      </w:r>
    </w:p>
    <w:p w:rsidR="00BA54EB" w:rsidRDefault="00BA54EB" w:rsidP="00072A75">
      <w:pPr>
        <w:pStyle w:val="ListParagraph"/>
        <w:numPr>
          <w:ilvl w:val="1"/>
          <w:numId w:val="22"/>
        </w:numPr>
        <w:ind w:left="992" w:hanging="357"/>
      </w:pPr>
      <w:r>
        <w:t>To determine the average duration of post-treatment prophylaxis</w:t>
      </w:r>
    </w:p>
    <w:p w:rsidR="00BA54EB" w:rsidRDefault="00EB3F48" w:rsidP="00072A75">
      <w:pPr>
        <w:pStyle w:val="ListParagraph"/>
        <w:numPr>
          <w:ilvl w:val="1"/>
          <w:numId w:val="22"/>
        </w:numPr>
        <w:ind w:left="992" w:hanging="357"/>
      </w:pPr>
      <w:r>
        <w:t xml:space="preserve">To determine which parasite genotypes recrudesce, </w:t>
      </w:r>
      <w:r w:rsidR="00BA54EB">
        <w:t xml:space="preserve">or </w:t>
      </w:r>
      <w:r>
        <w:t xml:space="preserve">cause new infections </w:t>
      </w:r>
      <w:r w:rsidR="00BA54EB">
        <w:t>during the post-treatment prophylactic period</w:t>
      </w:r>
    </w:p>
    <w:p w:rsidR="00BA54EB" w:rsidRDefault="00BA54EB" w:rsidP="00072A75">
      <w:pPr>
        <w:pStyle w:val="ListParagraph"/>
        <w:numPr>
          <w:ilvl w:val="1"/>
          <w:numId w:val="22"/>
        </w:numPr>
        <w:ind w:left="992" w:hanging="357"/>
      </w:pPr>
      <w:r>
        <w:t xml:space="preserve">To assess </w:t>
      </w:r>
      <w:r w:rsidR="00AB4BAA">
        <w:t xml:space="preserve">the </w:t>
      </w:r>
      <w:r>
        <w:t>main determinants of the treatment response</w:t>
      </w:r>
    </w:p>
    <w:p w:rsidR="00072A75" w:rsidRDefault="00BA54EB" w:rsidP="0007559C">
      <w:pPr>
        <w:pStyle w:val="ListParagraph"/>
        <w:numPr>
          <w:ilvl w:val="1"/>
          <w:numId w:val="22"/>
        </w:numPr>
        <w:ind w:left="992" w:hanging="357"/>
      </w:pPr>
      <w:r>
        <w:t>To determine whether sparse sampling can replace the standard weekly sampling scheme</w:t>
      </w:r>
    </w:p>
    <w:p w:rsidR="00072A75" w:rsidRDefault="00D03A1C" w:rsidP="00072A75">
      <w:pPr>
        <w:pStyle w:val="Heading2"/>
      </w:pPr>
      <w:bookmarkStart w:id="2" w:name="_Toc335646754"/>
      <w:r>
        <w:t xml:space="preserve">Preparation of </w:t>
      </w:r>
      <w:r w:rsidR="00AB4BAA">
        <w:t xml:space="preserve">the analytical </w:t>
      </w:r>
      <w:r>
        <w:t>data set</w:t>
      </w:r>
      <w:bookmarkEnd w:id="2"/>
      <w:r w:rsidR="00AB4BAA">
        <w:t xml:space="preserve"> </w:t>
      </w:r>
    </w:p>
    <w:p w:rsidR="00542BE3" w:rsidRPr="00072A75" w:rsidRDefault="00542BE3" w:rsidP="00072A75">
      <w:pPr>
        <w:pStyle w:val="Heading3"/>
      </w:pPr>
      <w:r w:rsidRPr="00072A75">
        <w:t>Protocol violations</w:t>
      </w:r>
    </w:p>
    <w:p w:rsidR="00542BE3" w:rsidRDefault="00542BE3" w:rsidP="00072A75">
      <w:r>
        <w:t>Inclusion criteria</w:t>
      </w:r>
      <w:r w:rsidR="00072A75">
        <w:t xml:space="preserve"> consist </w:t>
      </w:r>
      <w:r w:rsidR="00960107">
        <w:t>of</w:t>
      </w:r>
      <w:r w:rsidR="00072A75">
        <w:t xml:space="preserve"> p</w:t>
      </w:r>
      <w:r>
        <w:t xml:space="preserve">arasitaemia </w:t>
      </w:r>
      <w:r w:rsidR="00625EA7">
        <w:t xml:space="preserve">as defined by the study sites: e.g. </w:t>
      </w:r>
      <w:r>
        <w:t>by RDT-pLDH positive</w:t>
      </w:r>
      <w:r w:rsidR="00625EA7">
        <w:t>, smear confirmed,</w:t>
      </w:r>
      <w:r>
        <w:t xml:space="preserve"> or </w:t>
      </w:r>
      <w:r w:rsidR="00625EA7">
        <w:t xml:space="preserve">by </w:t>
      </w:r>
      <w:r>
        <w:t>blood smear positive</w:t>
      </w:r>
      <w:r w:rsidR="00816474">
        <w:t xml:space="preserve"> in the absence of pLDH-based RDTs.</w:t>
      </w:r>
    </w:p>
    <w:p w:rsidR="00542BE3" w:rsidRDefault="00D03A1C" w:rsidP="00072A75">
      <w:r>
        <w:t>Exclusion/</w:t>
      </w:r>
      <w:r w:rsidR="00542BE3">
        <w:t>Enrolment deviations</w:t>
      </w:r>
      <w:r w:rsidR="00072A75">
        <w:t xml:space="preserve"> consist in excluding screening failures:</w:t>
      </w:r>
    </w:p>
    <w:p w:rsidR="00542BE3" w:rsidRDefault="00542BE3" w:rsidP="00072A75">
      <w:pPr>
        <w:pStyle w:val="ListParagraph"/>
        <w:numPr>
          <w:ilvl w:val="3"/>
          <w:numId w:val="19"/>
        </w:numPr>
        <w:ind w:left="992" w:hanging="357"/>
      </w:pPr>
      <w:r>
        <w:t>HIV positive women</w:t>
      </w:r>
    </w:p>
    <w:p w:rsidR="00542BE3" w:rsidRDefault="00542BE3" w:rsidP="00072A75">
      <w:pPr>
        <w:pStyle w:val="ListParagraph"/>
        <w:numPr>
          <w:ilvl w:val="3"/>
          <w:numId w:val="19"/>
        </w:numPr>
        <w:ind w:left="992" w:hanging="357"/>
      </w:pPr>
      <w:r>
        <w:t>Hb &lt;5g/dl or Ht &lt;15% or severe anaemia on day 0</w:t>
      </w:r>
    </w:p>
    <w:p w:rsidR="00C119D1" w:rsidRDefault="00542BE3" w:rsidP="00072A75">
      <w:pPr>
        <w:pStyle w:val="ListParagraph"/>
        <w:numPr>
          <w:ilvl w:val="3"/>
          <w:numId w:val="19"/>
        </w:numPr>
        <w:ind w:left="992" w:hanging="357"/>
      </w:pPr>
      <w:r>
        <w:t xml:space="preserve">No </w:t>
      </w:r>
      <w:r w:rsidR="00D03A1C">
        <w:t xml:space="preserve">confirmed </w:t>
      </w:r>
      <w:r>
        <w:t>parasitaemia on day 0</w:t>
      </w:r>
      <w:r w:rsidR="00D03A1C">
        <w:t xml:space="preserve"> by microscopy</w:t>
      </w:r>
    </w:p>
    <w:p w:rsidR="00542BE3" w:rsidRPr="00072A75" w:rsidRDefault="000F4165" w:rsidP="00072A75">
      <w:pPr>
        <w:pStyle w:val="Heading3"/>
      </w:pPr>
      <w:r w:rsidRPr="00072A75">
        <w:t>Definition of loss-to follow up</w:t>
      </w:r>
    </w:p>
    <w:p w:rsidR="00542BE3" w:rsidRDefault="00542BE3" w:rsidP="00072A75">
      <w:r>
        <w:t>If more than 3 weeks without blood smear or RDT results, patient is considered lost to follow up on day of last visit (censored data)</w:t>
      </w:r>
      <w:r w:rsidR="00FA1A53">
        <w:t>.</w:t>
      </w:r>
    </w:p>
    <w:p w:rsidR="007C60F1" w:rsidRDefault="007C60F1" w:rsidP="00072A75">
      <w:r>
        <w:t xml:space="preserve">For the purpose of reporting efficacy outcomes, a visit occurring 3 days before or after the day of scheduled visit is classified </w:t>
      </w:r>
      <w:r w:rsidR="00960107">
        <w:t xml:space="preserve">as having occurred </w:t>
      </w:r>
      <w:r>
        <w:t xml:space="preserve">on the day of the scheduled visit: </w:t>
      </w:r>
    </w:p>
    <w:p w:rsidR="007C60F1" w:rsidRDefault="007C60F1" w:rsidP="00072A75">
      <w:pPr>
        <w:pStyle w:val="ListParagraph"/>
        <w:numPr>
          <w:ilvl w:val="1"/>
          <w:numId w:val="7"/>
        </w:numPr>
        <w:ind w:left="993"/>
      </w:pPr>
      <w:r>
        <w:t>7 day blocks thereafter</w:t>
      </w:r>
      <w:r w:rsidR="00477B30">
        <w:t>:</w:t>
      </w:r>
      <w:r>
        <w:t xml:space="preserve"> day 4-10 = day 7, day 11-17 = 14, 18-24=21, etc…</w:t>
      </w:r>
    </w:p>
    <w:p w:rsidR="00B97C45" w:rsidRDefault="00B97C45" w:rsidP="00072A75">
      <w:pPr>
        <w:pStyle w:val="ListParagraph"/>
        <w:numPr>
          <w:ilvl w:val="1"/>
          <w:numId w:val="7"/>
        </w:numPr>
        <w:ind w:left="993"/>
      </w:pPr>
      <w:r>
        <w:t>where day 0 = day of treatment, day 1=1</w:t>
      </w:r>
      <w:r w:rsidRPr="00870379">
        <w:rPr>
          <w:vertAlign w:val="superscript"/>
        </w:rPr>
        <w:t>st</w:t>
      </w:r>
      <w:r>
        <w:t xml:space="preserve"> day after SP, day2 and day 3 are the 2</w:t>
      </w:r>
      <w:r w:rsidR="000D19EC" w:rsidRPr="000D19EC">
        <w:rPr>
          <w:vertAlign w:val="superscript"/>
        </w:rPr>
        <w:t>nd</w:t>
      </w:r>
      <w:r>
        <w:t xml:space="preserve"> and 3</w:t>
      </w:r>
      <w:r w:rsidR="000D19EC" w:rsidRPr="000D19EC">
        <w:rPr>
          <w:vertAlign w:val="superscript"/>
        </w:rPr>
        <w:t>rd</w:t>
      </w:r>
      <w:r>
        <w:t xml:space="preserve"> day after treatment</w:t>
      </w:r>
    </w:p>
    <w:p w:rsidR="00B97C45" w:rsidRDefault="00477B30" w:rsidP="00072A75">
      <w:pPr>
        <w:pStyle w:val="ListParagraph"/>
        <w:numPr>
          <w:ilvl w:val="1"/>
          <w:numId w:val="7"/>
        </w:numPr>
        <w:ind w:left="993"/>
      </w:pPr>
      <w:r>
        <w:t>if two visits occur per time block, and both are unscheduled visits, the latest visit is used.</w:t>
      </w:r>
    </w:p>
    <w:p w:rsidR="000272C6" w:rsidRDefault="00542BE3" w:rsidP="00072A75">
      <w:r>
        <w:t xml:space="preserve">If no blood smear or RDT results </w:t>
      </w:r>
      <w:r w:rsidR="00D137CE">
        <w:t xml:space="preserve">are available </w:t>
      </w:r>
      <w:r>
        <w:t xml:space="preserve">within </w:t>
      </w:r>
      <w:r w:rsidR="00D137CE">
        <w:t xml:space="preserve">the </w:t>
      </w:r>
      <w:r>
        <w:t xml:space="preserve">day 39 and day 45 </w:t>
      </w:r>
      <w:r w:rsidR="00D137CE">
        <w:t>peri</w:t>
      </w:r>
      <w:r w:rsidR="00FB6089">
        <w:t>od</w:t>
      </w:r>
      <w:r w:rsidR="00D137CE">
        <w:t xml:space="preserve"> </w:t>
      </w:r>
      <w:r>
        <w:t>in a day 42</w:t>
      </w:r>
      <w:r w:rsidR="00C60769">
        <w:t xml:space="preserve"> follow-up</w:t>
      </w:r>
      <w:r>
        <w:t xml:space="preserve"> study</w:t>
      </w:r>
      <w:r w:rsidR="00C60769">
        <w:t>, or 3</w:t>
      </w:r>
      <w:r w:rsidR="00D137CE">
        <w:t>2</w:t>
      </w:r>
      <w:r w:rsidR="00C60769">
        <w:t xml:space="preserve">-38 </w:t>
      </w:r>
      <w:r w:rsidR="00270BD1">
        <w:t xml:space="preserve">day period </w:t>
      </w:r>
      <w:r w:rsidR="00C60769">
        <w:t xml:space="preserve">in </w:t>
      </w:r>
      <w:r w:rsidR="00D137CE">
        <w:t xml:space="preserve">a </w:t>
      </w:r>
      <w:r w:rsidR="00C60769">
        <w:t>35 day follow-up study</w:t>
      </w:r>
      <w:r>
        <w:t xml:space="preserve">, </w:t>
      </w:r>
      <w:r w:rsidR="00D137CE">
        <w:t xml:space="preserve">the </w:t>
      </w:r>
      <w:r>
        <w:t>patient is considered lost to follow up on day of last visit</w:t>
      </w:r>
      <w:r w:rsidR="000F4165">
        <w:t xml:space="preserve">. </w:t>
      </w:r>
      <w:r w:rsidR="00FB6089">
        <w:t>The p</w:t>
      </w:r>
      <w:r w:rsidR="000F4165">
        <w:t xml:space="preserve">atient is considered lost to follow up </w:t>
      </w:r>
      <w:r w:rsidR="00E0761B">
        <w:t xml:space="preserve">and censored </w:t>
      </w:r>
      <w:r w:rsidR="000F4165">
        <w:t xml:space="preserve">on </w:t>
      </w:r>
      <w:r w:rsidR="00E0761B">
        <w:t xml:space="preserve">the </w:t>
      </w:r>
      <w:r w:rsidR="000F4165">
        <w:t xml:space="preserve">day of last </w:t>
      </w:r>
      <w:r w:rsidR="00E0761B">
        <w:t xml:space="preserve">valid </w:t>
      </w:r>
      <w:r w:rsidR="000F4165">
        <w:t>visit (censored data)</w:t>
      </w:r>
      <w:r w:rsidR="00FA1A53">
        <w:t>.</w:t>
      </w:r>
      <w:r w:rsidR="00FB6089">
        <w:t xml:space="preserve"> In other words, </w:t>
      </w:r>
      <w:r w:rsidR="000272C6">
        <w:t xml:space="preserve">data will be excluded </w:t>
      </w:r>
      <w:r w:rsidR="00FB6089">
        <w:t xml:space="preserve">if </w:t>
      </w:r>
      <w:r w:rsidR="000272C6">
        <w:t xml:space="preserve">it was collected </w:t>
      </w:r>
      <w:r w:rsidR="00FB6089">
        <w:t xml:space="preserve">beyond these periods </w:t>
      </w:r>
    </w:p>
    <w:p w:rsidR="00607B0F" w:rsidRDefault="000272C6" w:rsidP="00072A75">
      <w:pPr>
        <w:pStyle w:val="ListParagraph"/>
        <w:numPr>
          <w:ilvl w:val="1"/>
          <w:numId w:val="20"/>
        </w:numPr>
        <w:ind w:left="993"/>
      </w:pPr>
      <w:r>
        <w:t xml:space="preserve">Example 1: 42-Day study: a patient comes on day 35, </w:t>
      </w:r>
      <w:r w:rsidR="00204521">
        <w:t>and then</w:t>
      </w:r>
      <w:r>
        <w:t xml:space="preserve"> comes next on day 48. This patient will be censored on day 35, and the day 48 information will be ignored</w:t>
      </w:r>
    </w:p>
    <w:p w:rsidR="00607B0F" w:rsidRDefault="000272C6" w:rsidP="00072A75">
      <w:pPr>
        <w:pStyle w:val="ListParagraph"/>
        <w:numPr>
          <w:ilvl w:val="1"/>
          <w:numId w:val="20"/>
        </w:numPr>
        <w:ind w:left="993"/>
      </w:pPr>
      <w:r>
        <w:t xml:space="preserve">Example 2: 42-day study: a patient comes on day 28, 34, and 38. </w:t>
      </w:r>
      <w:r w:rsidR="00EE1012">
        <w:t>All a</w:t>
      </w:r>
      <w:r>
        <w:t xml:space="preserve">re ‘scheduled visits’ </w:t>
      </w:r>
      <w:r w:rsidR="00EE1012">
        <w:t>(not unscheduled visits due to acute illness). The</w:t>
      </w:r>
      <w:r>
        <w:t xml:space="preserve"> day 38 was supposed to be the day-42 visit, but the patient came a few days early because she had to travel. The values on days </w:t>
      </w:r>
      <w:r>
        <w:lastRenderedPageBreak/>
        <w:t>28, 3</w:t>
      </w:r>
      <w:r w:rsidR="007F57E7">
        <w:t>8</w:t>
      </w:r>
      <w:r>
        <w:t xml:space="preserve"> will be used, but the value on </w:t>
      </w:r>
      <w:r w:rsidR="00EE1012">
        <w:t>day 3</w:t>
      </w:r>
      <w:r w:rsidR="007F57E7">
        <w:t>4</w:t>
      </w:r>
      <w:r w:rsidR="00EE1012">
        <w:t xml:space="preserve"> will be ignored as </w:t>
      </w:r>
      <w:r w:rsidR="007F57E7">
        <w:t>day 38</w:t>
      </w:r>
      <w:r w:rsidR="00EE1012">
        <w:t xml:space="preserve"> falls outside the 39-</w:t>
      </w:r>
      <w:r w:rsidR="004B0E84">
        <w:t xml:space="preserve">45 </w:t>
      </w:r>
      <w:r w:rsidR="00EE1012">
        <w:t>day time window</w:t>
      </w:r>
      <w:r w:rsidR="007F57E7">
        <w:t>, but wit</w:t>
      </w:r>
      <w:r w:rsidR="005D26E0">
        <w:t>hin the day-35 week time window</w:t>
      </w:r>
      <w:r w:rsidR="00EE1012">
        <w:t>. T</w:t>
      </w:r>
      <w:r w:rsidR="005D26E0">
        <w:t>he patient is censored on day 38</w:t>
      </w:r>
      <w:r w:rsidR="00EE1012">
        <w:t>.</w:t>
      </w:r>
      <w:r w:rsidR="00FB6089">
        <w:t xml:space="preserve"> </w:t>
      </w:r>
    </w:p>
    <w:p w:rsidR="00F12393" w:rsidRDefault="00F12393" w:rsidP="00072A75">
      <w:pPr>
        <w:pStyle w:val="ListParagraph"/>
        <w:numPr>
          <w:ilvl w:val="1"/>
          <w:numId w:val="20"/>
        </w:numPr>
        <w:ind w:left="993"/>
      </w:pPr>
      <w:r>
        <w:t xml:space="preserve">Example 3: 42-day study: a patient comes on day 28, 34, and 38. The first 2 are ‘scheduled visits’, and day </w:t>
      </w:r>
      <w:r w:rsidR="000D19EC" w:rsidRPr="000D19EC">
        <w:rPr>
          <w:u w:val="single"/>
        </w:rPr>
        <w:t>38 is an unscheduled visits due to acute illness</w:t>
      </w:r>
      <w:r>
        <w:t xml:space="preserve">. The patient was </w:t>
      </w:r>
      <w:r w:rsidR="000D19EC" w:rsidRPr="000D19EC">
        <w:rPr>
          <w:u w:val="single"/>
        </w:rPr>
        <w:t>negative</w:t>
      </w:r>
      <w:r>
        <w:t xml:space="preserve"> on day 38, but does not return again. The values on days 28, 34 will be used as scheduled visits, and the value on day 38 as unscheduled. </w:t>
      </w:r>
      <w:r w:rsidR="00921FDE">
        <w:t xml:space="preserve">Day 38 does not carry over to day 42 window. </w:t>
      </w:r>
      <w:r>
        <w:t>T</w:t>
      </w:r>
      <w:r w:rsidR="00921FDE">
        <w:t>he patient is censored on day 38</w:t>
      </w:r>
      <w:r>
        <w:t xml:space="preserve">. </w:t>
      </w:r>
    </w:p>
    <w:p w:rsidR="00542BE3" w:rsidRDefault="00921FDE" w:rsidP="0007559C">
      <w:pPr>
        <w:pStyle w:val="ListParagraph"/>
        <w:numPr>
          <w:ilvl w:val="1"/>
          <w:numId w:val="20"/>
        </w:numPr>
        <w:ind w:left="993"/>
      </w:pPr>
      <w:r>
        <w:t xml:space="preserve">Example 3: 42-day study: a patient comes on day 28, 34, and 38. The first 2 are ‘scheduled visits’, and </w:t>
      </w:r>
      <w:r w:rsidR="000D19EC" w:rsidRPr="000D19EC">
        <w:rPr>
          <w:u w:val="single"/>
        </w:rPr>
        <w:t>day 38 is an unscheduled visits due to acute illness</w:t>
      </w:r>
      <w:r>
        <w:t xml:space="preserve">. The patient was </w:t>
      </w:r>
      <w:r w:rsidR="000D19EC" w:rsidRPr="000D19EC">
        <w:rPr>
          <w:u w:val="single"/>
        </w:rPr>
        <w:t xml:space="preserve">positive </w:t>
      </w:r>
      <w:r w:rsidRPr="002C4FE1">
        <w:t xml:space="preserve">on day 38 </w:t>
      </w:r>
      <w:r>
        <w:t xml:space="preserve">and is treated again. The values on days 28, 34 will be used as scheduled visits, and the value on day 38 as failure day. Day 38 does not carry over to day 42 window. The patient is </w:t>
      </w:r>
      <w:r w:rsidR="006F57D7">
        <w:t>treated as a</w:t>
      </w:r>
      <w:r w:rsidR="007C60F1">
        <w:t>n event (</w:t>
      </w:r>
      <w:r w:rsidR="006F57D7">
        <w:t>failure</w:t>
      </w:r>
      <w:r w:rsidR="007C60F1">
        <w:t>) that occurred</w:t>
      </w:r>
      <w:r w:rsidR="006F57D7">
        <w:t xml:space="preserve"> on day 38</w:t>
      </w:r>
      <w:r>
        <w:t xml:space="preserve">. </w:t>
      </w:r>
    </w:p>
    <w:p w:rsidR="00BE1164" w:rsidRDefault="00BE1164" w:rsidP="00F16589">
      <w:pPr>
        <w:pStyle w:val="Heading2"/>
      </w:pPr>
      <w:bookmarkStart w:id="3" w:name="_Toc335646755"/>
      <w:r>
        <w:t>Definition of efficacy outcomes</w:t>
      </w:r>
      <w:bookmarkEnd w:id="3"/>
    </w:p>
    <w:p w:rsidR="007D58FB" w:rsidRDefault="00895D90" w:rsidP="00072A75">
      <w:r w:rsidRPr="0007559C">
        <w:rPr>
          <w:rStyle w:val="Heading3Char"/>
        </w:rPr>
        <w:t>Clinical failure</w:t>
      </w:r>
      <w:r>
        <w:t xml:space="preserve">: this </w:t>
      </w:r>
      <w:r w:rsidR="004833FA">
        <w:t xml:space="preserve">will not </w:t>
      </w:r>
      <w:r>
        <w:t xml:space="preserve">be used as symptomatic women were </w:t>
      </w:r>
      <w:r w:rsidR="004833FA">
        <w:t>excluded from the study</w:t>
      </w:r>
    </w:p>
    <w:p w:rsidR="00072A75" w:rsidRDefault="00A72869" w:rsidP="00072A75">
      <w:r w:rsidRPr="0007559C">
        <w:rPr>
          <w:rStyle w:val="Heading3Char"/>
        </w:rPr>
        <w:t>Parasitological failure</w:t>
      </w:r>
      <w:r w:rsidR="001E4312">
        <w:t xml:space="preserve"> (WHO definitions)</w:t>
      </w:r>
    </w:p>
    <w:p w:rsidR="00072A75" w:rsidRDefault="0018664E" w:rsidP="00190856">
      <w:pPr>
        <w:pStyle w:val="ListParagraph"/>
        <w:numPr>
          <w:ilvl w:val="0"/>
          <w:numId w:val="26"/>
        </w:numPr>
        <w:ind w:left="992" w:hanging="357"/>
      </w:pPr>
      <w:r>
        <w:t xml:space="preserve">Before day 7 (i.e. </w:t>
      </w:r>
      <w:r w:rsidR="00072A75">
        <w:t xml:space="preserve">day </w:t>
      </w:r>
      <w:r>
        <w:t>4), treatment failure is not defined unl</w:t>
      </w:r>
      <w:r w:rsidR="00072A75">
        <w:t xml:space="preserve">ess the patient required rescue </w:t>
      </w:r>
      <w:r>
        <w:t>therapy because of clinical illness or as determined by study team</w:t>
      </w:r>
      <w:r w:rsidR="00072A75">
        <w:t xml:space="preserve">; </w:t>
      </w:r>
    </w:p>
    <w:p w:rsidR="00072A75" w:rsidRDefault="00BE1164" w:rsidP="00190856">
      <w:pPr>
        <w:pStyle w:val="ListParagraph"/>
        <w:numPr>
          <w:ilvl w:val="0"/>
          <w:numId w:val="26"/>
        </w:numPr>
        <w:ind w:left="992" w:hanging="357"/>
      </w:pPr>
      <w:r>
        <w:t>Late parasitological failure</w:t>
      </w:r>
      <w:r w:rsidR="006B36BE">
        <w:t xml:space="preserve"> (LPF)</w:t>
      </w:r>
      <w:r w:rsidR="00072A75">
        <w:t xml:space="preserve"> is defined as the p</w:t>
      </w:r>
      <w:r>
        <w:t xml:space="preserve">resence of parasitaemia on any day between day </w:t>
      </w:r>
      <w:r w:rsidR="00A72869">
        <w:t>4</w:t>
      </w:r>
      <w:r>
        <w:t xml:space="preserve"> </w:t>
      </w:r>
      <w:r w:rsidR="00530021">
        <w:t xml:space="preserve"> </w:t>
      </w:r>
      <w:r>
        <w:t xml:space="preserve">and </w:t>
      </w:r>
      <w:r w:rsidR="00530021">
        <w:t xml:space="preserve">last day of follow-up (e.g. </w:t>
      </w:r>
      <w:r w:rsidR="00A72869">
        <w:t xml:space="preserve">day </w:t>
      </w:r>
      <w:r w:rsidR="00530021">
        <w:t xml:space="preserve">38 for 5 week follow-up studies (day 35 + 3 days), and day 45 </w:t>
      </w:r>
      <w:r w:rsidR="00D01F01">
        <w:t xml:space="preserve">(day 42 + 3 days) </w:t>
      </w:r>
      <w:r w:rsidR="00530021">
        <w:t>for 6 week follow-up studies</w:t>
      </w:r>
      <w:r w:rsidR="00CB6A18">
        <w:t>;</w:t>
      </w:r>
      <w:r w:rsidR="00530021">
        <w:t xml:space="preserve"> </w:t>
      </w:r>
    </w:p>
    <w:p w:rsidR="00895D90" w:rsidRDefault="00BE1164" w:rsidP="00190856">
      <w:pPr>
        <w:pStyle w:val="ListParagraph"/>
        <w:numPr>
          <w:ilvl w:val="0"/>
          <w:numId w:val="26"/>
        </w:numPr>
        <w:ind w:left="992" w:hanging="357"/>
      </w:pPr>
      <w:r>
        <w:t>Adequate parasitological response</w:t>
      </w:r>
      <w:r w:rsidR="006B36BE">
        <w:t xml:space="preserve"> (ACPR)</w:t>
      </w:r>
      <w:r w:rsidR="00072A75">
        <w:t xml:space="preserve"> is the a</w:t>
      </w:r>
      <w:r>
        <w:t>bsence of parasitaemia on the last day of follow up</w:t>
      </w:r>
    </w:p>
    <w:p w:rsidR="00B563C1" w:rsidRDefault="0080186D" w:rsidP="00072A75">
      <w:r w:rsidRPr="0007559C">
        <w:rPr>
          <w:rStyle w:val="Heading3Char"/>
        </w:rPr>
        <w:t>Treatment failure</w:t>
      </w:r>
      <w:r w:rsidR="0001123C" w:rsidRPr="0007559C">
        <w:rPr>
          <w:rStyle w:val="Heading3Char"/>
        </w:rPr>
        <w:t xml:space="preserve"> </w:t>
      </w:r>
      <w:r w:rsidR="0001123C">
        <w:t xml:space="preserve">(day </w:t>
      </w:r>
      <w:r w:rsidR="00397A32">
        <w:t>4</w:t>
      </w:r>
      <w:r w:rsidR="0001123C">
        <w:t xml:space="preserve"> to 45)</w:t>
      </w:r>
      <w:r w:rsidR="00B563C1">
        <w:t xml:space="preserve"> </w:t>
      </w:r>
      <w:r w:rsidR="00072A75">
        <w:t xml:space="preserve">is </w:t>
      </w:r>
      <w:r w:rsidR="008D68EB">
        <w:t xml:space="preserve">measures </w:t>
      </w:r>
      <w:r w:rsidR="00B563C1">
        <w:t xml:space="preserve">according to </w:t>
      </w:r>
      <w:r w:rsidR="00542BE3">
        <w:t xml:space="preserve">the </w:t>
      </w:r>
      <w:r w:rsidR="00B563C1">
        <w:t>diagnostic tool</w:t>
      </w:r>
      <w:r w:rsidR="008D68EB">
        <w:t xml:space="preserve"> used</w:t>
      </w:r>
    </w:p>
    <w:p w:rsidR="0001123C" w:rsidRDefault="007C13FA" w:rsidP="00072A75">
      <w:pPr>
        <w:pStyle w:val="ListParagraph"/>
        <w:numPr>
          <w:ilvl w:val="1"/>
          <w:numId w:val="25"/>
        </w:numPr>
        <w:ind w:left="992" w:hanging="357"/>
      </w:pPr>
      <w:r>
        <w:t>Microscopy: use microscopy only</w:t>
      </w:r>
    </w:p>
    <w:p w:rsidR="007C13FA" w:rsidRDefault="007C13FA" w:rsidP="00072A75">
      <w:pPr>
        <w:pStyle w:val="ListParagraph"/>
        <w:numPr>
          <w:ilvl w:val="1"/>
          <w:numId w:val="25"/>
        </w:numPr>
        <w:ind w:left="992" w:hanging="357"/>
      </w:pPr>
      <w:r>
        <w:t>RDT: use RDT only</w:t>
      </w:r>
    </w:p>
    <w:p w:rsidR="0001123C" w:rsidRDefault="0001123C" w:rsidP="00072A75">
      <w:pPr>
        <w:pStyle w:val="ListParagraph"/>
        <w:numPr>
          <w:ilvl w:val="1"/>
          <w:numId w:val="25"/>
        </w:numPr>
        <w:ind w:left="992" w:hanging="357"/>
      </w:pPr>
      <w:r>
        <w:t>RDT-pLDH results</w:t>
      </w:r>
      <w:r w:rsidR="008E5C71">
        <w:t>. If RDT-pLDH result is missing, use blood smear result.</w:t>
      </w:r>
    </w:p>
    <w:p w:rsidR="00781A5D" w:rsidRDefault="00542BE3" w:rsidP="00781A5D">
      <w:pPr>
        <w:pStyle w:val="ListParagraph"/>
        <w:numPr>
          <w:ilvl w:val="1"/>
          <w:numId w:val="25"/>
        </w:numPr>
        <w:ind w:left="992" w:hanging="357"/>
      </w:pPr>
      <w:r>
        <w:t>B</w:t>
      </w:r>
      <w:r w:rsidR="00B563C1">
        <w:t xml:space="preserve">lood smear results between day 7 and 10 and by RDT-pLDH results from day 11. </w:t>
      </w:r>
    </w:p>
    <w:p w:rsidR="00781A5D" w:rsidRDefault="00781A5D" w:rsidP="00542BE3">
      <w:pPr>
        <w:pStyle w:val="Heading2"/>
      </w:pPr>
      <w:bookmarkStart w:id="4" w:name="_Toc335646756"/>
      <w:r>
        <w:t>Definition of resistance</w:t>
      </w:r>
    </w:p>
    <w:p w:rsidR="00781A5D" w:rsidRDefault="00781A5D" w:rsidP="00781A5D">
      <w:pPr>
        <w:ind w:left="714"/>
      </w:pPr>
      <w:r>
        <w:t>Molecular markers</w:t>
      </w:r>
      <w:r w:rsidR="00190856">
        <w:t xml:space="preserve"> to consider</w:t>
      </w:r>
    </w:p>
    <w:p w:rsidR="00781A5D" w:rsidRPr="00190856" w:rsidRDefault="00781A5D" w:rsidP="00190856">
      <w:pPr>
        <w:pStyle w:val="ListParagraph"/>
        <w:numPr>
          <w:ilvl w:val="0"/>
          <w:numId w:val="35"/>
        </w:numPr>
        <w:ind w:left="992" w:hanging="357"/>
        <w:rPr>
          <w:lang w:val="fr-FR"/>
        </w:rPr>
      </w:pPr>
      <w:r w:rsidRPr="00190856">
        <w:rPr>
          <w:lang w:val="fr-FR"/>
        </w:rPr>
        <w:t xml:space="preserve">Double mutant </w:t>
      </w:r>
      <w:proofErr w:type="spellStart"/>
      <w:r w:rsidRPr="00190856">
        <w:rPr>
          <w:i/>
          <w:lang w:val="fr-FR"/>
        </w:rPr>
        <w:t>dh</w:t>
      </w:r>
      <w:r w:rsidR="002D2EEA">
        <w:rPr>
          <w:i/>
          <w:lang w:val="fr-FR"/>
        </w:rPr>
        <w:t>ps</w:t>
      </w:r>
      <w:proofErr w:type="spellEnd"/>
      <w:r w:rsidR="002D2EEA">
        <w:rPr>
          <w:i/>
          <w:lang w:val="fr-FR"/>
        </w:rPr>
        <w:t xml:space="preserve"> </w:t>
      </w:r>
      <w:r w:rsidRPr="00190856">
        <w:rPr>
          <w:lang w:val="fr-FR"/>
        </w:rPr>
        <w:t xml:space="preserve"> 540, 437</w:t>
      </w:r>
    </w:p>
    <w:p w:rsidR="00190856" w:rsidRPr="00190856" w:rsidRDefault="00781A5D" w:rsidP="00190856">
      <w:pPr>
        <w:pStyle w:val="ListParagraph"/>
        <w:numPr>
          <w:ilvl w:val="0"/>
          <w:numId w:val="35"/>
        </w:numPr>
        <w:ind w:left="992" w:hanging="357"/>
        <w:rPr>
          <w:lang w:val="fr-FR"/>
        </w:rPr>
      </w:pPr>
      <w:r w:rsidRPr="00190856">
        <w:rPr>
          <w:lang w:val="fr-FR"/>
        </w:rPr>
        <w:t xml:space="preserve">Triple mutant </w:t>
      </w:r>
      <w:r w:rsidRPr="00190856">
        <w:rPr>
          <w:i/>
          <w:lang w:val="fr-FR"/>
        </w:rPr>
        <w:t>dhfr</w:t>
      </w:r>
      <w:r w:rsidR="002D2EEA">
        <w:rPr>
          <w:i/>
          <w:lang w:val="fr-FR"/>
        </w:rPr>
        <w:t xml:space="preserve"> </w:t>
      </w:r>
      <w:r w:rsidRPr="00190856">
        <w:rPr>
          <w:lang w:val="fr-FR"/>
        </w:rPr>
        <w:t xml:space="preserve">51, </w:t>
      </w:r>
      <w:r w:rsidR="00190856" w:rsidRPr="00190856">
        <w:rPr>
          <w:lang w:val="fr-FR"/>
        </w:rPr>
        <w:t>59, 140</w:t>
      </w:r>
      <w:r w:rsidRPr="00190856">
        <w:rPr>
          <w:lang w:val="fr-FR"/>
        </w:rPr>
        <w:t xml:space="preserve"> </w:t>
      </w:r>
    </w:p>
    <w:p w:rsidR="00190856" w:rsidRDefault="00781A5D" w:rsidP="00190856">
      <w:pPr>
        <w:pStyle w:val="ListParagraph"/>
        <w:numPr>
          <w:ilvl w:val="0"/>
          <w:numId w:val="35"/>
        </w:numPr>
        <w:ind w:left="992" w:hanging="357"/>
        <w:rPr>
          <w:i/>
          <w:lang w:val="fr-FR"/>
        </w:rPr>
      </w:pPr>
      <w:r w:rsidRPr="00190856">
        <w:rPr>
          <w:lang w:val="fr-FR"/>
        </w:rPr>
        <w:t xml:space="preserve">Quintuple mutant </w:t>
      </w:r>
      <w:r w:rsidR="00190856" w:rsidRPr="00190856">
        <w:rPr>
          <w:i/>
          <w:lang w:val="fr-FR"/>
        </w:rPr>
        <w:t>dhps/dhfr</w:t>
      </w:r>
    </w:p>
    <w:p w:rsidR="00190856" w:rsidRPr="00190856" w:rsidRDefault="00190856" w:rsidP="00190856">
      <w:pPr>
        <w:pStyle w:val="ListParagraph"/>
        <w:numPr>
          <w:ilvl w:val="0"/>
          <w:numId w:val="35"/>
        </w:numPr>
        <w:ind w:left="992" w:hanging="357"/>
        <w:rPr>
          <w:lang w:val="fr-FR"/>
        </w:rPr>
      </w:pPr>
      <w:r w:rsidRPr="00190856">
        <w:rPr>
          <w:i/>
          <w:lang w:val="fr-FR"/>
        </w:rPr>
        <w:t xml:space="preserve">dhps </w:t>
      </w:r>
      <w:r>
        <w:rPr>
          <w:lang w:val="fr-FR"/>
        </w:rPr>
        <w:t>540</w:t>
      </w:r>
      <w:r w:rsidRPr="00190856">
        <w:rPr>
          <w:lang w:val="fr-FR"/>
        </w:rPr>
        <w:t xml:space="preserve"> (proxy for quintuple mutation)</w:t>
      </w:r>
    </w:p>
    <w:p w:rsidR="00190856" w:rsidRDefault="00190856" w:rsidP="00190856">
      <w:pPr>
        <w:pStyle w:val="ListParagraph"/>
        <w:numPr>
          <w:ilvl w:val="0"/>
          <w:numId w:val="35"/>
        </w:numPr>
        <w:ind w:left="992" w:hanging="357"/>
      </w:pPr>
      <w:r w:rsidRPr="00190856">
        <w:rPr>
          <w:i/>
        </w:rPr>
        <w:t>dhps</w:t>
      </w:r>
      <w:r>
        <w:t xml:space="preserve"> 437 </w:t>
      </w:r>
    </w:p>
    <w:p w:rsidR="00190856" w:rsidRDefault="00190856" w:rsidP="00190856">
      <w:pPr>
        <w:pStyle w:val="ListParagraph"/>
        <w:numPr>
          <w:ilvl w:val="0"/>
          <w:numId w:val="35"/>
        </w:numPr>
        <w:ind w:left="992" w:hanging="357"/>
      </w:pPr>
      <w:r w:rsidRPr="00190856">
        <w:rPr>
          <w:i/>
        </w:rPr>
        <w:t>dhps</w:t>
      </w:r>
      <w:r>
        <w:t xml:space="preserve"> 581</w:t>
      </w:r>
    </w:p>
    <w:p w:rsidR="00190856" w:rsidRDefault="00190856" w:rsidP="00190856">
      <w:pPr>
        <w:pStyle w:val="ListParagraph"/>
        <w:numPr>
          <w:ilvl w:val="0"/>
          <w:numId w:val="35"/>
        </w:numPr>
        <w:ind w:left="992" w:hanging="357"/>
      </w:pPr>
      <w:r>
        <w:t xml:space="preserve">Quintuple mutations plus </w:t>
      </w:r>
      <w:r w:rsidRPr="00190856">
        <w:rPr>
          <w:i/>
        </w:rPr>
        <w:t>dhps</w:t>
      </w:r>
      <w:r>
        <w:t xml:space="preserve"> 581</w:t>
      </w:r>
    </w:p>
    <w:p w:rsidR="00542BE3" w:rsidRPr="00542BE3" w:rsidRDefault="00542BE3" w:rsidP="00542BE3">
      <w:pPr>
        <w:pStyle w:val="Heading2"/>
      </w:pPr>
      <w:r>
        <w:lastRenderedPageBreak/>
        <w:t>Statistical a</w:t>
      </w:r>
      <w:r w:rsidR="00EB3F48">
        <w:t>nalysis</w:t>
      </w:r>
      <w:bookmarkEnd w:id="4"/>
    </w:p>
    <w:p w:rsidR="00EB3F48" w:rsidRDefault="00EB3F48" w:rsidP="00072A75">
      <w:pPr>
        <w:pStyle w:val="Heading3"/>
      </w:pPr>
      <w:r>
        <w:t>Descriptive analysis</w:t>
      </w:r>
    </w:p>
    <w:p w:rsidR="00E95C31" w:rsidRDefault="00AA7F2D">
      <w:r>
        <w:t xml:space="preserve">Baseline data overall and by gravidity includes </w:t>
      </w:r>
    </w:p>
    <w:p w:rsidR="00E95C31" w:rsidRDefault="004868B3">
      <w:pPr>
        <w:pStyle w:val="ListParagraph"/>
        <w:numPr>
          <w:ilvl w:val="0"/>
          <w:numId w:val="37"/>
        </w:numPr>
        <w:ind w:left="993" w:hanging="358"/>
      </w:pPr>
      <w:r>
        <w:t>women age</w:t>
      </w:r>
    </w:p>
    <w:p w:rsidR="00E95C31" w:rsidRDefault="004868B3">
      <w:pPr>
        <w:pStyle w:val="ListParagraph"/>
        <w:numPr>
          <w:ilvl w:val="0"/>
          <w:numId w:val="37"/>
        </w:numPr>
        <w:ind w:left="993" w:hanging="358"/>
      </w:pPr>
      <w:r>
        <w:t>gestational age</w:t>
      </w:r>
    </w:p>
    <w:p w:rsidR="00E95C31" w:rsidRDefault="004868B3">
      <w:pPr>
        <w:pStyle w:val="ListParagraph"/>
        <w:numPr>
          <w:ilvl w:val="0"/>
          <w:numId w:val="37"/>
        </w:numPr>
        <w:ind w:left="993" w:hanging="358"/>
      </w:pPr>
      <w:r>
        <w:t>number of ANC visits</w:t>
      </w:r>
    </w:p>
    <w:p w:rsidR="00E95C31" w:rsidRDefault="004868B3">
      <w:pPr>
        <w:pStyle w:val="ListParagraph"/>
        <w:numPr>
          <w:ilvl w:val="0"/>
          <w:numId w:val="37"/>
        </w:numPr>
        <w:ind w:left="993" w:hanging="358"/>
      </w:pPr>
      <w:r>
        <w:t>employment (employed/unemployed)</w:t>
      </w:r>
    </w:p>
    <w:p w:rsidR="00E95C31" w:rsidRDefault="004868B3">
      <w:pPr>
        <w:pStyle w:val="ListParagraph"/>
        <w:numPr>
          <w:ilvl w:val="0"/>
          <w:numId w:val="37"/>
        </w:numPr>
        <w:ind w:left="993" w:hanging="358"/>
      </w:pPr>
      <w:r>
        <w:t xml:space="preserve">schooling level (categorized: </w:t>
      </w:r>
      <w:r w:rsidR="00EC213E">
        <w:t>0-4, 5-8, 9+,</w:t>
      </w:r>
      <w:r>
        <w:t xml:space="preserve"> and missing category)</w:t>
      </w:r>
    </w:p>
    <w:p w:rsidR="00642C79" w:rsidRDefault="00642C79" w:rsidP="00642C79">
      <w:pPr>
        <w:pStyle w:val="ListParagraph"/>
        <w:numPr>
          <w:ilvl w:val="0"/>
          <w:numId w:val="37"/>
        </w:numPr>
        <w:ind w:left="993" w:hanging="358"/>
      </w:pPr>
      <w:r>
        <w:t>w</w:t>
      </w:r>
      <w:r w:rsidRPr="00E11F5C">
        <w:t>ealth status/ SES (derived by principle component analysis (PCA) at site level)</w:t>
      </w:r>
    </w:p>
    <w:p w:rsidR="00E95C31" w:rsidRDefault="004868B3">
      <w:pPr>
        <w:pStyle w:val="ListParagraph"/>
        <w:numPr>
          <w:ilvl w:val="0"/>
          <w:numId w:val="37"/>
        </w:numPr>
        <w:ind w:left="993" w:hanging="358"/>
      </w:pPr>
      <w:r>
        <w:t xml:space="preserve">use of mosquito net </w:t>
      </w:r>
    </w:p>
    <w:p w:rsidR="00AA7F2D" w:rsidRDefault="001F4660" w:rsidP="002D2EEA">
      <w:r>
        <w:t>Proportion of women with treatment failures</w:t>
      </w:r>
      <w:r w:rsidR="007D7AD9">
        <w:t xml:space="preserve"> by each week of follow-up</w:t>
      </w:r>
      <w:r w:rsidR="00E12143">
        <w:t xml:space="preserve"> using week blocks</w:t>
      </w:r>
    </w:p>
    <w:p w:rsidR="00667A2E" w:rsidRDefault="00526B1E" w:rsidP="00072A75">
      <w:pPr>
        <w:pStyle w:val="Heading3"/>
      </w:pPr>
      <w:r>
        <w:t>Survival analysis</w:t>
      </w:r>
    </w:p>
    <w:p w:rsidR="008F6913" w:rsidRDefault="008F6913" w:rsidP="0007559C">
      <w:pPr>
        <w:pStyle w:val="ListParagraph"/>
        <w:numPr>
          <w:ilvl w:val="0"/>
          <w:numId w:val="29"/>
        </w:numPr>
        <w:ind w:left="992" w:hanging="357"/>
      </w:pPr>
      <w:r>
        <w:t>Uses the actual day of follow-up (not the week blocks)</w:t>
      </w:r>
    </w:p>
    <w:p w:rsidR="00667A2E" w:rsidRDefault="00667A2E" w:rsidP="0007559C">
      <w:pPr>
        <w:pStyle w:val="ListParagraph"/>
        <w:numPr>
          <w:ilvl w:val="0"/>
          <w:numId w:val="29"/>
        </w:numPr>
        <w:ind w:left="992" w:hanging="357"/>
      </w:pPr>
      <w:r>
        <w:t>Status</w:t>
      </w:r>
      <w:r w:rsidR="001E4312">
        <w:t xml:space="preserve"> is a dichotomous variable (0/1)</w:t>
      </w:r>
    </w:p>
    <w:p w:rsidR="00667A2E" w:rsidRDefault="001E4312" w:rsidP="00E75D01">
      <w:pPr>
        <w:pStyle w:val="ListParagraph"/>
        <w:numPr>
          <w:ilvl w:val="0"/>
          <w:numId w:val="29"/>
        </w:numPr>
        <w:ind w:left="992" w:hanging="357"/>
      </w:pPr>
      <w:r>
        <w:t>Survival t</w:t>
      </w:r>
      <w:r w:rsidR="00667A2E">
        <w:t>ime</w:t>
      </w:r>
      <w:r w:rsidR="00CB6A18">
        <w:t xml:space="preserve"> is the</w:t>
      </w:r>
      <w:r>
        <w:t xml:space="preserve"> time between the day of inclusion (day 0) and the </w:t>
      </w:r>
      <w:r w:rsidR="00822A0A">
        <w:t>day of failure or censoring or end of follow-up</w:t>
      </w:r>
      <w:r w:rsidR="00E75D01">
        <w:t xml:space="preserve">. </w:t>
      </w:r>
      <w:r w:rsidR="00A02E52">
        <w:t>Survival analysis will be reported for days 14, 28, 35, and 42 to allow multiple measures of comparison across sites and to historical data.</w:t>
      </w:r>
    </w:p>
    <w:p w:rsidR="00667A2E" w:rsidRDefault="00245FEF" w:rsidP="0007559C">
      <w:pPr>
        <w:pStyle w:val="ListParagraph"/>
        <w:numPr>
          <w:ilvl w:val="0"/>
          <w:numId w:val="29"/>
        </w:numPr>
        <w:ind w:left="992" w:hanging="357"/>
      </w:pPr>
      <w:r>
        <w:t xml:space="preserve">If </w:t>
      </w:r>
      <w:r w:rsidR="001E4312">
        <w:t>genotyping tests are</w:t>
      </w:r>
      <w:r w:rsidR="00667A2E">
        <w:t xml:space="preserve"> done</w:t>
      </w:r>
      <w:r w:rsidR="008F6913">
        <w:t xml:space="preserve"> to distinguish between reinfection and recrudescence</w:t>
      </w:r>
      <w:r w:rsidR="00667A2E">
        <w:t xml:space="preserve">, 2 </w:t>
      </w:r>
      <w:bookmarkStart w:id="5" w:name="_GoBack"/>
      <w:bookmarkEnd w:id="5"/>
      <w:r w:rsidR="00667A2E">
        <w:t>analyses are performed</w:t>
      </w:r>
    </w:p>
    <w:p w:rsidR="00667A2E" w:rsidRDefault="00667A2E" w:rsidP="0007559C">
      <w:pPr>
        <w:pStyle w:val="ListParagraph"/>
        <w:numPr>
          <w:ilvl w:val="1"/>
          <w:numId w:val="30"/>
        </w:numPr>
        <w:ind w:left="1831" w:hanging="357"/>
      </w:pPr>
      <w:r>
        <w:t>PCR-Unadjusted analysis: recurrent parasitaemias after day 4 are considered as treatment failures</w:t>
      </w:r>
    </w:p>
    <w:p w:rsidR="00667A2E" w:rsidRDefault="00667A2E" w:rsidP="0007559C">
      <w:pPr>
        <w:pStyle w:val="ListParagraph"/>
        <w:numPr>
          <w:ilvl w:val="1"/>
          <w:numId w:val="30"/>
        </w:numPr>
        <w:ind w:left="1831" w:hanging="357"/>
      </w:pPr>
      <w:r>
        <w:t xml:space="preserve">PCR-Adjusted: recurrent parasitaemias are considered failures, and new infections are censored. If PCR result is unavailable (undetermined result, PCR not done, missing sample), </w:t>
      </w:r>
      <w:r w:rsidR="00AB0797">
        <w:t xml:space="preserve">two strategies are explored: (1) </w:t>
      </w:r>
      <w:r>
        <w:t>recurrent parasitaemias are censored</w:t>
      </w:r>
      <w:r w:rsidR="00FD571A">
        <w:t xml:space="preserve"> on the day of recurrent parasitaemia</w:t>
      </w:r>
      <w:r w:rsidR="00AB0797">
        <w:t>, (2) missing values are imputed</w:t>
      </w:r>
      <w:r>
        <w:t xml:space="preserve"> </w:t>
      </w:r>
    </w:p>
    <w:p w:rsidR="00724762" w:rsidRDefault="00724762" w:rsidP="00724762">
      <w:pPr>
        <w:pStyle w:val="ListParagraph"/>
        <w:ind w:left="3060"/>
      </w:pPr>
    </w:p>
    <w:p w:rsidR="001F4660" w:rsidRDefault="002C3950" w:rsidP="0007559C">
      <w:pPr>
        <w:pStyle w:val="ListParagraph"/>
        <w:numPr>
          <w:ilvl w:val="0"/>
          <w:numId w:val="29"/>
        </w:numPr>
        <w:ind w:left="992" w:hanging="357"/>
      </w:pPr>
      <w:r>
        <w:t xml:space="preserve">Failure rates </w:t>
      </w:r>
    </w:p>
    <w:p w:rsidR="0001123C" w:rsidRDefault="002C3950" w:rsidP="0007559C">
      <w:pPr>
        <w:pStyle w:val="ListParagraph"/>
        <w:numPr>
          <w:ilvl w:val="0"/>
          <w:numId w:val="12"/>
        </w:numPr>
        <w:ind w:left="1831" w:hanging="357"/>
      </w:pPr>
      <w:r>
        <w:t>Are calculated using Kaplan-Meier product limit estimate for day 7, 14, 21, 28 and every 7 days until the end of follow-up period (i.e. day 42</w:t>
      </w:r>
      <w:r w:rsidR="00E12143">
        <w:t xml:space="preserve"> for 42-day study</w:t>
      </w:r>
      <w:r>
        <w:t>)</w:t>
      </w:r>
    </w:p>
    <w:p w:rsidR="002C3950" w:rsidRDefault="002C3950" w:rsidP="0007559C">
      <w:pPr>
        <w:pStyle w:val="ListParagraph"/>
        <w:numPr>
          <w:ilvl w:val="0"/>
          <w:numId w:val="12"/>
        </w:numPr>
        <w:ind w:left="1831" w:hanging="357"/>
      </w:pPr>
      <w:r>
        <w:t>Confidence intervals are based on the asymptomatic variance of the log-log transformed survival function (see Kalbfleish and Prentice, 2002)</w:t>
      </w:r>
    </w:p>
    <w:p w:rsidR="002C3950" w:rsidRDefault="00667A2E" w:rsidP="0007559C">
      <w:pPr>
        <w:pStyle w:val="ListParagraph"/>
        <w:numPr>
          <w:ilvl w:val="0"/>
          <w:numId w:val="12"/>
        </w:numPr>
        <w:ind w:left="1831" w:hanging="357"/>
      </w:pPr>
      <w:r>
        <w:t xml:space="preserve">Failure rates are presented graphically on a </w:t>
      </w:r>
      <w:r w:rsidR="002C3950">
        <w:t xml:space="preserve">Kaplan-Meier survival curve and </w:t>
      </w:r>
      <w:r>
        <w:t>in a table</w:t>
      </w:r>
      <w:r w:rsidR="00421532">
        <w:t xml:space="preserve"> using the actual days of visit for the step function</w:t>
      </w:r>
    </w:p>
    <w:p w:rsidR="00642C79" w:rsidRDefault="00642C79" w:rsidP="00642C79">
      <w:pPr>
        <w:pStyle w:val="ListParagraph"/>
        <w:numPr>
          <w:ilvl w:val="0"/>
          <w:numId w:val="12"/>
        </w:numPr>
        <w:ind w:left="1831" w:hanging="357"/>
      </w:pPr>
      <w:r>
        <w:t>Failure rates are shown at day 28, day 35 and day 42 to take into account the different lengths of the studies included</w:t>
      </w:r>
    </w:p>
    <w:p w:rsidR="00724762" w:rsidRDefault="00724762" w:rsidP="00724762">
      <w:pPr>
        <w:pStyle w:val="ListParagraph"/>
        <w:ind w:left="2880"/>
      </w:pPr>
    </w:p>
    <w:p w:rsidR="001F4660" w:rsidRDefault="00667A2E" w:rsidP="0007559C">
      <w:pPr>
        <w:pStyle w:val="ListParagraph"/>
        <w:numPr>
          <w:ilvl w:val="0"/>
          <w:numId w:val="29"/>
        </w:numPr>
        <w:ind w:left="992" w:hanging="357"/>
      </w:pPr>
      <w:r>
        <w:t>Cox regression</w:t>
      </w:r>
    </w:p>
    <w:p w:rsidR="00607B0F" w:rsidRDefault="00421532" w:rsidP="0007559C">
      <w:pPr>
        <w:pStyle w:val="ListParagraph"/>
        <w:numPr>
          <w:ilvl w:val="1"/>
          <w:numId w:val="31"/>
        </w:numPr>
        <w:ind w:left="1831" w:hanging="357"/>
      </w:pPr>
      <w:r>
        <w:t>Uses the actual days of visit rather than the week aggregates</w:t>
      </w:r>
    </w:p>
    <w:p w:rsidR="005930FA" w:rsidRDefault="005930FA" w:rsidP="00CB6A18">
      <w:pPr>
        <w:pStyle w:val="ListParagraph"/>
        <w:numPr>
          <w:ilvl w:val="1"/>
          <w:numId w:val="31"/>
        </w:numPr>
        <w:ind w:left="1831" w:hanging="357"/>
      </w:pPr>
      <w:r>
        <w:t>Include a random effect term (frailty) to account for study site heterogeneity</w:t>
      </w:r>
    </w:p>
    <w:p w:rsidR="005930FA" w:rsidRDefault="005930FA" w:rsidP="0007559C">
      <w:pPr>
        <w:pStyle w:val="ListParagraph"/>
        <w:numPr>
          <w:ilvl w:val="1"/>
          <w:numId w:val="31"/>
        </w:numPr>
        <w:ind w:left="1831" w:hanging="357"/>
      </w:pPr>
      <w:r>
        <w:t xml:space="preserve">Use an exact method for ties: </w:t>
      </w:r>
      <w:proofErr w:type="spellStart"/>
      <w:r w:rsidR="00E75D01">
        <w:t>Efron</w:t>
      </w:r>
      <w:proofErr w:type="spellEnd"/>
      <w:r w:rsidR="00E75D01">
        <w:t xml:space="preserve"> </w:t>
      </w:r>
      <w:r>
        <w:t xml:space="preserve">preferred over </w:t>
      </w:r>
      <w:proofErr w:type="spellStart"/>
      <w:r>
        <w:t>Breslow</w:t>
      </w:r>
      <w:proofErr w:type="spellEnd"/>
      <w:r>
        <w:t>?</w:t>
      </w:r>
    </w:p>
    <w:p w:rsidR="00AB0797" w:rsidRDefault="00AB0797" w:rsidP="0007559C">
      <w:pPr>
        <w:pStyle w:val="ListParagraph"/>
        <w:numPr>
          <w:ilvl w:val="1"/>
          <w:numId w:val="31"/>
        </w:numPr>
        <w:ind w:left="1831" w:hanging="357"/>
      </w:pPr>
      <w:r>
        <w:lastRenderedPageBreak/>
        <w:t>Examination of possible confounders</w:t>
      </w:r>
    </w:p>
    <w:p w:rsidR="00AB0797" w:rsidRDefault="00AB0797" w:rsidP="0007559C">
      <w:pPr>
        <w:pStyle w:val="ListParagraph"/>
        <w:numPr>
          <w:ilvl w:val="2"/>
          <w:numId w:val="10"/>
        </w:numPr>
        <w:ind w:left="2392" w:hanging="181"/>
      </w:pPr>
      <w:r>
        <w:t>Country/site</w:t>
      </w:r>
    </w:p>
    <w:p w:rsidR="00AB0797" w:rsidRDefault="00AB0797" w:rsidP="0007559C">
      <w:pPr>
        <w:pStyle w:val="ListParagraph"/>
        <w:numPr>
          <w:ilvl w:val="2"/>
          <w:numId w:val="10"/>
        </w:numPr>
        <w:ind w:left="2392" w:hanging="181"/>
      </w:pPr>
      <w:r>
        <w:t>Net use/ownership</w:t>
      </w:r>
    </w:p>
    <w:p w:rsidR="002A79AA" w:rsidRDefault="00AB0797" w:rsidP="002A79AA">
      <w:pPr>
        <w:pStyle w:val="ListParagraph"/>
        <w:numPr>
          <w:ilvl w:val="2"/>
          <w:numId w:val="10"/>
        </w:numPr>
        <w:ind w:left="2392" w:hanging="181"/>
      </w:pPr>
      <w:r>
        <w:t>Gravidity</w:t>
      </w:r>
    </w:p>
    <w:p w:rsidR="00AB0797" w:rsidRDefault="00AB0797" w:rsidP="0007559C">
      <w:pPr>
        <w:pStyle w:val="ListParagraph"/>
        <w:numPr>
          <w:ilvl w:val="2"/>
          <w:numId w:val="10"/>
        </w:numPr>
        <w:ind w:left="2392" w:hanging="181"/>
      </w:pPr>
      <w:r>
        <w:t xml:space="preserve">Prevalence of resistance: quintuple mutation </w:t>
      </w:r>
      <w:r w:rsidRPr="00AB0797">
        <w:rPr>
          <w:i/>
        </w:rPr>
        <w:t>dhfr</w:t>
      </w:r>
      <w:r>
        <w:t>/</w:t>
      </w:r>
      <w:r w:rsidRPr="00AB0797">
        <w:rPr>
          <w:i/>
        </w:rPr>
        <w:t>dhps</w:t>
      </w:r>
      <w:r>
        <w:t xml:space="preserve"> (from </w:t>
      </w:r>
      <w:r w:rsidRPr="00BF5184">
        <w:rPr>
          <w:i/>
        </w:rPr>
        <w:t>In vivo</w:t>
      </w:r>
      <w:r w:rsidR="00BF5184">
        <w:rPr>
          <w:i/>
        </w:rPr>
        <w:t xml:space="preserve"> </w:t>
      </w:r>
      <w:r w:rsidR="00BF5184" w:rsidRPr="00BF5184">
        <w:t>at day 0</w:t>
      </w:r>
      <w:r w:rsidRPr="00BF5184">
        <w:rPr>
          <w:i/>
        </w:rPr>
        <w:t xml:space="preserve"> </w:t>
      </w:r>
      <w:r>
        <w:t>or OPD modules)</w:t>
      </w:r>
    </w:p>
    <w:p w:rsidR="00AB0797" w:rsidRDefault="00AB0797" w:rsidP="0007559C">
      <w:pPr>
        <w:pStyle w:val="ListParagraph"/>
        <w:numPr>
          <w:ilvl w:val="1"/>
          <w:numId w:val="31"/>
        </w:numPr>
        <w:ind w:left="1831" w:hanging="357"/>
      </w:pPr>
      <w:r>
        <w:t>Adjusted analysis</w:t>
      </w:r>
    </w:p>
    <w:p w:rsidR="00AB0797" w:rsidRDefault="00AB0797" w:rsidP="0007559C">
      <w:pPr>
        <w:pStyle w:val="ListParagraph"/>
        <w:numPr>
          <w:ilvl w:val="2"/>
          <w:numId w:val="10"/>
        </w:numPr>
        <w:ind w:left="2392" w:hanging="181"/>
      </w:pPr>
      <w:r>
        <w:t>Covariates</w:t>
      </w:r>
    </w:p>
    <w:p w:rsidR="00AB0797" w:rsidRDefault="00AB0797" w:rsidP="0007559C">
      <w:pPr>
        <w:pStyle w:val="ListParagraph"/>
        <w:numPr>
          <w:ilvl w:val="3"/>
          <w:numId w:val="10"/>
        </w:numPr>
        <w:ind w:left="3192" w:hanging="357"/>
      </w:pPr>
      <w:r>
        <w:t xml:space="preserve">Initial model include all relevant variables such as net, gravidity, gestational age, net use/ownership, socio-economic status, education level,  rural/urban, country/site, prevalence of resistance (quintuple </w:t>
      </w:r>
      <w:r w:rsidRPr="00AB0797">
        <w:rPr>
          <w:i/>
        </w:rPr>
        <w:t>dhfr</w:t>
      </w:r>
      <w:r>
        <w:t>/</w:t>
      </w:r>
      <w:r w:rsidRPr="00AB0797">
        <w:rPr>
          <w:i/>
        </w:rPr>
        <w:t>dhps</w:t>
      </w:r>
      <w:r>
        <w:t xml:space="preserve">, </w:t>
      </w:r>
      <w:r w:rsidRPr="00AB0797">
        <w:rPr>
          <w:i/>
        </w:rPr>
        <w:t>dhps</w:t>
      </w:r>
      <w:r>
        <w:t xml:space="preserve"> 581, </w:t>
      </w:r>
      <w:r w:rsidR="00BF5184">
        <w:t>540</w:t>
      </w:r>
      <w:r>
        <w:t>)</w:t>
      </w:r>
    </w:p>
    <w:p w:rsidR="00AB0797" w:rsidRDefault="00AB0797" w:rsidP="0007559C">
      <w:pPr>
        <w:pStyle w:val="ListParagraph"/>
        <w:numPr>
          <w:ilvl w:val="3"/>
          <w:numId w:val="10"/>
        </w:numPr>
        <w:ind w:left="3192" w:hanging="357"/>
      </w:pPr>
      <w:r>
        <w:t xml:space="preserve">Full model </w:t>
      </w:r>
      <w:r w:rsidR="00D773D7">
        <w:t xml:space="preserve">always </w:t>
      </w:r>
      <w:r>
        <w:t>include</w:t>
      </w:r>
      <w:r w:rsidR="00474E16">
        <w:t>s</w:t>
      </w:r>
      <w:r>
        <w:t xml:space="preserve"> gravidity</w:t>
      </w:r>
      <w:r w:rsidR="00D773D7">
        <w:t xml:space="preserve"> because some studies stratified recruitment by gravidity</w:t>
      </w:r>
    </w:p>
    <w:p w:rsidR="00AB0797" w:rsidRDefault="00AB0797" w:rsidP="0007559C">
      <w:pPr>
        <w:pStyle w:val="ListParagraph"/>
        <w:numPr>
          <w:ilvl w:val="1"/>
          <w:numId w:val="31"/>
        </w:numPr>
        <w:ind w:left="1831" w:hanging="357"/>
      </w:pPr>
      <w:r>
        <w:t>Subgroup analysis</w:t>
      </w:r>
    </w:p>
    <w:p w:rsidR="00AB0797" w:rsidRPr="00AB0797" w:rsidRDefault="00AB0797" w:rsidP="0007559C">
      <w:pPr>
        <w:pStyle w:val="ListParagraph"/>
        <w:numPr>
          <w:ilvl w:val="2"/>
          <w:numId w:val="10"/>
        </w:numPr>
        <w:ind w:left="2392" w:hanging="181"/>
        <w:rPr>
          <w:lang w:val="es-MX"/>
        </w:rPr>
      </w:pPr>
      <w:r w:rsidRPr="00AB0797">
        <w:rPr>
          <w:lang w:val="pt-PT"/>
        </w:rPr>
        <w:t>By gravidity as primigravidae/secundigravidae (G1-2) versus multigravidae (G3+)</w:t>
      </w:r>
    </w:p>
    <w:p w:rsidR="00AB0797" w:rsidRPr="00AB0797" w:rsidRDefault="00AB0797" w:rsidP="00AB0797">
      <w:pPr>
        <w:pStyle w:val="ListParagraph"/>
        <w:ind w:left="3780"/>
        <w:rPr>
          <w:lang w:val="es-MX"/>
        </w:rPr>
      </w:pPr>
    </w:p>
    <w:p w:rsidR="00BF5184" w:rsidRDefault="00AB0797" w:rsidP="0007559C">
      <w:pPr>
        <w:pStyle w:val="ListParagraph"/>
        <w:numPr>
          <w:ilvl w:val="0"/>
          <w:numId w:val="29"/>
        </w:numPr>
        <w:ind w:left="992" w:hanging="357"/>
      </w:pPr>
      <w:r>
        <w:t>Compare rich data versus sparse sampling analyses</w:t>
      </w:r>
      <w:r w:rsidR="00960107">
        <w:t xml:space="preserve"> to address objective 1e</w:t>
      </w:r>
    </w:p>
    <w:p w:rsidR="002D2EEA" w:rsidRDefault="002D2EEA" w:rsidP="002D2EEA">
      <w:pPr>
        <w:pStyle w:val="ListParagraph"/>
        <w:numPr>
          <w:ilvl w:val="1"/>
          <w:numId w:val="36"/>
        </w:numPr>
        <w:ind w:left="1831" w:hanging="357"/>
      </w:pPr>
      <w:r>
        <w:t xml:space="preserve">Rich data consists </w:t>
      </w:r>
      <w:r w:rsidR="004B0E84">
        <w:t>of</w:t>
      </w:r>
      <w:r>
        <w:t xml:space="preserve"> pooling all </w:t>
      </w:r>
      <w:r w:rsidRPr="00BF5184">
        <w:rPr>
          <w:i/>
        </w:rPr>
        <w:t>in vivo</w:t>
      </w:r>
      <w:r>
        <w:t xml:space="preserve"> studies</w:t>
      </w:r>
    </w:p>
    <w:p w:rsidR="002D2EEA" w:rsidRDefault="002D2EEA" w:rsidP="002D2EEA">
      <w:pPr>
        <w:pStyle w:val="ListParagraph"/>
        <w:numPr>
          <w:ilvl w:val="1"/>
          <w:numId w:val="36"/>
        </w:numPr>
        <w:ind w:left="1831" w:hanging="357"/>
      </w:pPr>
      <w:r>
        <w:t>Sparse sampling consists o</w:t>
      </w:r>
      <w:r w:rsidR="004B0E84">
        <w:t>f</w:t>
      </w:r>
      <w:r>
        <w:t xml:space="preserve"> taking a random sample from the complete database</w:t>
      </w:r>
    </w:p>
    <w:p w:rsidR="002D2EEA" w:rsidRDefault="00642C79" w:rsidP="002D2EEA">
      <w:pPr>
        <w:pStyle w:val="Heading3"/>
      </w:pPr>
      <w:r>
        <w:t>Molecular markers of antimalarial resistance</w:t>
      </w:r>
    </w:p>
    <w:p w:rsidR="00642C79" w:rsidRDefault="00642C79" w:rsidP="009061A5">
      <w:r>
        <w:t>Level of antimalarial resistance is assessed by determining the prevalence of each molecular marker or combination of markers using genotyped samples at day 0.</w:t>
      </w:r>
    </w:p>
    <w:p w:rsidR="002D2EEA" w:rsidRPr="002D2EEA" w:rsidRDefault="002D2EEA" w:rsidP="002D2EEA"/>
    <w:p w:rsidR="00AB0797" w:rsidRDefault="00F41191" w:rsidP="00542BE3">
      <w:pPr>
        <w:pStyle w:val="Heading2"/>
      </w:pPr>
      <w:r>
        <w:lastRenderedPageBreak/>
        <w:t xml:space="preserve">Tables </w:t>
      </w:r>
    </w:p>
    <w:p w:rsidR="004868B3" w:rsidRDefault="004868B3" w:rsidP="00AB0797">
      <w:pPr>
        <w:pStyle w:val="Heading3"/>
      </w:pPr>
      <w:r>
        <w:t>Table 1: Distribution of women characteristics</w:t>
      </w:r>
    </w:p>
    <w:p w:rsidR="00E95C31" w:rsidRDefault="009C137E">
      <w:r>
        <w:rPr>
          <w:noProof/>
          <w:lang w:val="en-US" w:eastAsia="en-US"/>
        </w:rPr>
        <w:drawing>
          <wp:inline distT="0" distB="0" distL="0" distR="0">
            <wp:extent cx="5731510" cy="5771973"/>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731510" cy="5771973"/>
                    </a:xfrm>
                    <a:prstGeom prst="rect">
                      <a:avLst/>
                    </a:prstGeom>
                    <a:noFill/>
                    <a:ln w="9525">
                      <a:noFill/>
                      <a:miter lim="800000"/>
                      <a:headEnd/>
                      <a:tailEnd/>
                    </a:ln>
                  </pic:spPr>
                </pic:pic>
              </a:graphicData>
            </a:graphic>
          </wp:inline>
        </w:drawing>
      </w:r>
      <w:r w:rsidR="00A02E52">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4823460</wp:posOffset>
                </wp:positionH>
                <wp:positionV relativeFrom="paragraph">
                  <wp:posOffset>401320</wp:posOffset>
                </wp:positionV>
                <wp:extent cx="71755" cy="90805"/>
                <wp:effectExtent l="3810" t="1270" r="635" b="31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9.8pt;margin-top:31.6pt;width:5.6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leQIAAPk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" stroked="f"/>
            </w:pict>
          </mc:Fallback>
        </mc:AlternateContent>
      </w:r>
      <w:r w:rsidR="00A02E52">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4193540</wp:posOffset>
                </wp:positionH>
                <wp:positionV relativeFrom="paragraph">
                  <wp:posOffset>402590</wp:posOffset>
                </wp:positionV>
                <wp:extent cx="114935" cy="90805"/>
                <wp:effectExtent l="2540" t="2540" r="0" b="190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0.2pt;margin-top:31.7pt;width:9.0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6IegIAAPoE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" stroked="f"/>
            </w:pict>
          </mc:Fallback>
        </mc:AlternateContent>
      </w:r>
      <w:r w:rsidR="00A02E52">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3596640</wp:posOffset>
                </wp:positionH>
                <wp:positionV relativeFrom="paragraph">
                  <wp:posOffset>401320</wp:posOffset>
                </wp:positionV>
                <wp:extent cx="114935" cy="90805"/>
                <wp:effectExtent l="0" t="1270" r="3175" b="31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83.2pt;margin-top:31.6pt;width:9.0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X4ew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" stroked="f"/>
            </w:pict>
          </mc:Fallback>
        </mc:AlternateContent>
      </w:r>
      <w:r w:rsidR="00A02E52">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3465195</wp:posOffset>
                </wp:positionH>
                <wp:positionV relativeFrom="paragraph">
                  <wp:posOffset>5310505</wp:posOffset>
                </wp:positionV>
                <wp:extent cx="1966595" cy="7493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7493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85pt;margin-top:418.15pt;width:154.8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" fillcolor="#eeece1 [3214]" stroked="f"/>
            </w:pict>
          </mc:Fallback>
        </mc:AlternateContent>
      </w:r>
    </w:p>
    <w:p w:rsidR="00E95C31" w:rsidRDefault="00E95C31"/>
    <w:p w:rsidR="00AB0797" w:rsidRDefault="00AB0797" w:rsidP="00AB0797">
      <w:pPr>
        <w:pStyle w:val="Heading3"/>
      </w:pPr>
      <w:r>
        <w:t xml:space="preserve">Table </w:t>
      </w:r>
      <w:r w:rsidR="004868B3">
        <w:t>2</w:t>
      </w:r>
      <w:r>
        <w:t>: Number of LPF and ACPR and failure rates by week of follow-up</w:t>
      </w:r>
    </w:p>
    <w:p w:rsidR="00BF5184" w:rsidRDefault="009C137E" w:rsidP="00AA7F2D">
      <w:r>
        <w:rPr>
          <w:noProof/>
          <w:lang w:val="en-US" w:eastAsia="en-US"/>
        </w:rPr>
        <w:drawing>
          <wp:inline distT="0" distB="0" distL="0" distR="0">
            <wp:extent cx="2913931" cy="1526876"/>
            <wp:effectExtent l="19050" t="0" r="71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t="4839"/>
                    <a:stretch>
                      <a:fillRect/>
                    </a:stretch>
                  </pic:blipFill>
                  <pic:spPr bwMode="auto">
                    <a:xfrm>
                      <a:off x="0" y="0"/>
                      <a:ext cx="2913931" cy="1526876"/>
                    </a:xfrm>
                    <a:prstGeom prst="rect">
                      <a:avLst/>
                    </a:prstGeom>
                    <a:noFill/>
                    <a:ln w="9525">
                      <a:noFill/>
                      <a:miter lim="800000"/>
                      <a:headEnd/>
                      <a:tailEnd/>
                    </a:ln>
                  </pic:spPr>
                </pic:pic>
              </a:graphicData>
            </a:graphic>
          </wp:inline>
        </w:drawing>
      </w:r>
    </w:p>
    <w:p w:rsidR="004868B3" w:rsidRDefault="004868B3" w:rsidP="00AA7F2D">
      <w:pPr>
        <w:pStyle w:val="Heading3"/>
      </w:pPr>
    </w:p>
    <w:p w:rsidR="00AA7F2D" w:rsidRPr="00AA7F2D" w:rsidRDefault="00BF5184" w:rsidP="00AA7F2D">
      <w:pPr>
        <w:pStyle w:val="Heading3"/>
      </w:pPr>
      <w:r>
        <w:t xml:space="preserve">Table </w:t>
      </w:r>
      <w:r w:rsidR="004868B3">
        <w:t>3</w:t>
      </w:r>
      <w:r>
        <w:t>: Frequency of molecular markers of resistance</w:t>
      </w:r>
    </w:p>
    <w:tbl>
      <w:tblPr>
        <w:tblStyle w:val="TableGrid"/>
        <w:tblW w:w="5070" w:type="dxa"/>
        <w:tblLayout w:type="fixed"/>
        <w:tblLook w:val="01E0" w:firstRow="1" w:lastRow="1" w:firstColumn="1" w:lastColumn="1" w:noHBand="0" w:noVBand="0"/>
      </w:tblPr>
      <w:tblGrid>
        <w:gridCol w:w="2808"/>
        <w:gridCol w:w="2262"/>
      </w:tblGrid>
      <w:tr w:rsidR="009061A5" w:rsidRPr="00E07E81" w:rsidTr="00AA7F2D">
        <w:tc>
          <w:tcPr>
            <w:tcW w:w="2808" w:type="dxa"/>
            <w:tcBorders>
              <w:left w:val="nil"/>
              <w:bottom w:val="single" w:sz="4" w:space="0" w:color="auto"/>
              <w:right w:val="nil"/>
            </w:tcBorders>
          </w:tcPr>
          <w:p w:rsidR="009061A5" w:rsidRPr="00053B98" w:rsidRDefault="009061A5" w:rsidP="00684B04">
            <w:pPr>
              <w:rPr>
                <w:rFonts w:ascii="Arial" w:hAnsi="Arial" w:cs="Arial"/>
                <w:b/>
              </w:rPr>
            </w:pPr>
          </w:p>
        </w:tc>
        <w:tc>
          <w:tcPr>
            <w:tcW w:w="2262" w:type="dxa"/>
            <w:tcBorders>
              <w:left w:val="nil"/>
              <w:bottom w:val="single" w:sz="4" w:space="0" w:color="auto"/>
              <w:right w:val="nil"/>
            </w:tcBorders>
          </w:tcPr>
          <w:p w:rsidR="009061A5" w:rsidRPr="00053B98" w:rsidRDefault="009061A5" w:rsidP="00684B04">
            <w:pPr>
              <w:jc w:val="center"/>
              <w:rPr>
                <w:rFonts w:ascii="Arial" w:hAnsi="Arial" w:cs="Arial"/>
                <w:b/>
              </w:rPr>
            </w:pPr>
            <w:r w:rsidRPr="00053B98">
              <w:rPr>
                <w:rFonts w:ascii="Arial" w:hAnsi="Arial" w:cs="Arial"/>
                <w:b/>
                <w:i/>
              </w:rPr>
              <w:t>In vivo</w:t>
            </w:r>
            <w:r w:rsidRPr="00053B98">
              <w:rPr>
                <w:rFonts w:ascii="Arial" w:hAnsi="Arial" w:cs="Arial"/>
                <w:b/>
              </w:rPr>
              <w:t xml:space="preserve"> module (n=34)***</w:t>
            </w:r>
          </w:p>
        </w:tc>
      </w:tr>
      <w:tr w:rsidR="009061A5" w:rsidRPr="00E07E81" w:rsidTr="00AA7F2D">
        <w:tc>
          <w:tcPr>
            <w:tcW w:w="5070" w:type="dxa"/>
            <w:gridSpan w:val="2"/>
            <w:tcBorders>
              <w:left w:val="nil"/>
              <w:bottom w:val="single" w:sz="4" w:space="0" w:color="auto"/>
              <w:right w:val="nil"/>
            </w:tcBorders>
            <w:shd w:val="clear" w:color="auto" w:fill="E6E6E6"/>
          </w:tcPr>
          <w:p w:rsidR="009061A5" w:rsidRPr="00053B98" w:rsidRDefault="009061A5" w:rsidP="00AA7F2D">
            <w:pPr>
              <w:rPr>
                <w:rFonts w:ascii="Arial" w:hAnsi="Arial" w:cs="Arial"/>
                <w:i/>
              </w:rPr>
            </w:pPr>
            <w:r w:rsidRPr="00053B98">
              <w:rPr>
                <w:rFonts w:ascii="Arial" w:hAnsi="Arial" w:cs="Arial"/>
                <w:b/>
              </w:rPr>
              <w:t>Alleles, % mixed/mutant (no.)</w:t>
            </w:r>
          </w:p>
        </w:tc>
      </w:tr>
      <w:tr w:rsidR="009061A5" w:rsidRPr="00E07E81" w:rsidTr="00AA7F2D">
        <w:tc>
          <w:tcPr>
            <w:tcW w:w="2808" w:type="dxa"/>
            <w:tcBorders>
              <w:top w:val="single" w:sz="4" w:space="0" w:color="auto"/>
              <w:left w:val="nil"/>
              <w:bottom w:val="nil"/>
              <w:right w:val="nil"/>
            </w:tcBorders>
          </w:tcPr>
          <w:p w:rsidR="009061A5" w:rsidRPr="00053B98" w:rsidRDefault="009061A5" w:rsidP="00684B04">
            <w:pPr>
              <w:rPr>
                <w:rFonts w:ascii="Arial" w:hAnsi="Arial" w:cs="Arial"/>
                <w:b/>
                <w:i/>
              </w:rPr>
            </w:pPr>
            <w:r w:rsidRPr="00053B98">
              <w:rPr>
                <w:rFonts w:ascii="Arial" w:hAnsi="Arial" w:cs="Arial"/>
                <w:b/>
                <w:i/>
              </w:rPr>
              <w:t xml:space="preserve">dhfr, </w:t>
            </w:r>
            <w:r w:rsidRPr="00053B98">
              <w:rPr>
                <w:rFonts w:ascii="Arial" w:hAnsi="Arial" w:cs="Arial"/>
                <w:i/>
              </w:rPr>
              <w:t>no. loci</w:t>
            </w:r>
          </w:p>
        </w:tc>
        <w:tc>
          <w:tcPr>
            <w:tcW w:w="2262" w:type="dxa"/>
            <w:tcBorders>
              <w:top w:val="single" w:sz="4" w:space="0" w:color="auto"/>
              <w:left w:val="nil"/>
              <w:bottom w:val="nil"/>
              <w:right w:val="nil"/>
            </w:tcBorders>
          </w:tcPr>
          <w:p w:rsidR="009061A5" w:rsidRPr="00053B98" w:rsidRDefault="009061A5" w:rsidP="00684B04">
            <w:pPr>
              <w:jc w:val="center"/>
              <w:rPr>
                <w:rFonts w:ascii="Arial" w:hAnsi="Arial" w:cs="Arial"/>
                <w:i/>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51</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59</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108</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single" w:sz="4" w:space="0" w:color="auto"/>
              <w:right w:val="nil"/>
            </w:tcBorders>
          </w:tcPr>
          <w:p w:rsidR="009061A5" w:rsidRPr="00053B98" w:rsidRDefault="009061A5" w:rsidP="00684B04">
            <w:pPr>
              <w:ind w:left="180"/>
              <w:rPr>
                <w:rFonts w:ascii="Arial" w:hAnsi="Arial" w:cs="Arial"/>
              </w:rPr>
            </w:pPr>
            <w:r w:rsidRPr="00053B98">
              <w:rPr>
                <w:rFonts w:ascii="Arial" w:hAnsi="Arial" w:cs="Arial"/>
              </w:rPr>
              <w:t>164</w:t>
            </w:r>
          </w:p>
        </w:tc>
        <w:tc>
          <w:tcPr>
            <w:tcW w:w="2262" w:type="dxa"/>
            <w:tcBorders>
              <w:top w:val="nil"/>
              <w:left w:val="nil"/>
              <w:bottom w:val="single" w:sz="4" w:space="0" w:color="auto"/>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left w:val="nil"/>
              <w:bottom w:val="nil"/>
              <w:right w:val="nil"/>
            </w:tcBorders>
          </w:tcPr>
          <w:p w:rsidR="009061A5" w:rsidRPr="00053B98" w:rsidRDefault="009061A5" w:rsidP="00684B04">
            <w:pPr>
              <w:rPr>
                <w:rFonts w:ascii="Arial" w:hAnsi="Arial" w:cs="Arial"/>
                <w:b/>
                <w:i/>
              </w:rPr>
            </w:pPr>
            <w:r w:rsidRPr="00053B98">
              <w:rPr>
                <w:rFonts w:ascii="Arial" w:hAnsi="Arial" w:cs="Arial"/>
                <w:b/>
                <w:i/>
              </w:rPr>
              <w:t xml:space="preserve">dhps, </w:t>
            </w:r>
            <w:r w:rsidRPr="00053B98">
              <w:rPr>
                <w:rFonts w:ascii="Arial" w:hAnsi="Arial" w:cs="Arial"/>
                <w:i/>
              </w:rPr>
              <w:t>no. loci</w:t>
            </w:r>
          </w:p>
        </w:tc>
        <w:tc>
          <w:tcPr>
            <w:tcW w:w="2262" w:type="dxa"/>
            <w:tcBorders>
              <w:left w:val="nil"/>
              <w:bottom w:val="nil"/>
              <w:right w:val="nil"/>
            </w:tcBorders>
          </w:tcPr>
          <w:p w:rsidR="009061A5" w:rsidRPr="00053B98" w:rsidRDefault="009061A5" w:rsidP="00684B04">
            <w:pPr>
              <w:jc w:val="center"/>
              <w:rPr>
                <w:rFonts w:ascii="Arial" w:hAnsi="Arial" w:cs="Arial"/>
                <w:i/>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437</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540</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single" w:sz="4" w:space="0" w:color="auto"/>
              <w:right w:val="nil"/>
            </w:tcBorders>
          </w:tcPr>
          <w:p w:rsidR="009061A5" w:rsidRPr="00053B98" w:rsidRDefault="009061A5" w:rsidP="00684B04">
            <w:pPr>
              <w:ind w:left="180"/>
              <w:rPr>
                <w:rFonts w:ascii="Arial" w:hAnsi="Arial" w:cs="Arial"/>
              </w:rPr>
            </w:pPr>
            <w:r w:rsidRPr="00053B98">
              <w:rPr>
                <w:rFonts w:ascii="Arial" w:hAnsi="Arial" w:cs="Arial"/>
              </w:rPr>
              <w:t>581</w:t>
            </w:r>
          </w:p>
        </w:tc>
        <w:tc>
          <w:tcPr>
            <w:tcW w:w="2262" w:type="dxa"/>
            <w:tcBorders>
              <w:top w:val="nil"/>
              <w:left w:val="nil"/>
              <w:bottom w:val="single" w:sz="4" w:space="0" w:color="auto"/>
              <w:right w:val="nil"/>
            </w:tcBorders>
          </w:tcPr>
          <w:p w:rsidR="009061A5" w:rsidRPr="00053B98" w:rsidRDefault="009061A5" w:rsidP="00684B04">
            <w:pPr>
              <w:jc w:val="center"/>
              <w:rPr>
                <w:rFonts w:ascii="Arial" w:hAnsi="Arial" w:cs="Arial"/>
              </w:rPr>
            </w:pPr>
          </w:p>
        </w:tc>
      </w:tr>
      <w:tr w:rsidR="009061A5" w:rsidRPr="00053B98" w:rsidTr="00AA7F2D">
        <w:tc>
          <w:tcPr>
            <w:tcW w:w="5070" w:type="dxa"/>
            <w:gridSpan w:val="2"/>
            <w:tcBorders>
              <w:left w:val="nil"/>
              <w:bottom w:val="single" w:sz="4" w:space="0" w:color="auto"/>
              <w:right w:val="nil"/>
            </w:tcBorders>
            <w:shd w:val="clear" w:color="auto" w:fill="E6E6E6"/>
          </w:tcPr>
          <w:p w:rsidR="009061A5" w:rsidRPr="00053B98" w:rsidRDefault="009061A5" w:rsidP="00684B04">
            <w:pPr>
              <w:rPr>
                <w:rFonts w:ascii="Arial" w:hAnsi="Arial" w:cs="Arial"/>
              </w:rPr>
            </w:pPr>
            <w:r w:rsidRPr="00053B98">
              <w:rPr>
                <w:rFonts w:ascii="Arial" w:hAnsi="Arial" w:cs="Arial"/>
                <w:b/>
              </w:rPr>
              <w:t>Haplotypes, % mixed/mutant (no.)</w:t>
            </w:r>
          </w:p>
        </w:tc>
      </w:tr>
      <w:tr w:rsidR="009061A5" w:rsidRPr="00E07E81" w:rsidTr="00AA7F2D">
        <w:tc>
          <w:tcPr>
            <w:tcW w:w="2808" w:type="dxa"/>
            <w:tcBorders>
              <w:top w:val="single" w:sz="4" w:space="0" w:color="auto"/>
              <w:left w:val="nil"/>
              <w:bottom w:val="nil"/>
              <w:right w:val="nil"/>
            </w:tcBorders>
          </w:tcPr>
          <w:p w:rsidR="009061A5" w:rsidRPr="00053B98" w:rsidRDefault="009061A5" w:rsidP="00684B04">
            <w:pPr>
              <w:rPr>
                <w:rFonts w:ascii="Arial" w:hAnsi="Arial" w:cs="Arial"/>
                <w:b/>
                <w:i/>
              </w:rPr>
            </w:pPr>
            <w:r w:rsidRPr="00053B98">
              <w:rPr>
                <w:rFonts w:ascii="Arial" w:hAnsi="Arial" w:cs="Arial"/>
                <w:b/>
                <w:i/>
              </w:rPr>
              <w:t xml:space="preserve">dhfr, </w:t>
            </w:r>
            <w:r w:rsidRPr="00053B98">
              <w:rPr>
                <w:rFonts w:ascii="Arial" w:hAnsi="Arial" w:cs="Arial"/>
                <w:i/>
              </w:rPr>
              <w:t>no. loci</w:t>
            </w:r>
          </w:p>
        </w:tc>
        <w:tc>
          <w:tcPr>
            <w:tcW w:w="2262" w:type="dxa"/>
            <w:tcBorders>
              <w:top w:val="single" w:sz="4" w:space="0" w:color="auto"/>
              <w:left w:val="nil"/>
              <w:bottom w:val="nil"/>
              <w:right w:val="nil"/>
            </w:tcBorders>
          </w:tcPr>
          <w:p w:rsidR="009061A5" w:rsidRPr="00053B98" w:rsidRDefault="009061A5" w:rsidP="00684B04">
            <w:pPr>
              <w:jc w:val="center"/>
              <w:rPr>
                <w:rFonts w:ascii="Arial" w:hAnsi="Arial" w:cs="Arial"/>
                <w:i/>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Wildtype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Single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Double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single" w:sz="4" w:space="0" w:color="auto"/>
              <w:right w:val="nil"/>
            </w:tcBorders>
          </w:tcPr>
          <w:p w:rsidR="009061A5" w:rsidRPr="00053B98" w:rsidRDefault="009061A5" w:rsidP="00684B04">
            <w:pPr>
              <w:ind w:left="180"/>
              <w:rPr>
                <w:rFonts w:ascii="Arial" w:hAnsi="Arial" w:cs="Arial"/>
              </w:rPr>
            </w:pPr>
            <w:r w:rsidRPr="00053B98">
              <w:rPr>
                <w:rFonts w:ascii="Arial" w:hAnsi="Arial" w:cs="Arial"/>
              </w:rPr>
              <w:t>Triple</w:t>
            </w:r>
          </w:p>
        </w:tc>
        <w:tc>
          <w:tcPr>
            <w:tcW w:w="2262" w:type="dxa"/>
            <w:tcBorders>
              <w:top w:val="nil"/>
              <w:left w:val="nil"/>
              <w:bottom w:val="single" w:sz="4" w:space="0" w:color="auto"/>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left w:val="nil"/>
              <w:bottom w:val="nil"/>
              <w:right w:val="nil"/>
            </w:tcBorders>
          </w:tcPr>
          <w:p w:rsidR="009061A5" w:rsidRPr="00053B98" w:rsidRDefault="009061A5" w:rsidP="00684B04">
            <w:pPr>
              <w:rPr>
                <w:rFonts w:ascii="Arial" w:hAnsi="Arial" w:cs="Arial"/>
                <w:b/>
                <w:i/>
              </w:rPr>
            </w:pPr>
            <w:r w:rsidRPr="00053B98">
              <w:rPr>
                <w:rFonts w:ascii="Arial" w:hAnsi="Arial" w:cs="Arial"/>
                <w:b/>
                <w:i/>
              </w:rPr>
              <w:t xml:space="preserve">dhps, </w:t>
            </w:r>
            <w:r w:rsidRPr="00053B98">
              <w:rPr>
                <w:rFonts w:ascii="Arial" w:hAnsi="Arial" w:cs="Arial"/>
                <w:i/>
              </w:rPr>
              <w:t>no. loci</w:t>
            </w:r>
          </w:p>
        </w:tc>
        <w:tc>
          <w:tcPr>
            <w:tcW w:w="2262" w:type="dxa"/>
            <w:tcBorders>
              <w:left w:val="nil"/>
              <w:bottom w:val="nil"/>
              <w:right w:val="nil"/>
            </w:tcBorders>
          </w:tcPr>
          <w:p w:rsidR="009061A5" w:rsidRPr="00053B98" w:rsidRDefault="009061A5" w:rsidP="00684B04">
            <w:pPr>
              <w:jc w:val="center"/>
              <w:rPr>
                <w:rFonts w:ascii="Arial" w:hAnsi="Arial" w:cs="Arial"/>
                <w:i/>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Wildtype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Single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Double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single" w:sz="4" w:space="0" w:color="auto"/>
              <w:right w:val="nil"/>
            </w:tcBorders>
          </w:tcPr>
          <w:p w:rsidR="009061A5" w:rsidRPr="00053B98" w:rsidRDefault="009061A5" w:rsidP="00684B04">
            <w:pPr>
              <w:ind w:left="180"/>
              <w:rPr>
                <w:rFonts w:ascii="Arial" w:hAnsi="Arial" w:cs="Arial"/>
              </w:rPr>
            </w:pPr>
            <w:r w:rsidRPr="00053B98">
              <w:rPr>
                <w:rFonts w:ascii="Arial" w:hAnsi="Arial" w:cs="Arial"/>
              </w:rPr>
              <w:t>Triple</w:t>
            </w:r>
          </w:p>
        </w:tc>
        <w:tc>
          <w:tcPr>
            <w:tcW w:w="2262" w:type="dxa"/>
            <w:tcBorders>
              <w:top w:val="nil"/>
              <w:left w:val="nil"/>
              <w:bottom w:val="single" w:sz="4" w:space="0" w:color="auto"/>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left w:val="nil"/>
              <w:bottom w:val="nil"/>
              <w:right w:val="nil"/>
            </w:tcBorders>
          </w:tcPr>
          <w:p w:rsidR="009061A5" w:rsidRPr="00053B98" w:rsidRDefault="009061A5" w:rsidP="00684B04">
            <w:pPr>
              <w:rPr>
                <w:rFonts w:ascii="Arial" w:hAnsi="Arial" w:cs="Arial"/>
                <w:b/>
              </w:rPr>
            </w:pPr>
            <w:r w:rsidRPr="00053B98">
              <w:rPr>
                <w:rFonts w:ascii="Arial" w:hAnsi="Arial" w:cs="Arial"/>
                <w:b/>
              </w:rPr>
              <w:t xml:space="preserve">Combined </w:t>
            </w:r>
            <w:r w:rsidRPr="00053B98">
              <w:rPr>
                <w:rFonts w:ascii="Arial" w:hAnsi="Arial" w:cs="Arial"/>
                <w:b/>
                <w:i/>
              </w:rPr>
              <w:t>dhfr-dhps</w:t>
            </w:r>
            <w:r w:rsidRPr="00053B98">
              <w:rPr>
                <w:rFonts w:ascii="Arial" w:hAnsi="Arial" w:cs="Arial"/>
                <w:b/>
              </w:rPr>
              <w:t xml:space="preserve">, </w:t>
            </w:r>
            <w:r w:rsidRPr="00053B98">
              <w:rPr>
                <w:rFonts w:ascii="Arial" w:hAnsi="Arial" w:cs="Arial"/>
                <w:i/>
              </w:rPr>
              <w:t>no. loci</w:t>
            </w:r>
          </w:p>
        </w:tc>
        <w:tc>
          <w:tcPr>
            <w:tcW w:w="2262" w:type="dxa"/>
            <w:tcBorders>
              <w:left w:val="nil"/>
              <w:bottom w:val="nil"/>
              <w:right w:val="nil"/>
            </w:tcBorders>
          </w:tcPr>
          <w:p w:rsidR="009061A5" w:rsidRPr="00053B98" w:rsidRDefault="009061A5" w:rsidP="00684B04">
            <w:pPr>
              <w:jc w:val="center"/>
              <w:rPr>
                <w:rFonts w:ascii="Arial" w:hAnsi="Arial" w:cs="Arial"/>
                <w:i/>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Wildtype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Single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Double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Triple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Quadruple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bottom w:val="nil"/>
              <w:right w:val="nil"/>
            </w:tcBorders>
          </w:tcPr>
          <w:p w:rsidR="009061A5" w:rsidRPr="00053B98" w:rsidRDefault="009061A5" w:rsidP="00684B04">
            <w:pPr>
              <w:ind w:left="180"/>
              <w:rPr>
                <w:rFonts w:ascii="Arial" w:hAnsi="Arial" w:cs="Arial"/>
              </w:rPr>
            </w:pPr>
            <w:r w:rsidRPr="00053B98">
              <w:rPr>
                <w:rFonts w:ascii="Arial" w:hAnsi="Arial" w:cs="Arial"/>
              </w:rPr>
              <w:t>Quintuple</w:t>
            </w:r>
          </w:p>
        </w:tc>
        <w:tc>
          <w:tcPr>
            <w:tcW w:w="2262" w:type="dxa"/>
            <w:tcBorders>
              <w:top w:val="nil"/>
              <w:left w:val="nil"/>
              <w:bottom w:val="nil"/>
              <w:right w:val="nil"/>
            </w:tcBorders>
          </w:tcPr>
          <w:p w:rsidR="009061A5" w:rsidRPr="00053B98" w:rsidRDefault="009061A5" w:rsidP="00684B04">
            <w:pPr>
              <w:jc w:val="center"/>
              <w:rPr>
                <w:rFonts w:ascii="Arial" w:hAnsi="Arial" w:cs="Arial"/>
              </w:rPr>
            </w:pPr>
          </w:p>
        </w:tc>
      </w:tr>
      <w:tr w:rsidR="009061A5" w:rsidRPr="00E07E81" w:rsidTr="00AA7F2D">
        <w:tc>
          <w:tcPr>
            <w:tcW w:w="2808" w:type="dxa"/>
            <w:tcBorders>
              <w:top w:val="nil"/>
              <w:left w:val="nil"/>
              <w:right w:val="nil"/>
            </w:tcBorders>
          </w:tcPr>
          <w:p w:rsidR="009061A5" w:rsidRPr="00053B98" w:rsidRDefault="009061A5" w:rsidP="00684B04">
            <w:pPr>
              <w:ind w:left="180"/>
              <w:rPr>
                <w:rFonts w:ascii="Arial" w:hAnsi="Arial" w:cs="Arial"/>
              </w:rPr>
            </w:pPr>
            <w:r w:rsidRPr="00053B98">
              <w:rPr>
                <w:rFonts w:ascii="Arial" w:hAnsi="Arial" w:cs="Arial"/>
              </w:rPr>
              <w:t>Sextuple</w:t>
            </w:r>
          </w:p>
        </w:tc>
        <w:tc>
          <w:tcPr>
            <w:tcW w:w="2262" w:type="dxa"/>
            <w:tcBorders>
              <w:top w:val="nil"/>
              <w:left w:val="nil"/>
              <w:right w:val="nil"/>
            </w:tcBorders>
          </w:tcPr>
          <w:p w:rsidR="009061A5" w:rsidRPr="00053B98" w:rsidRDefault="009061A5" w:rsidP="00684B04">
            <w:pPr>
              <w:jc w:val="center"/>
              <w:rPr>
                <w:rFonts w:ascii="Arial" w:hAnsi="Arial" w:cs="Arial"/>
              </w:rPr>
            </w:pPr>
          </w:p>
        </w:tc>
      </w:tr>
    </w:tbl>
    <w:p w:rsidR="00BF5184" w:rsidRPr="00BF5184" w:rsidRDefault="00BF5184" w:rsidP="00BF5184"/>
    <w:p w:rsidR="00F41191" w:rsidRDefault="00AB0797" w:rsidP="00542BE3">
      <w:pPr>
        <w:pStyle w:val="Heading2"/>
      </w:pPr>
      <w:r>
        <w:t>F</w:t>
      </w:r>
      <w:r w:rsidR="00F41191">
        <w:t>igures</w:t>
      </w:r>
    </w:p>
    <w:p w:rsidR="006B36BE" w:rsidRDefault="006B36BE" w:rsidP="00AB0797">
      <w:pPr>
        <w:pStyle w:val="Heading3"/>
      </w:pPr>
      <w:r>
        <w:t>Figure 1: Flowchart</w:t>
      </w:r>
    </w:p>
    <w:p w:rsidR="006B36BE" w:rsidRDefault="006B36BE" w:rsidP="00F41191">
      <w:r>
        <w:rPr>
          <w:noProof/>
          <w:lang w:val="en-US" w:eastAsia="en-US"/>
        </w:rPr>
        <w:drawing>
          <wp:inline distT="0" distB="0" distL="0" distR="0">
            <wp:extent cx="4596384" cy="246888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96384" cy="2468880"/>
                    </a:xfrm>
                    <a:prstGeom prst="rect">
                      <a:avLst/>
                    </a:prstGeom>
                    <a:noFill/>
                    <a:ln w="9525">
                      <a:noFill/>
                      <a:miter lim="800000"/>
                      <a:headEnd/>
                      <a:tailEnd/>
                    </a:ln>
                    <a:effectLst/>
                  </pic:spPr>
                </pic:pic>
              </a:graphicData>
            </a:graphic>
          </wp:inline>
        </w:drawing>
      </w:r>
    </w:p>
    <w:p w:rsidR="006B36BE" w:rsidRDefault="006B36BE" w:rsidP="00F41191"/>
    <w:p w:rsidR="009C137E" w:rsidRPr="009C137E" w:rsidRDefault="008A19DE" w:rsidP="009C137E">
      <w:pPr>
        <w:pStyle w:val="Heading3"/>
      </w:pPr>
      <w:r w:rsidRPr="009C137E">
        <w:t>Figure 2: Distribution of failures by weeks and gravidity</w:t>
      </w:r>
      <w:r w:rsidR="009C137E" w:rsidRPr="009C137E">
        <w:t>- example based on hypothetical data</w:t>
      </w:r>
    </w:p>
    <w:p w:rsidR="008A19DE" w:rsidRDefault="00B845C1" w:rsidP="008A19DE">
      <w:r>
        <w:rPr>
          <w:noProof/>
          <w:lang w:val="en-US" w:eastAsia="en-US"/>
        </w:rPr>
        <w:drawing>
          <wp:inline distT="0" distB="0" distL="0" distR="0">
            <wp:extent cx="3168994" cy="1857600"/>
            <wp:effectExtent l="19050" t="0" r="0" b="0"/>
            <wp:docPr id="1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68994" cy="1857600"/>
                    </a:xfrm>
                    <a:prstGeom prst="rect">
                      <a:avLst/>
                    </a:prstGeom>
                    <a:noFill/>
                  </pic:spPr>
                </pic:pic>
              </a:graphicData>
            </a:graphic>
          </wp:inline>
        </w:drawing>
      </w:r>
    </w:p>
    <w:p w:rsidR="009C137E" w:rsidRDefault="009C137E" w:rsidP="00AB0797">
      <w:pPr>
        <w:pStyle w:val="Heading3"/>
      </w:pPr>
    </w:p>
    <w:p w:rsidR="009C137E" w:rsidRPr="009C137E" w:rsidRDefault="00245FEF" w:rsidP="009C137E">
      <w:pPr>
        <w:pStyle w:val="Heading3"/>
      </w:pPr>
      <w:r w:rsidRPr="009C137E">
        <w:t xml:space="preserve">Figure </w:t>
      </w:r>
      <w:r w:rsidR="008A19DE" w:rsidRPr="009C137E">
        <w:t>3</w:t>
      </w:r>
      <w:r w:rsidRPr="009C137E">
        <w:t xml:space="preserve">: Kaplan-Meier </w:t>
      </w:r>
      <w:r w:rsidR="00A83FFA" w:rsidRPr="009C137E">
        <w:t xml:space="preserve">cumulative </w:t>
      </w:r>
      <w:r w:rsidRPr="009C137E">
        <w:t xml:space="preserve">parasite failure </w:t>
      </w:r>
      <w:r w:rsidR="00A83FFA" w:rsidRPr="009C137E">
        <w:t>curve</w:t>
      </w:r>
      <w:r w:rsidRPr="009C137E">
        <w:t xml:space="preserve"> by gravidity</w:t>
      </w:r>
      <w:r w:rsidR="009C137E" w:rsidRPr="009C137E">
        <w:t xml:space="preserve"> - example based on hypothetical data</w:t>
      </w:r>
    </w:p>
    <w:p w:rsidR="009C137E" w:rsidRDefault="009C137E" w:rsidP="00F41191">
      <w:r>
        <w:rPr>
          <w:noProof/>
          <w:lang w:val="en-US" w:eastAsia="en-US"/>
        </w:rPr>
        <w:drawing>
          <wp:inline distT="0" distB="0" distL="0" distR="0">
            <wp:extent cx="2807143" cy="2964286"/>
            <wp:effectExtent l="19050" t="0" r="0" b="0"/>
            <wp:docPr id="8" name="Picture 8" descr="C:\Users\CAROLE~1\AppData\Local\Temp\SNAGHTMLb8de5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E~1\AppData\Local\Temp\SNAGHTMLb8de5f7.PNG"/>
                    <pic:cNvPicPr>
                      <a:picLocks noChangeAspect="1" noChangeArrowheads="1"/>
                    </pic:cNvPicPr>
                  </pic:nvPicPr>
                  <pic:blipFill>
                    <a:blip r:embed="rId13" cstate="print"/>
                    <a:srcRect/>
                    <a:stretch>
                      <a:fillRect/>
                    </a:stretch>
                  </pic:blipFill>
                  <pic:spPr bwMode="auto">
                    <a:xfrm>
                      <a:off x="0" y="0"/>
                      <a:ext cx="2807143" cy="2964286"/>
                    </a:xfrm>
                    <a:prstGeom prst="rect">
                      <a:avLst/>
                    </a:prstGeom>
                    <a:noFill/>
                    <a:ln w="9525">
                      <a:noFill/>
                      <a:miter lim="800000"/>
                      <a:headEnd/>
                      <a:tailEnd/>
                    </a:ln>
                  </pic:spPr>
                </pic:pic>
              </a:graphicData>
            </a:graphic>
          </wp:inline>
        </w:drawing>
      </w:r>
      <w:r>
        <w:rPr>
          <w:noProof/>
          <w:lang w:val="en-US" w:eastAsia="en-US"/>
        </w:rPr>
        <w:drawing>
          <wp:inline distT="0" distB="0" distL="0" distR="0">
            <wp:extent cx="2807143" cy="2964286"/>
            <wp:effectExtent l="19050" t="0" r="0" b="0"/>
            <wp:docPr id="11" name="Picture 11" descr="C:\Users\CAROLE~1\AppData\Local\Temp\SNAGHTMLb8e3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E~1\AppData\Local\Temp\SNAGHTMLb8e3d4a.PNG"/>
                    <pic:cNvPicPr>
                      <a:picLocks noChangeAspect="1" noChangeArrowheads="1"/>
                    </pic:cNvPicPr>
                  </pic:nvPicPr>
                  <pic:blipFill>
                    <a:blip r:embed="rId14" cstate="print"/>
                    <a:srcRect/>
                    <a:stretch>
                      <a:fillRect/>
                    </a:stretch>
                  </pic:blipFill>
                  <pic:spPr bwMode="auto">
                    <a:xfrm>
                      <a:off x="0" y="0"/>
                      <a:ext cx="2807143" cy="2964286"/>
                    </a:xfrm>
                    <a:prstGeom prst="rect">
                      <a:avLst/>
                    </a:prstGeom>
                    <a:noFill/>
                    <a:ln w="9525">
                      <a:noFill/>
                      <a:miter lim="800000"/>
                      <a:headEnd/>
                      <a:tailEnd/>
                    </a:ln>
                  </pic:spPr>
                </pic:pic>
              </a:graphicData>
            </a:graphic>
          </wp:inline>
        </w:drawing>
      </w:r>
    </w:p>
    <w:p w:rsidR="009C137E" w:rsidRPr="00F41191" w:rsidRDefault="009C137E" w:rsidP="00F41191"/>
    <w:p w:rsidR="00542BE3" w:rsidRDefault="00F16589" w:rsidP="00542BE3">
      <w:pPr>
        <w:pStyle w:val="Heading2"/>
      </w:pPr>
      <w:r>
        <w:t>References</w:t>
      </w:r>
    </w:p>
    <w:p w:rsidR="00642C79" w:rsidRPr="00642C79" w:rsidRDefault="00542BE3" w:rsidP="00642C79">
      <w:pPr>
        <w:pStyle w:val="ListParagraph"/>
        <w:numPr>
          <w:ilvl w:val="0"/>
          <w:numId w:val="39"/>
        </w:numPr>
        <w:rPr>
          <w:rFonts w:cstheme="minorHAnsi"/>
        </w:rPr>
      </w:pPr>
      <w:r w:rsidRPr="00642C79">
        <w:rPr>
          <w:rFonts w:cstheme="minorHAnsi"/>
        </w:rPr>
        <w:t xml:space="preserve">Clinical Module, Worldwide Antimalarial Resistance Network (WWARN), 2011. Data Management and Statistical Analysis Plan. </w:t>
      </w:r>
    </w:p>
    <w:p w:rsidR="00642C79" w:rsidRPr="00642C79" w:rsidRDefault="00642C79" w:rsidP="00642C79">
      <w:pPr>
        <w:pStyle w:val="ListParagraph"/>
        <w:numPr>
          <w:ilvl w:val="0"/>
          <w:numId w:val="39"/>
        </w:numPr>
        <w:rPr>
          <w:rFonts w:cstheme="minorHAnsi"/>
        </w:rPr>
      </w:pPr>
      <w:r w:rsidRPr="00642C79">
        <w:rPr>
          <w:rFonts w:cstheme="minorHAnsi"/>
        </w:rPr>
        <w:t>World Health Organization 2009. Methods for surveillance of antimalarial drug efficacy. ISBN 978 92 4 159753 1</w:t>
      </w:r>
    </w:p>
    <w:p w:rsidR="001E4312" w:rsidRPr="00642C79" w:rsidRDefault="001E4312" w:rsidP="00642C79">
      <w:pPr>
        <w:pStyle w:val="ListParagraph"/>
        <w:numPr>
          <w:ilvl w:val="0"/>
          <w:numId w:val="39"/>
        </w:numPr>
        <w:rPr>
          <w:rFonts w:cstheme="minorHAnsi"/>
        </w:rPr>
      </w:pPr>
      <w:r w:rsidRPr="00642C79">
        <w:rPr>
          <w:rFonts w:cstheme="minorHAnsi"/>
        </w:rPr>
        <w:t>Kalbfleish, Prentice. The statistical analysis of failure time datat. New-York</w:t>
      </w:r>
      <w:r w:rsidR="00781A5D" w:rsidRPr="00642C79">
        <w:rPr>
          <w:rFonts w:cstheme="minorHAnsi"/>
        </w:rPr>
        <w:t>: John</w:t>
      </w:r>
      <w:r w:rsidRPr="00642C79">
        <w:rPr>
          <w:rFonts w:cstheme="minorHAnsi"/>
        </w:rPr>
        <w:t xml:space="preserve"> Wiley &amp; Sons, 2002.</w:t>
      </w:r>
    </w:p>
    <w:sectPr w:rsidR="001E4312" w:rsidRPr="00642C79" w:rsidSect="00632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4A" w:rsidRDefault="00F90D4A" w:rsidP="002D2EEA">
      <w:pPr>
        <w:spacing w:after="0" w:line="240" w:lineRule="auto"/>
      </w:pPr>
      <w:r>
        <w:separator/>
      </w:r>
    </w:p>
  </w:endnote>
  <w:endnote w:type="continuationSeparator" w:id="0">
    <w:p w:rsidR="00F90D4A" w:rsidRDefault="00F90D4A" w:rsidP="002D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4A" w:rsidRDefault="00F90D4A" w:rsidP="002D2EEA">
      <w:pPr>
        <w:spacing w:after="0" w:line="240" w:lineRule="auto"/>
      </w:pPr>
      <w:r>
        <w:separator/>
      </w:r>
    </w:p>
  </w:footnote>
  <w:footnote w:type="continuationSeparator" w:id="0">
    <w:p w:rsidR="00F90D4A" w:rsidRDefault="00F90D4A" w:rsidP="002D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788"/>
    <w:multiLevelType w:val="hybridMultilevel"/>
    <w:tmpl w:val="6FB4BA7A"/>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0342C"/>
    <w:multiLevelType w:val="hybridMultilevel"/>
    <w:tmpl w:val="6E16C002"/>
    <w:lvl w:ilvl="0" w:tplc="6592EF2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D31C9"/>
    <w:multiLevelType w:val="hybridMultilevel"/>
    <w:tmpl w:val="6FB4BA7A"/>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21716"/>
    <w:multiLevelType w:val="hybridMultilevel"/>
    <w:tmpl w:val="143EE6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0931496"/>
    <w:multiLevelType w:val="hybridMultilevel"/>
    <w:tmpl w:val="D1E264C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242B5"/>
    <w:multiLevelType w:val="hybridMultilevel"/>
    <w:tmpl w:val="ADFC1A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562939"/>
    <w:multiLevelType w:val="hybridMultilevel"/>
    <w:tmpl w:val="418E7896"/>
    <w:lvl w:ilvl="0" w:tplc="0809001B">
      <w:start w:val="1"/>
      <w:numFmt w:val="lowerRoman"/>
      <w:lvlText w:val="%1."/>
      <w:lvlJc w:val="right"/>
      <w:pPr>
        <w:ind w:left="2340" w:hanging="360"/>
      </w:pPr>
    </w:lvl>
    <w:lvl w:ilvl="1" w:tplc="0809000F">
      <w:start w:val="1"/>
      <w:numFmt w:val="decimal"/>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nsid w:val="16F30ED5"/>
    <w:multiLevelType w:val="hybridMultilevel"/>
    <w:tmpl w:val="808C0C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B3DD3"/>
    <w:multiLevelType w:val="hybridMultilevel"/>
    <w:tmpl w:val="143EE6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FB74557"/>
    <w:multiLevelType w:val="hybridMultilevel"/>
    <w:tmpl w:val="A256320C"/>
    <w:lvl w:ilvl="0" w:tplc="0809001B">
      <w:start w:val="1"/>
      <w:numFmt w:val="lowerRoman"/>
      <w:lvlText w:val="%1."/>
      <w:lvlJc w:val="right"/>
      <w:pPr>
        <w:ind w:left="2340" w:hanging="360"/>
      </w:pPr>
    </w:lvl>
    <w:lvl w:ilvl="1" w:tplc="08090019">
      <w:start w:val="1"/>
      <w:numFmt w:val="lowerLetter"/>
      <w:lvlText w:val="%2."/>
      <w:lvlJc w:val="left"/>
      <w:pPr>
        <w:ind w:left="928"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319E38B0"/>
    <w:multiLevelType w:val="hybridMultilevel"/>
    <w:tmpl w:val="A256320C"/>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nsid w:val="32F815F4"/>
    <w:multiLevelType w:val="hybridMultilevel"/>
    <w:tmpl w:val="F1A2729A"/>
    <w:lvl w:ilvl="0" w:tplc="08090019">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nsid w:val="33A9151A"/>
    <w:multiLevelType w:val="hybridMultilevel"/>
    <w:tmpl w:val="A256320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nsid w:val="34914FC8"/>
    <w:multiLevelType w:val="hybridMultilevel"/>
    <w:tmpl w:val="E104DA3C"/>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71B41D4"/>
    <w:multiLevelType w:val="hybridMultilevel"/>
    <w:tmpl w:val="5A12E9F4"/>
    <w:lvl w:ilvl="0" w:tplc="0809001B">
      <w:start w:val="1"/>
      <w:numFmt w:val="lowerRoman"/>
      <w:lvlText w:val="%1."/>
      <w:lvlJc w:val="right"/>
      <w:pPr>
        <w:ind w:left="2340" w:hanging="360"/>
      </w:pPr>
    </w:lvl>
    <w:lvl w:ilvl="1" w:tplc="0809000F">
      <w:start w:val="1"/>
      <w:numFmt w:val="decimal"/>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7C302D4"/>
    <w:multiLevelType w:val="hybridMultilevel"/>
    <w:tmpl w:val="480EC0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D4E7D"/>
    <w:multiLevelType w:val="hybridMultilevel"/>
    <w:tmpl w:val="B3E28918"/>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3F475A64"/>
    <w:multiLevelType w:val="hybridMultilevel"/>
    <w:tmpl w:val="143EE6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67F48EC"/>
    <w:multiLevelType w:val="hybridMultilevel"/>
    <w:tmpl w:val="6FB4BA7A"/>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0C49E4"/>
    <w:multiLevelType w:val="hybridMultilevel"/>
    <w:tmpl w:val="DE3C4B8E"/>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nsid w:val="49115842"/>
    <w:multiLevelType w:val="hybridMultilevel"/>
    <w:tmpl w:val="552E5B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161F5"/>
    <w:multiLevelType w:val="hybridMultilevel"/>
    <w:tmpl w:val="A256320C"/>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4A8D41DF"/>
    <w:multiLevelType w:val="hybridMultilevel"/>
    <w:tmpl w:val="8D8CADE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F73BCD"/>
    <w:multiLevelType w:val="hybridMultilevel"/>
    <w:tmpl w:val="BBE60B2E"/>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nsid w:val="4E850A9D"/>
    <w:multiLevelType w:val="hybridMultilevel"/>
    <w:tmpl w:val="BC5C93F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F221DE"/>
    <w:multiLevelType w:val="hybridMultilevel"/>
    <w:tmpl w:val="6FB4BA7A"/>
    <w:lvl w:ilvl="0" w:tplc="0809000F">
      <w:start w:val="1"/>
      <w:numFmt w:val="decimal"/>
      <w:lvlText w:val="%1."/>
      <w:lvlJc w:val="left"/>
      <w:pPr>
        <w:ind w:left="28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76368E"/>
    <w:multiLevelType w:val="hybridMultilevel"/>
    <w:tmpl w:val="3D78AE8A"/>
    <w:lvl w:ilvl="0" w:tplc="C35426AA">
      <w:start w:val="1"/>
      <w:numFmt w:val="upperRoman"/>
      <w:pStyle w:val="Heading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076B36"/>
    <w:multiLevelType w:val="hybridMultilevel"/>
    <w:tmpl w:val="9FD41A7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13BA3472">
      <w:start w:val="1"/>
      <w:numFmt w:val="bullet"/>
      <w:lvlText w:val="-"/>
      <w:lvlJc w:val="left"/>
      <w:pPr>
        <w:ind w:left="4500" w:hanging="360"/>
      </w:pPr>
      <w:rPr>
        <w:rFonts w:ascii="Calibri" w:eastAsiaTheme="minorEastAsia" w:hAnsi="Calibri" w:cs="Calibri" w:hint="default"/>
      </w:r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2551117"/>
    <w:multiLevelType w:val="hybridMultilevel"/>
    <w:tmpl w:val="C742C478"/>
    <w:lvl w:ilvl="0" w:tplc="08090019">
      <w:start w:val="1"/>
      <w:numFmt w:val="lowerLetter"/>
      <w:lvlText w:val="%1."/>
      <w:lvlJc w:val="left"/>
      <w:pPr>
        <w:ind w:left="2340" w:hanging="360"/>
      </w:pPr>
    </w:lvl>
    <w:lvl w:ilvl="1" w:tplc="0809000F">
      <w:start w:val="1"/>
      <w:numFmt w:val="decimal"/>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3C24E6D"/>
    <w:multiLevelType w:val="hybridMultilevel"/>
    <w:tmpl w:val="E250D73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056084"/>
    <w:multiLevelType w:val="hybridMultilevel"/>
    <w:tmpl w:val="E572E16C"/>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651E0C44"/>
    <w:multiLevelType w:val="hybridMultilevel"/>
    <w:tmpl w:val="985C6608"/>
    <w:lvl w:ilvl="0" w:tplc="0809001B">
      <w:start w:val="1"/>
      <w:numFmt w:val="lowerRoman"/>
      <w:lvlText w:val="%1."/>
      <w:lvlJc w:val="right"/>
      <w:pPr>
        <w:ind w:left="2340" w:hanging="360"/>
      </w:pPr>
    </w:lvl>
    <w:lvl w:ilvl="1" w:tplc="0809000F">
      <w:start w:val="1"/>
      <w:numFmt w:val="decimal"/>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65261CC6"/>
    <w:multiLevelType w:val="hybridMultilevel"/>
    <w:tmpl w:val="0166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8D1D7B"/>
    <w:multiLevelType w:val="hybridMultilevel"/>
    <w:tmpl w:val="44CA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A059C"/>
    <w:multiLevelType w:val="hybridMultilevel"/>
    <w:tmpl w:val="143EE6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0705765"/>
    <w:multiLevelType w:val="hybridMultilevel"/>
    <w:tmpl w:val="143EE6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34577FF"/>
    <w:multiLevelType w:val="hybridMultilevel"/>
    <w:tmpl w:val="143EE6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72F1FA5"/>
    <w:multiLevelType w:val="hybridMultilevel"/>
    <w:tmpl w:val="143EE6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87F6694"/>
    <w:multiLevelType w:val="hybridMultilevel"/>
    <w:tmpl w:val="069A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7"/>
  </w:num>
  <w:num w:numId="4">
    <w:abstractNumId w:val="34"/>
  </w:num>
  <w:num w:numId="5">
    <w:abstractNumId w:val="35"/>
  </w:num>
  <w:num w:numId="6">
    <w:abstractNumId w:val="37"/>
  </w:num>
  <w:num w:numId="7">
    <w:abstractNumId w:val="9"/>
  </w:num>
  <w:num w:numId="8">
    <w:abstractNumId w:val="12"/>
  </w:num>
  <w:num w:numId="9">
    <w:abstractNumId w:val="21"/>
  </w:num>
  <w:num w:numId="10">
    <w:abstractNumId w:val="10"/>
  </w:num>
  <w:num w:numId="11">
    <w:abstractNumId w:val="2"/>
  </w:num>
  <w:num w:numId="12">
    <w:abstractNumId w:val="18"/>
  </w:num>
  <w:num w:numId="13">
    <w:abstractNumId w:val="25"/>
  </w:num>
  <w:num w:numId="14">
    <w:abstractNumId w:val="20"/>
  </w:num>
  <w:num w:numId="15">
    <w:abstractNumId w:val="36"/>
  </w:num>
  <w:num w:numId="16">
    <w:abstractNumId w:val="3"/>
  </w:num>
  <w:num w:numId="17">
    <w:abstractNumId w:val="8"/>
  </w:num>
  <w:num w:numId="18">
    <w:abstractNumId w:val="0"/>
  </w:num>
  <w:num w:numId="19">
    <w:abstractNumId w:val="24"/>
  </w:num>
  <w:num w:numId="20">
    <w:abstractNumId w:val="23"/>
  </w:num>
  <w:num w:numId="21">
    <w:abstractNumId w:val="4"/>
  </w:num>
  <w:num w:numId="22">
    <w:abstractNumId w:val="22"/>
  </w:num>
  <w:num w:numId="23">
    <w:abstractNumId w:val="33"/>
  </w:num>
  <w:num w:numId="24">
    <w:abstractNumId w:val="1"/>
  </w:num>
  <w:num w:numId="25">
    <w:abstractNumId w:val="27"/>
  </w:num>
  <w:num w:numId="26">
    <w:abstractNumId w:val="29"/>
  </w:num>
  <w:num w:numId="27">
    <w:abstractNumId w:val="30"/>
  </w:num>
  <w:num w:numId="28">
    <w:abstractNumId w:val="13"/>
  </w:num>
  <w:num w:numId="29">
    <w:abstractNumId w:val="16"/>
  </w:num>
  <w:num w:numId="30">
    <w:abstractNumId w:val="14"/>
  </w:num>
  <w:num w:numId="31">
    <w:abstractNumId w:val="31"/>
  </w:num>
  <w:num w:numId="32">
    <w:abstractNumId w:val="6"/>
  </w:num>
  <w:num w:numId="33">
    <w:abstractNumId w:val="11"/>
  </w:num>
  <w:num w:numId="34">
    <w:abstractNumId w:val="5"/>
  </w:num>
  <w:num w:numId="35">
    <w:abstractNumId w:val="19"/>
  </w:num>
  <w:num w:numId="36">
    <w:abstractNumId w:val="28"/>
  </w:num>
  <w:num w:numId="37">
    <w:abstractNumId w:val="15"/>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48"/>
    <w:rsid w:val="0001123C"/>
    <w:rsid w:val="000272C6"/>
    <w:rsid w:val="00057A3F"/>
    <w:rsid w:val="00072A75"/>
    <w:rsid w:val="0007559C"/>
    <w:rsid w:val="00084F6D"/>
    <w:rsid w:val="00087B23"/>
    <w:rsid w:val="000A5FA0"/>
    <w:rsid w:val="000D19EC"/>
    <w:rsid w:val="000E5E4F"/>
    <w:rsid w:val="000F4165"/>
    <w:rsid w:val="0011651F"/>
    <w:rsid w:val="0018664E"/>
    <w:rsid w:val="00190856"/>
    <w:rsid w:val="001C02EF"/>
    <w:rsid w:val="001D4DF5"/>
    <w:rsid w:val="001D5CC7"/>
    <w:rsid w:val="001D722F"/>
    <w:rsid w:val="001E4312"/>
    <w:rsid w:val="001F4660"/>
    <w:rsid w:val="00204521"/>
    <w:rsid w:val="00245FEF"/>
    <w:rsid w:val="00270BD1"/>
    <w:rsid w:val="00271EB8"/>
    <w:rsid w:val="00292241"/>
    <w:rsid w:val="002A79AA"/>
    <w:rsid w:val="002B4E30"/>
    <w:rsid w:val="002C3950"/>
    <w:rsid w:val="002C4FE1"/>
    <w:rsid w:val="002D0241"/>
    <w:rsid w:val="002D2EEA"/>
    <w:rsid w:val="002D4D96"/>
    <w:rsid w:val="00315993"/>
    <w:rsid w:val="00367501"/>
    <w:rsid w:val="00397A32"/>
    <w:rsid w:val="003A6150"/>
    <w:rsid w:val="003A706A"/>
    <w:rsid w:val="003C35FB"/>
    <w:rsid w:val="003C38B9"/>
    <w:rsid w:val="00421532"/>
    <w:rsid w:val="00474E16"/>
    <w:rsid w:val="00477B30"/>
    <w:rsid w:val="004833FA"/>
    <w:rsid w:val="004868B3"/>
    <w:rsid w:val="004A4B52"/>
    <w:rsid w:val="004B0E84"/>
    <w:rsid w:val="004B210C"/>
    <w:rsid w:val="004B51D3"/>
    <w:rsid w:val="004E67EA"/>
    <w:rsid w:val="00526B1E"/>
    <w:rsid w:val="00530021"/>
    <w:rsid w:val="00542BE3"/>
    <w:rsid w:val="0058562D"/>
    <w:rsid w:val="005930FA"/>
    <w:rsid w:val="005B24FE"/>
    <w:rsid w:val="005D26E0"/>
    <w:rsid w:val="00607B0F"/>
    <w:rsid w:val="00625EA7"/>
    <w:rsid w:val="0063127C"/>
    <w:rsid w:val="0063272A"/>
    <w:rsid w:val="00642C79"/>
    <w:rsid w:val="00656468"/>
    <w:rsid w:val="00667A2E"/>
    <w:rsid w:val="0067518D"/>
    <w:rsid w:val="006B36BE"/>
    <w:rsid w:val="006F57D7"/>
    <w:rsid w:val="00724762"/>
    <w:rsid w:val="00773CC4"/>
    <w:rsid w:val="00781A5D"/>
    <w:rsid w:val="00782189"/>
    <w:rsid w:val="0078221E"/>
    <w:rsid w:val="007C13FA"/>
    <w:rsid w:val="007C2A6E"/>
    <w:rsid w:val="007C60F1"/>
    <w:rsid w:val="007D58FB"/>
    <w:rsid w:val="007D7AD9"/>
    <w:rsid w:val="007F57E7"/>
    <w:rsid w:val="0080186D"/>
    <w:rsid w:val="00814BA3"/>
    <w:rsid w:val="00816474"/>
    <w:rsid w:val="00822A0A"/>
    <w:rsid w:val="008406AC"/>
    <w:rsid w:val="00857673"/>
    <w:rsid w:val="00867686"/>
    <w:rsid w:val="00895D90"/>
    <w:rsid w:val="008A19DE"/>
    <w:rsid w:val="008A7AF8"/>
    <w:rsid w:val="008B5D9F"/>
    <w:rsid w:val="008D1F8E"/>
    <w:rsid w:val="008D68EB"/>
    <w:rsid w:val="008E5C71"/>
    <w:rsid w:val="008F41A1"/>
    <w:rsid w:val="008F42A0"/>
    <w:rsid w:val="008F6913"/>
    <w:rsid w:val="009061A5"/>
    <w:rsid w:val="00921FDE"/>
    <w:rsid w:val="009379A5"/>
    <w:rsid w:val="00960107"/>
    <w:rsid w:val="0096485E"/>
    <w:rsid w:val="00992709"/>
    <w:rsid w:val="009C137E"/>
    <w:rsid w:val="00A02E52"/>
    <w:rsid w:val="00A238CA"/>
    <w:rsid w:val="00A31C2D"/>
    <w:rsid w:val="00A31D78"/>
    <w:rsid w:val="00A34E5F"/>
    <w:rsid w:val="00A44E4A"/>
    <w:rsid w:val="00A54AFE"/>
    <w:rsid w:val="00A55707"/>
    <w:rsid w:val="00A72869"/>
    <w:rsid w:val="00A83FFA"/>
    <w:rsid w:val="00AA7F2D"/>
    <w:rsid w:val="00AB0797"/>
    <w:rsid w:val="00AB1775"/>
    <w:rsid w:val="00AB4405"/>
    <w:rsid w:val="00AB4BAA"/>
    <w:rsid w:val="00B00D24"/>
    <w:rsid w:val="00B563C1"/>
    <w:rsid w:val="00B612BC"/>
    <w:rsid w:val="00B845C1"/>
    <w:rsid w:val="00B97C45"/>
    <w:rsid w:val="00BA54EB"/>
    <w:rsid w:val="00BB6695"/>
    <w:rsid w:val="00BC4C89"/>
    <w:rsid w:val="00BE1164"/>
    <w:rsid w:val="00BF5184"/>
    <w:rsid w:val="00C03330"/>
    <w:rsid w:val="00C119D1"/>
    <w:rsid w:val="00C53801"/>
    <w:rsid w:val="00C60769"/>
    <w:rsid w:val="00CA2411"/>
    <w:rsid w:val="00CB60F9"/>
    <w:rsid w:val="00CB6A18"/>
    <w:rsid w:val="00D01376"/>
    <w:rsid w:val="00D01F01"/>
    <w:rsid w:val="00D03A1C"/>
    <w:rsid w:val="00D04BFE"/>
    <w:rsid w:val="00D137CE"/>
    <w:rsid w:val="00D16D47"/>
    <w:rsid w:val="00D30D9C"/>
    <w:rsid w:val="00D773D7"/>
    <w:rsid w:val="00DC7D83"/>
    <w:rsid w:val="00E0761B"/>
    <w:rsid w:val="00E12143"/>
    <w:rsid w:val="00E67B34"/>
    <w:rsid w:val="00E75D01"/>
    <w:rsid w:val="00E944CA"/>
    <w:rsid w:val="00E95C31"/>
    <w:rsid w:val="00EB3423"/>
    <w:rsid w:val="00EB3F48"/>
    <w:rsid w:val="00EC213E"/>
    <w:rsid w:val="00ED3C7E"/>
    <w:rsid w:val="00EE1012"/>
    <w:rsid w:val="00F12393"/>
    <w:rsid w:val="00F16589"/>
    <w:rsid w:val="00F41191"/>
    <w:rsid w:val="00F44F70"/>
    <w:rsid w:val="00F81449"/>
    <w:rsid w:val="00F90D4A"/>
    <w:rsid w:val="00FA1A53"/>
    <w:rsid w:val="00FB2D4D"/>
    <w:rsid w:val="00FB5132"/>
    <w:rsid w:val="00FB6089"/>
    <w:rsid w:val="00FC4F65"/>
    <w:rsid w:val="00FD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1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07"/>
  </w:style>
  <w:style w:type="paragraph" w:styleId="Heading1">
    <w:name w:val="heading 1"/>
    <w:basedOn w:val="Normal"/>
    <w:next w:val="Normal"/>
    <w:link w:val="Heading1Char"/>
    <w:uiPriority w:val="9"/>
    <w:qFormat/>
    <w:rsid w:val="00F16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9C"/>
    <w:pPr>
      <w:keepNext/>
      <w:keepLines/>
      <w:numPr>
        <w:numId w:val="2"/>
      </w:numPr>
      <w:spacing w:before="240" w:after="240"/>
      <w:ind w:left="71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37E"/>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48"/>
    <w:pPr>
      <w:ind w:left="720"/>
      <w:contextualSpacing/>
    </w:pPr>
  </w:style>
  <w:style w:type="character" w:customStyle="1" w:styleId="Heading2Char">
    <w:name w:val="Heading 2 Char"/>
    <w:basedOn w:val="DefaultParagraphFont"/>
    <w:link w:val="Heading2"/>
    <w:uiPriority w:val="9"/>
    <w:rsid w:val="000755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65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6589"/>
    <w:pPr>
      <w:outlineLvl w:val="9"/>
    </w:pPr>
    <w:rPr>
      <w:lang w:val="en-US"/>
    </w:rPr>
  </w:style>
  <w:style w:type="paragraph" w:styleId="TOC1">
    <w:name w:val="toc 1"/>
    <w:basedOn w:val="Normal"/>
    <w:next w:val="Normal"/>
    <w:autoRedefine/>
    <w:uiPriority w:val="39"/>
    <w:unhideWhenUsed/>
    <w:rsid w:val="00F16589"/>
    <w:pPr>
      <w:spacing w:after="100"/>
    </w:pPr>
  </w:style>
  <w:style w:type="paragraph" w:styleId="TOC2">
    <w:name w:val="toc 2"/>
    <w:basedOn w:val="Normal"/>
    <w:next w:val="Normal"/>
    <w:autoRedefine/>
    <w:uiPriority w:val="39"/>
    <w:unhideWhenUsed/>
    <w:rsid w:val="00F16589"/>
    <w:pPr>
      <w:spacing w:after="100"/>
      <w:ind w:left="220"/>
    </w:pPr>
  </w:style>
  <w:style w:type="character" w:styleId="Hyperlink">
    <w:name w:val="Hyperlink"/>
    <w:basedOn w:val="DefaultParagraphFont"/>
    <w:uiPriority w:val="99"/>
    <w:unhideWhenUsed/>
    <w:rsid w:val="00F16589"/>
    <w:rPr>
      <w:color w:val="0000FF" w:themeColor="hyperlink"/>
      <w:u w:val="single"/>
    </w:rPr>
  </w:style>
  <w:style w:type="paragraph" w:styleId="BalloonText">
    <w:name w:val="Balloon Text"/>
    <w:basedOn w:val="Normal"/>
    <w:link w:val="BalloonTextChar"/>
    <w:uiPriority w:val="99"/>
    <w:semiHidden/>
    <w:unhideWhenUsed/>
    <w:rsid w:val="00F1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89"/>
    <w:rPr>
      <w:rFonts w:ascii="Tahoma" w:hAnsi="Tahoma" w:cs="Tahoma"/>
      <w:sz w:val="16"/>
      <w:szCs w:val="16"/>
    </w:rPr>
  </w:style>
  <w:style w:type="paragraph" w:styleId="Title">
    <w:name w:val="Title"/>
    <w:basedOn w:val="Normal"/>
    <w:next w:val="Normal"/>
    <w:link w:val="TitleChar"/>
    <w:uiPriority w:val="10"/>
    <w:qFormat/>
    <w:rsid w:val="00F16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58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A1A53"/>
    <w:rPr>
      <w:sz w:val="16"/>
      <w:szCs w:val="16"/>
    </w:rPr>
  </w:style>
  <w:style w:type="paragraph" w:styleId="CommentText">
    <w:name w:val="annotation text"/>
    <w:basedOn w:val="Normal"/>
    <w:link w:val="CommentTextChar"/>
    <w:uiPriority w:val="99"/>
    <w:semiHidden/>
    <w:unhideWhenUsed/>
    <w:rsid w:val="00FA1A53"/>
    <w:pPr>
      <w:spacing w:line="240" w:lineRule="auto"/>
    </w:pPr>
    <w:rPr>
      <w:sz w:val="20"/>
      <w:szCs w:val="20"/>
    </w:rPr>
  </w:style>
  <w:style w:type="character" w:customStyle="1" w:styleId="CommentTextChar">
    <w:name w:val="Comment Text Char"/>
    <w:basedOn w:val="DefaultParagraphFont"/>
    <w:link w:val="CommentText"/>
    <w:uiPriority w:val="99"/>
    <w:semiHidden/>
    <w:rsid w:val="00FA1A53"/>
    <w:rPr>
      <w:sz w:val="20"/>
      <w:szCs w:val="20"/>
    </w:rPr>
  </w:style>
  <w:style w:type="paragraph" w:styleId="CommentSubject">
    <w:name w:val="annotation subject"/>
    <w:basedOn w:val="CommentText"/>
    <w:next w:val="CommentText"/>
    <w:link w:val="CommentSubjectChar"/>
    <w:uiPriority w:val="99"/>
    <w:semiHidden/>
    <w:unhideWhenUsed/>
    <w:rsid w:val="00FA1A53"/>
    <w:rPr>
      <w:b/>
      <w:bCs/>
    </w:rPr>
  </w:style>
  <w:style w:type="character" w:customStyle="1" w:styleId="CommentSubjectChar">
    <w:name w:val="Comment Subject Char"/>
    <w:basedOn w:val="CommentTextChar"/>
    <w:link w:val="CommentSubject"/>
    <w:uiPriority w:val="99"/>
    <w:semiHidden/>
    <w:rsid w:val="00FA1A53"/>
    <w:rPr>
      <w:b/>
      <w:bCs/>
      <w:sz w:val="20"/>
      <w:szCs w:val="20"/>
    </w:rPr>
  </w:style>
  <w:style w:type="paragraph" w:styleId="Revision">
    <w:name w:val="Revision"/>
    <w:hidden/>
    <w:uiPriority w:val="99"/>
    <w:semiHidden/>
    <w:rsid w:val="00FA1A53"/>
    <w:pPr>
      <w:spacing w:after="0" w:line="240" w:lineRule="auto"/>
    </w:pPr>
  </w:style>
  <w:style w:type="character" w:customStyle="1" w:styleId="Heading3Char">
    <w:name w:val="Heading 3 Char"/>
    <w:basedOn w:val="DefaultParagraphFont"/>
    <w:link w:val="Heading3"/>
    <w:uiPriority w:val="9"/>
    <w:rsid w:val="009C137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B0797"/>
    <w:pPr>
      <w:spacing w:after="100"/>
      <w:ind w:left="440"/>
    </w:pPr>
  </w:style>
  <w:style w:type="paragraph" w:styleId="Header">
    <w:name w:val="header"/>
    <w:basedOn w:val="Normal"/>
    <w:link w:val="HeaderChar"/>
    <w:uiPriority w:val="99"/>
    <w:semiHidden/>
    <w:unhideWhenUsed/>
    <w:rsid w:val="002D2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EEA"/>
  </w:style>
  <w:style w:type="paragraph" w:styleId="Footer">
    <w:name w:val="footer"/>
    <w:basedOn w:val="Normal"/>
    <w:link w:val="FooterChar"/>
    <w:uiPriority w:val="99"/>
    <w:semiHidden/>
    <w:unhideWhenUsed/>
    <w:rsid w:val="002D2E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2EEA"/>
  </w:style>
  <w:style w:type="table" w:styleId="TableGrid">
    <w:name w:val="Table Grid"/>
    <w:basedOn w:val="TableNormal"/>
    <w:rsid w:val="009061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07"/>
  </w:style>
  <w:style w:type="paragraph" w:styleId="Heading1">
    <w:name w:val="heading 1"/>
    <w:basedOn w:val="Normal"/>
    <w:next w:val="Normal"/>
    <w:link w:val="Heading1Char"/>
    <w:uiPriority w:val="9"/>
    <w:qFormat/>
    <w:rsid w:val="00F16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9C"/>
    <w:pPr>
      <w:keepNext/>
      <w:keepLines/>
      <w:numPr>
        <w:numId w:val="2"/>
      </w:numPr>
      <w:spacing w:before="240" w:after="240"/>
      <w:ind w:left="71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37E"/>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48"/>
    <w:pPr>
      <w:ind w:left="720"/>
      <w:contextualSpacing/>
    </w:pPr>
  </w:style>
  <w:style w:type="character" w:customStyle="1" w:styleId="Heading2Char">
    <w:name w:val="Heading 2 Char"/>
    <w:basedOn w:val="DefaultParagraphFont"/>
    <w:link w:val="Heading2"/>
    <w:uiPriority w:val="9"/>
    <w:rsid w:val="000755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65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6589"/>
    <w:pPr>
      <w:outlineLvl w:val="9"/>
    </w:pPr>
    <w:rPr>
      <w:lang w:val="en-US"/>
    </w:rPr>
  </w:style>
  <w:style w:type="paragraph" w:styleId="TOC1">
    <w:name w:val="toc 1"/>
    <w:basedOn w:val="Normal"/>
    <w:next w:val="Normal"/>
    <w:autoRedefine/>
    <w:uiPriority w:val="39"/>
    <w:unhideWhenUsed/>
    <w:rsid w:val="00F16589"/>
    <w:pPr>
      <w:spacing w:after="100"/>
    </w:pPr>
  </w:style>
  <w:style w:type="paragraph" w:styleId="TOC2">
    <w:name w:val="toc 2"/>
    <w:basedOn w:val="Normal"/>
    <w:next w:val="Normal"/>
    <w:autoRedefine/>
    <w:uiPriority w:val="39"/>
    <w:unhideWhenUsed/>
    <w:rsid w:val="00F16589"/>
    <w:pPr>
      <w:spacing w:after="100"/>
      <w:ind w:left="220"/>
    </w:pPr>
  </w:style>
  <w:style w:type="character" w:styleId="Hyperlink">
    <w:name w:val="Hyperlink"/>
    <w:basedOn w:val="DefaultParagraphFont"/>
    <w:uiPriority w:val="99"/>
    <w:unhideWhenUsed/>
    <w:rsid w:val="00F16589"/>
    <w:rPr>
      <w:color w:val="0000FF" w:themeColor="hyperlink"/>
      <w:u w:val="single"/>
    </w:rPr>
  </w:style>
  <w:style w:type="paragraph" w:styleId="BalloonText">
    <w:name w:val="Balloon Text"/>
    <w:basedOn w:val="Normal"/>
    <w:link w:val="BalloonTextChar"/>
    <w:uiPriority w:val="99"/>
    <w:semiHidden/>
    <w:unhideWhenUsed/>
    <w:rsid w:val="00F1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89"/>
    <w:rPr>
      <w:rFonts w:ascii="Tahoma" w:hAnsi="Tahoma" w:cs="Tahoma"/>
      <w:sz w:val="16"/>
      <w:szCs w:val="16"/>
    </w:rPr>
  </w:style>
  <w:style w:type="paragraph" w:styleId="Title">
    <w:name w:val="Title"/>
    <w:basedOn w:val="Normal"/>
    <w:next w:val="Normal"/>
    <w:link w:val="TitleChar"/>
    <w:uiPriority w:val="10"/>
    <w:qFormat/>
    <w:rsid w:val="00F16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58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A1A53"/>
    <w:rPr>
      <w:sz w:val="16"/>
      <w:szCs w:val="16"/>
    </w:rPr>
  </w:style>
  <w:style w:type="paragraph" w:styleId="CommentText">
    <w:name w:val="annotation text"/>
    <w:basedOn w:val="Normal"/>
    <w:link w:val="CommentTextChar"/>
    <w:uiPriority w:val="99"/>
    <w:semiHidden/>
    <w:unhideWhenUsed/>
    <w:rsid w:val="00FA1A53"/>
    <w:pPr>
      <w:spacing w:line="240" w:lineRule="auto"/>
    </w:pPr>
    <w:rPr>
      <w:sz w:val="20"/>
      <w:szCs w:val="20"/>
    </w:rPr>
  </w:style>
  <w:style w:type="character" w:customStyle="1" w:styleId="CommentTextChar">
    <w:name w:val="Comment Text Char"/>
    <w:basedOn w:val="DefaultParagraphFont"/>
    <w:link w:val="CommentText"/>
    <w:uiPriority w:val="99"/>
    <w:semiHidden/>
    <w:rsid w:val="00FA1A53"/>
    <w:rPr>
      <w:sz w:val="20"/>
      <w:szCs w:val="20"/>
    </w:rPr>
  </w:style>
  <w:style w:type="paragraph" w:styleId="CommentSubject">
    <w:name w:val="annotation subject"/>
    <w:basedOn w:val="CommentText"/>
    <w:next w:val="CommentText"/>
    <w:link w:val="CommentSubjectChar"/>
    <w:uiPriority w:val="99"/>
    <w:semiHidden/>
    <w:unhideWhenUsed/>
    <w:rsid w:val="00FA1A53"/>
    <w:rPr>
      <w:b/>
      <w:bCs/>
    </w:rPr>
  </w:style>
  <w:style w:type="character" w:customStyle="1" w:styleId="CommentSubjectChar">
    <w:name w:val="Comment Subject Char"/>
    <w:basedOn w:val="CommentTextChar"/>
    <w:link w:val="CommentSubject"/>
    <w:uiPriority w:val="99"/>
    <w:semiHidden/>
    <w:rsid w:val="00FA1A53"/>
    <w:rPr>
      <w:b/>
      <w:bCs/>
      <w:sz w:val="20"/>
      <w:szCs w:val="20"/>
    </w:rPr>
  </w:style>
  <w:style w:type="paragraph" w:styleId="Revision">
    <w:name w:val="Revision"/>
    <w:hidden/>
    <w:uiPriority w:val="99"/>
    <w:semiHidden/>
    <w:rsid w:val="00FA1A53"/>
    <w:pPr>
      <w:spacing w:after="0" w:line="240" w:lineRule="auto"/>
    </w:pPr>
  </w:style>
  <w:style w:type="character" w:customStyle="1" w:styleId="Heading3Char">
    <w:name w:val="Heading 3 Char"/>
    <w:basedOn w:val="DefaultParagraphFont"/>
    <w:link w:val="Heading3"/>
    <w:uiPriority w:val="9"/>
    <w:rsid w:val="009C137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B0797"/>
    <w:pPr>
      <w:spacing w:after="100"/>
      <w:ind w:left="440"/>
    </w:pPr>
  </w:style>
  <w:style w:type="paragraph" w:styleId="Header">
    <w:name w:val="header"/>
    <w:basedOn w:val="Normal"/>
    <w:link w:val="HeaderChar"/>
    <w:uiPriority w:val="99"/>
    <w:semiHidden/>
    <w:unhideWhenUsed/>
    <w:rsid w:val="002D2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EEA"/>
  </w:style>
  <w:style w:type="paragraph" w:styleId="Footer">
    <w:name w:val="footer"/>
    <w:basedOn w:val="Normal"/>
    <w:link w:val="FooterChar"/>
    <w:uiPriority w:val="99"/>
    <w:semiHidden/>
    <w:unhideWhenUsed/>
    <w:rsid w:val="002D2E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2EEA"/>
  </w:style>
  <w:style w:type="table" w:styleId="TableGrid">
    <w:name w:val="Table Grid"/>
    <w:basedOn w:val="TableNormal"/>
    <w:rsid w:val="009061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F3A1-CFA2-4DF4-A5E8-3CC2A228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Khairallah</dc:creator>
  <cp:lastModifiedBy>Julie Gutman</cp:lastModifiedBy>
  <cp:revision>3</cp:revision>
  <dcterms:created xsi:type="dcterms:W3CDTF">2012-11-09T21:22:00Z</dcterms:created>
  <dcterms:modified xsi:type="dcterms:W3CDTF">2012-11-09T21:22:00Z</dcterms:modified>
</cp:coreProperties>
</file>