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6E" w:rsidRDefault="0035796E" w:rsidP="0035796E">
      <w:pPr>
        <w:pStyle w:val="NoSpacing"/>
      </w:pPr>
      <w:r>
        <w:t xml:space="preserve">APPENDIX: Sensitivity analysis to investigate the impact of missing race. For asthma ED and hospitalization data, rates of missing race ranged from 10-31% of records.  </w:t>
      </w:r>
    </w:p>
    <w:p w:rsidR="0035796E" w:rsidRDefault="0035796E" w:rsidP="0035796E">
      <w:pPr>
        <w:pStyle w:val="NoSpacing"/>
      </w:pPr>
    </w:p>
    <w:p w:rsidR="0035796E" w:rsidRPr="006D04AC" w:rsidRDefault="0035796E" w:rsidP="0035796E">
      <w:pPr>
        <w:pStyle w:val="NoSpacing"/>
        <w:rPr>
          <w:u w:val="single"/>
        </w:rPr>
      </w:pPr>
      <w:r w:rsidRPr="006D04AC">
        <w:rPr>
          <w:u w:val="single"/>
        </w:rPr>
        <w:t>Asthma ED visits:</w:t>
      </w:r>
    </w:p>
    <w:p w:rsidR="0035796E" w:rsidRPr="006D04AC" w:rsidRDefault="0035796E" w:rsidP="0035796E">
      <w:pPr>
        <w:pStyle w:val="NoSpacing"/>
      </w:pPr>
      <w:r>
        <w:tab/>
        <w:t xml:space="preserve">The main analysis included records with imputed values of race.  For the sensitivity analysis, these records were excluded.  As expected, the PBR and ARR rates were lower for both black and white race.  However, the observed trends in disparities showed little difference from the main analysis.  One difference was that the trend is disparity between the ARRs rate for black and white children was found </w:t>
      </w:r>
      <w:r w:rsidR="00E969E7">
        <w:t>to be significantly decreasing</w:t>
      </w:r>
      <w:r>
        <w:t xml:space="preserve"> in the main analysis but not in the sensitivity analysis.</w:t>
      </w:r>
    </w:p>
    <w:p w:rsidR="0035796E" w:rsidRDefault="0035796E" w:rsidP="0035796E">
      <w:pPr>
        <w:pStyle w:val="NoSpacing"/>
        <w:rPr>
          <w:u w:val="single"/>
        </w:rPr>
      </w:pPr>
    </w:p>
    <w:p w:rsidR="0035796E" w:rsidRDefault="0035796E" w:rsidP="0035796E">
      <w:pPr>
        <w:pStyle w:val="NoSpacing"/>
      </w:pPr>
      <w:r>
        <w:t>Figure A: Population-based rates and at risk rates for asthma emergency department visits, and average annual percent change (APC) among children</w:t>
      </w:r>
      <w:r w:rsidRPr="00321EAF">
        <w:t xml:space="preserve"> 0-17 years</w:t>
      </w:r>
      <w:r w:rsidR="0041263C">
        <w:t>,</w:t>
      </w:r>
      <w:r>
        <w:t xml:space="preserve"> with records with imputed race excluded</w:t>
      </w:r>
    </w:p>
    <w:p w:rsidR="0035796E" w:rsidRDefault="0035796E" w:rsidP="0035796E">
      <w:pPr>
        <w:pStyle w:val="NoSpacing"/>
        <w:rPr>
          <w:noProof/>
        </w:rPr>
      </w:pPr>
    </w:p>
    <w:p w:rsidR="0035796E" w:rsidRDefault="0035796E" w:rsidP="0035796E">
      <w:pPr>
        <w:pStyle w:val="NoSpacing"/>
      </w:pPr>
      <w:r w:rsidRPr="00321EAF">
        <w:t>Source: Na</w:t>
      </w:r>
      <w:r>
        <w:t>tional Hospital Ambulatory Medical Care Survey</w:t>
      </w:r>
    </w:p>
    <w:p w:rsidR="0035796E" w:rsidRDefault="0035796E" w:rsidP="0035796E">
      <w:pPr>
        <w:pStyle w:val="NoSpacing"/>
      </w:pPr>
    </w:p>
    <w:p w:rsidR="0035796E" w:rsidRPr="00321EAF" w:rsidRDefault="0035796E" w:rsidP="0035796E">
      <w:pPr>
        <w:pStyle w:val="NoSpacing"/>
      </w:pPr>
      <w:r>
        <w:t>Table A: Asthma ED visit rate comparison of APC disparity trend between sensitivity and main analysis</w:t>
      </w:r>
    </w:p>
    <w:tbl>
      <w:tblPr>
        <w:tblStyle w:val="TableGrid"/>
        <w:tblW w:w="0" w:type="auto"/>
        <w:tblLook w:val="04A0" w:firstRow="1" w:lastRow="0" w:firstColumn="1" w:lastColumn="0" w:noHBand="0" w:noVBand="1"/>
      </w:tblPr>
      <w:tblGrid>
        <w:gridCol w:w="3528"/>
        <w:gridCol w:w="3060"/>
        <w:gridCol w:w="2880"/>
      </w:tblGrid>
      <w:tr w:rsidR="0035796E" w:rsidTr="00E61AB7">
        <w:tc>
          <w:tcPr>
            <w:tcW w:w="3528" w:type="dxa"/>
          </w:tcPr>
          <w:p w:rsidR="0035796E" w:rsidRDefault="0035796E" w:rsidP="00E61AB7">
            <w:pPr>
              <w:pStyle w:val="NoSpacing"/>
            </w:pPr>
          </w:p>
        </w:tc>
        <w:tc>
          <w:tcPr>
            <w:tcW w:w="3060" w:type="dxa"/>
          </w:tcPr>
          <w:p w:rsidR="0035796E" w:rsidRDefault="0035796E" w:rsidP="00E61AB7">
            <w:pPr>
              <w:pStyle w:val="NoSpacing"/>
            </w:pPr>
            <w:r>
              <w:t>Sensitivity analysis</w:t>
            </w:r>
          </w:p>
        </w:tc>
        <w:tc>
          <w:tcPr>
            <w:tcW w:w="2880" w:type="dxa"/>
          </w:tcPr>
          <w:p w:rsidR="0035796E" w:rsidRDefault="0035796E" w:rsidP="00E61AB7">
            <w:pPr>
              <w:pStyle w:val="NoSpacing"/>
            </w:pPr>
            <w:r>
              <w:t>Main analysis</w:t>
            </w:r>
          </w:p>
        </w:tc>
      </w:tr>
      <w:tr w:rsidR="0035796E" w:rsidTr="00E61AB7">
        <w:tc>
          <w:tcPr>
            <w:tcW w:w="9468" w:type="dxa"/>
            <w:gridSpan w:val="3"/>
          </w:tcPr>
          <w:p w:rsidR="0035796E" w:rsidRDefault="0035796E" w:rsidP="00E61AB7">
            <w:pPr>
              <w:pStyle w:val="NoSpacing"/>
            </w:pPr>
            <w:r>
              <w:t>Population-base rate</w:t>
            </w:r>
          </w:p>
        </w:tc>
      </w:tr>
      <w:tr w:rsidR="0035796E" w:rsidTr="00E61AB7">
        <w:tc>
          <w:tcPr>
            <w:tcW w:w="3528" w:type="dxa"/>
          </w:tcPr>
          <w:p w:rsidR="0035796E" w:rsidRDefault="0035796E" w:rsidP="00E61AB7">
            <w:pPr>
              <w:pStyle w:val="NoSpacing"/>
            </w:pPr>
            <w:r>
              <w:t xml:space="preserve">  White</w:t>
            </w:r>
          </w:p>
        </w:tc>
        <w:tc>
          <w:tcPr>
            <w:tcW w:w="3060" w:type="dxa"/>
          </w:tcPr>
          <w:p w:rsidR="0035796E" w:rsidRDefault="0035796E" w:rsidP="00E61AB7">
            <w:pPr>
              <w:pStyle w:val="NoSpacing"/>
            </w:pPr>
            <w:r>
              <w:t>0.1%</w:t>
            </w:r>
          </w:p>
        </w:tc>
        <w:tc>
          <w:tcPr>
            <w:tcW w:w="2880" w:type="dxa"/>
          </w:tcPr>
          <w:p w:rsidR="0035796E" w:rsidRDefault="0035796E" w:rsidP="00E61AB7">
            <w:pPr>
              <w:pStyle w:val="NoSpacing"/>
            </w:pPr>
            <w:r>
              <w:t>1.3%</w:t>
            </w:r>
          </w:p>
        </w:tc>
      </w:tr>
      <w:tr w:rsidR="0035796E" w:rsidTr="00E61AB7">
        <w:tc>
          <w:tcPr>
            <w:tcW w:w="3528" w:type="dxa"/>
          </w:tcPr>
          <w:p w:rsidR="0035796E" w:rsidRDefault="0035796E" w:rsidP="00E61AB7">
            <w:pPr>
              <w:pStyle w:val="NoSpacing"/>
            </w:pPr>
            <w:r>
              <w:t xml:space="preserve">  Black</w:t>
            </w:r>
          </w:p>
        </w:tc>
        <w:tc>
          <w:tcPr>
            <w:tcW w:w="3060" w:type="dxa"/>
          </w:tcPr>
          <w:p w:rsidR="0035796E" w:rsidRDefault="0035796E" w:rsidP="00E61AB7">
            <w:pPr>
              <w:pStyle w:val="NoSpacing"/>
            </w:pPr>
            <w:r>
              <w:t>-1.5%</w:t>
            </w:r>
          </w:p>
        </w:tc>
        <w:tc>
          <w:tcPr>
            <w:tcW w:w="2880" w:type="dxa"/>
          </w:tcPr>
          <w:p w:rsidR="0035796E" w:rsidRDefault="0035796E" w:rsidP="00E61AB7">
            <w:pPr>
              <w:pStyle w:val="NoSpacing"/>
            </w:pPr>
            <w:r>
              <w:t>-0.9%</w:t>
            </w:r>
          </w:p>
        </w:tc>
      </w:tr>
      <w:tr w:rsidR="0035796E" w:rsidTr="00E61AB7">
        <w:tc>
          <w:tcPr>
            <w:tcW w:w="3528" w:type="dxa"/>
          </w:tcPr>
          <w:p w:rsidR="0035796E" w:rsidRDefault="0035796E" w:rsidP="00E61AB7">
            <w:pPr>
              <w:pStyle w:val="NoSpacing"/>
            </w:pPr>
            <w:r>
              <w:t xml:space="preserve"> Change in disparity trend</w:t>
            </w:r>
          </w:p>
        </w:tc>
        <w:tc>
          <w:tcPr>
            <w:tcW w:w="3060" w:type="dxa"/>
          </w:tcPr>
          <w:p w:rsidR="0035796E" w:rsidRDefault="0035796E" w:rsidP="00E61AB7">
            <w:pPr>
              <w:pStyle w:val="NoSpacing"/>
            </w:pPr>
            <w:r>
              <w:t>None</w:t>
            </w:r>
          </w:p>
        </w:tc>
        <w:tc>
          <w:tcPr>
            <w:tcW w:w="2880" w:type="dxa"/>
          </w:tcPr>
          <w:p w:rsidR="0035796E" w:rsidRDefault="0035796E" w:rsidP="00E61AB7">
            <w:pPr>
              <w:pStyle w:val="NoSpacing"/>
            </w:pPr>
            <w:r>
              <w:t>None</w:t>
            </w:r>
          </w:p>
        </w:tc>
      </w:tr>
      <w:tr w:rsidR="0035796E" w:rsidTr="00E61AB7">
        <w:tc>
          <w:tcPr>
            <w:tcW w:w="9468" w:type="dxa"/>
            <w:gridSpan w:val="3"/>
          </w:tcPr>
          <w:p w:rsidR="0035796E" w:rsidRDefault="0035796E" w:rsidP="00E61AB7">
            <w:pPr>
              <w:pStyle w:val="NoSpacing"/>
            </w:pPr>
            <w:r>
              <w:t>At-risk rate</w:t>
            </w:r>
          </w:p>
        </w:tc>
      </w:tr>
      <w:tr w:rsidR="0035796E" w:rsidTr="00E61AB7">
        <w:tc>
          <w:tcPr>
            <w:tcW w:w="3528" w:type="dxa"/>
          </w:tcPr>
          <w:p w:rsidR="0035796E" w:rsidRDefault="0035796E" w:rsidP="00E61AB7">
            <w:pPr>
              <w:pStyle w:val="NoSpacing"/>
            </w:pPr>
            <w:r>
              <w:t xml:space="preserve">  White</w:t>
            </w:r>
          </w:p>
        </w:tc>
        <w:tc>
          <w:tcPr>
            <w:tcW w:w="3060" w:type="dxa"/>
          </w:tcPr>
          <w:p w:rsidR="0035796E" w:rsidRDefault="0035796E" w:rsidP="00E61AB7">
            <w:pPr>
              <w:pStyle w:val="NoSpacing"/>
            </w:pPr>
            <w:r>
              <w:t>-0.4%</w:t>
            </w:r>
          </w:p>
        </w:tc>
        <w:tc>
          <w:tcPr>
            <w:tcW w:w="2880" w:type="dxa"/>
          </w:tcPr>
          <w:p w:rsidR="0035796E" w:rsidRDefault="0035796E" w:rsidP="00E61AB7">
            <w:pPr>
              <w:pStyle w:val="NoSpacing"/>
            </w:pPr>
            <w:r>
              <w:t>0.7%</w:t>
            </w:r>
          </w:p>
        </w:tc>
      </w:tr>
      <w:tr w:rsidR="0035796E" w:rsidTr="00E61AB7">
        <w:tc>
          <w:tcPr>
            <w:tcW w:w="3528" w:type="dxa"/>
          </w:tcPr>
          <w:p w:rsidR="0035796E" w:rsidRDefault="0035796E" w:rsidP="00E61AB7">
            <w:pPr>
              <w:pStyle w:val="NoSpacing"/>
            </w:pPr>
            <w:r>
              <w:t xml:space="preserve">  Black</w:t>
            </w:r>
          </w:p>
        </w:tc>
        <w:tc>
          <w:tcPr>
            <w:tcW w:w="3060" w:type="dxa"/>
          </w:tcPr>
          <w:p w:rsidR="0035796E" w:rsidRDefault="0035796E" w:rsidP="00E61AB7">
            <w:pPr>
              <w:pStyle w:val="NoSpacing"/>
            </w:pPr>
            <w:r>
              <w:t>-6.0%*</w:t>
            </w:r>
          </w:p>
        </w:tc>
        <w:tc>
          <w:tcPr>
            <w:tcW w:w="2880" w:type="dxa"/>
          </w:tcPr>
          <w:p w:rsidR="0035796E" w:rsidRDefault="0035796E" w:rsidP="00E61AB7">
            <w:pPr>
              <w:pStyle w:val="NoSpacing"/>
            </w:pPr>
            <w:r>
              <w:t>-5.4%*</w:t>
            </w:r>
          </w:p>
        </w:tc>
      </w:tr>
      <w:tr w:rsidR="0035796E" w:rsidTr="00E61AB7">
        <w:tc>
          <w:tcPr>
            <w:tcW w:w="3528" w:type="dxa"/>
          </w:tcPr>
          <w:p w:rsidR="0035796E" w:rsidRDefault="0035796E" w:rsidP="00E61AB7">
            <w:pPr>
              <w:pStyle w:val="NoSpacing"/>
            </w:pPr>
            <w:r>
              <w:t xml:space="preserve"> Change in disparity trend</w:t>
            </w:r>
          </w:p>
        </w:tc>
        <w:tc>
          <w:tcPr>
            <w:tcW w:w="3060" w:type="dxa"/>
          </w:tcPr>
          <w:p w:rsidR="0035796E" w:rsidRDefault="0035796E" w:rsidP="00E61AB7">
            <w:pPr>
              <w:pStyle w:val="NoSpacing"/>
            </w:pPr>
            <w:r>
              <w:t>None†</w:t>
            </w:r>
          </w:p>
        </w:tc>
        <w:tc>
          <w:tcPr>
            <w:tcW w:w="2880" w:type="dxa"/>
          </w:tcPr>
          <w:p w:rsidR="0035796E" w:rsidRDefault="0035796E" w:rsidP="00E61AB7">
            <w:pPr>
              <w:pStyle w:val="NoSpacing"/>
            </w:pPr>
            <w:r>
              <w:t>Decreasing</w:t>
            </w:r>
          </w:p>
        </w:tc>
      </w:tr>
    </w:tbl>
    <w:p w:rsidR="0035796E" w:rsidRDefault="0035796E" w:rsidP="0035796E">
      <w:pPr>
        <w:pStyle w:val="NoSpacing"/>
      </w:pPr>
      <w:r w:rsidRPr="00321EAF">
        <w:t>*Annual percentage change</w:t>
      </w:r>
      <w:r>
        <w:t xml:space="preserve"> based on </w:t>
      </w:r>
      <w:proofErr w:type="spellStart"/>
      <w:r>
        <w:t>Joinpoint</w:t>
      </w:r>
      <w:proofErr w:type="spellEnd"/>
      <w:r>
        <w:t xml:space="preserve"> analysis</w:t>
      </w:r>
      <w:r w:rsidRPr="00321EAF">
        <w:t xml:space="preserve"> is significantly different than zero</w:t>
      </w:r>
    </w:p>
    <w:p w:rsidR="0035796E" w:rsidRPr="00321EAF" w:rsidRDefault="0035796E" w:rsidP="0035796E">
      <w:pPr>
        <w:pStyle w:val="NoSpacing"/>
      </w:pPr>
      <w:r>
        <w:t xml:space="preserve">† In contrast to the results using the </w:t>
      </w:r>
      <w:proofErr w:type="spellStart"/>
      <w:r>
        <w:t>Joinpoint</w:t>
      </w:r>
      <w:proofErr w:type="spellEnd"/>
      <w:r>
        <w:t xml:space="preserve"> comparison test which found no change in trend, the sensitivity analysis using AHRQ criteria for a change in disparity found a significantly decreasing trend (i.e., agreed with the main analysis).</w:t>
      </w:r>
    </w:p>
    <w:p w:rsidR="0035796E" w:rsidRDefault="0035796E" w:rsidP="0035796E">
      <w:pPr>
        <w:pStyle w:val="NoSpacing"/>
      </w:pPr>
    </w:p>
    <w:p w:rsidR="001141FB" w:rsidRDefault="001141FB" w:rsidP="0035796E">
      <w:pPr>
        <w:pStyle w:val="NoSpacing"/>
        <w:rPr>
          <w:u w:val="single"/>
        </w:rPr>
      </w:pPr>
    </w:p>
    <w:p w:rsidR="001141FB" w:rsidRDefault="001141FB" w:rsidP="0035796E">
      <w:pPr>
        <w:pStyle w:val="NoSpacing"/>
        <w:rPr>
          <w:u w:val="single"/>
        </w:rPr>
      </w:pPr>
    </w:p>
    <w:p w:rsidR="0035796E" w:rsidRDefault="0035796E" w:rsidP="0035796E">
      <w:pPr>
        <w:pStyle w:val="NoSpacing"/>
        <w:rPr>
          <w:u w:val="single"/>
        </w:rPr>
      </w:pPr>
      <w:r w:rsidRPr="00F8628E">
        <w:rPr>
          <w:u w:val="single"/>
        </w:rPr>
        <w:t>Asthma Hospitalizations:</w:t>
      </w:r>
    </w:p>
    <w:p w:rsidR="0035796E" w:rsidRDefault="0035796E" w:rsidP="0035796E">
      <w:pPr>
        <w:pStyle w:val="NoSpacing"/>
      </w:pPr>
      <w:r>
        <w:tab/>
        <w:t>In the main analysis, records with missing race were excluded because NCHS did not provide imputed values.  Below is a comparison of results where records with missing race were included with white race as the most conservative estimate of disparities.  This inclusion of all unknown race records into the white category increased white hospital PBRs and ARRs and decreased disparities.  However, the conclusion of whether trends in PBR or ARR disparities changed matched those of the main analysis.</w:t>
      </w:r>
    </w:p>
    <w:p w:rsidR="0035796E" w:rsidRDefault="0035796E" w:rsidP="0035796E">
      <w:pPr>
        <w:pStyle w:val="NoSpacing"/>
      </w:pPr>
    </w:p>
    <w:p w:rsidR="0035796E" w:rsidRDefault="0035796E" w:rsidP="0035796E">
      <w:pPr>
        <w:pStyle w:val="NoSpacing"/>
      </w:pPr>
      <w:r>
        <w:t>Figure B: Population-based rates and at risk rates for asthma hospitalizations, and average annual percent change (APC) among children</w:t>
      </w:r>
      <w:r w:rsidRPr="00321EAF">
        <w:t xml:space="preserve"> 0-17 years</w:t>
      </w:r>
      <w:r>
        <w:t xml:space="preserve"> with unknown race included with white race</w:t>
      </w:r>
    </w:p>
    <w:p w:rsidR="0035796E" w:rsidRPr="00321EAF" w:rsidRDefault="0035796E" w:rsidP="0035796E">
      <w:pPr>
        <w:pStyle w:val="NoSpacing"/>
      </w:pPr>
      <w:bookmarkStart w:id="0" w:name="_GoBack"/>
      <w:bookmarkEnd w:id="0"/>
    </w:p>
    <w:p w:rsidR="0035796E" w:rsidRDefault="0035796E" w:rsidP="0035796E">
      <w:pPr>
        <w:pStyle w:val="NoSpacing"/>
      </w:pPr>
      <w:r w:rsidRPr="00321EAF">
        <w:t>Source: National Hospital Discharge Survey</w:t>
      </w:r>
    </w:p>
    <w:p w:rsidR="0035796E" w:rsidRDefault="0035796E" w:rsidP="0035796E">
      <w:pPr>
        <w:pStyle w:val="NoSpacing"/>
      </w:pPr>
    </w:p>
    <w:p w:rsidR="0035796E" w:rsidRPr="001C7A74" w:rsidRDefault="0035796E" w:rsidP="0035796E">
      <w:pPr>
        <w:pStyle w:val="NoSpacing"/>
      </w:pPr>
      <w:r w:rsidRPr="001C7A74">
        <w:t>Table B: Asthma hospitalization rates: Comparison of PBR and ARR annual percent change and disparity trend between sensitivity and main analysis</w:t>
      </w:r>
    </w:p>
    <w:tbl>
      <w:tblPr>
        <w:tblStyle w:val="TableGrid"/>
        <w:tblW w:w="0" w:type="auto"/>
        <w:tblLook w:val="04A0" w:firstRow="1" w:lastRow="0" w:firstColumn="1" w:lastColumn="0" w:noHBand="0" w:noVBand="1"/>
      </w:tblPr>
      <w:tblGrid>
        <w:gridCol w:w="3528"/>
        <w:gridCol w:w="3060"/>
        <w:gridCol w:w="2880"/>
      </w:tblGrid>
      <w:tr w:rsidR="0035796E" w:rsidTr="00E61AB7">
        <w:tc>
          <w:tcPr>
            <w:tcW w:w="3528" w:type="dxa"/>
          </w:tcPr>
          <w:p w:rsidR="0035796E" w:rsidRDefault="0035796E" w:rsidP="00E61AB7">
            <w:pPr>
              <w:pStyle w:val="NoSpacing"/>
            </w:pPr>
          </w:p>
        </w:tc>
        <w:tc>
          <w:tcPr>
            <w:tcW w:w="3060" w:type="dxa"/>
          </w:tcPr>
          <w:p w:rsidR="0035796E" w:rsidRDefault="0035796E" w:rsidP="00E61AB7">
            <w:pPr>
              <w:pStyle w:val="NoSpacing"/>
            </w:pPr>
            <w:r>
              <w:t>Sensitivity analysis</w:t>
            </w:r>
          </w:p>
        </w:tc>
        <w:tc>
          <w:tcPr>
            <w:tcW w:w="2880" w:type="dxa"/>
          </w:tcPr>
          <w:p w:rsidR="0035796E" w:rsidRDefault="0035796E" w:rsidP="00E61AB7">
            <w:pPr>
              <w:pStyle w:val="NoSpacing"/>
            </w:pPr>
            <w:r>
              <w:t>Main analysis</w:t>
            </w:r>
          </w:p>
        </w:tc>
      </w:tr>
      <w:tr w:rsidR="0035796E" w:rsidTr="00E61AB7">
        <w:tc>
          <w:tcPr>
            <w:tcW w:w="9468" w:type="dxa"/>
            <w:gridSpan w:val="3"/>
          </w:tcPr>
          <w:p w:rsidR="0035796E" w:rsidRDefault="0035796E" w:rsidP="00E61AB7">
            <w:pPr>
              <w:pStyle w:val="NoSpacing"/>
            </w:pPr>
            <w:r>
              <w:lastRenderedPageBreak/>
              <w:t>Population-base rate</w:t>
            </w:r>
          </w:p>
        </w:tc>
      </w:tr>
      <w:tr w:rsidR="0035796E" w:rsidTr="00E61AB7">
        <w:tc>
          <w:tcPr>
            <w:tcW w:w="3528" w:type="dxa"/>
          </w:tcPr>
          <w:p w:rsidR="0035796E" w:rsidRDefault="0035796E" w:rsidP="00E61AB7">
            <w:pPr>
              <w:pStyle w:val="NoSpacing"/>
            </w:pPr>
            <w:r>
              <w:t xml:space="preserve">  White</w:t>
            </w:r>
          </w:p>
        </w:tc>
        <w:tc>
          <w:tcPr>
            <w:tcW w:w="3060" w:type="dxa"/>
          </w:tcPr>
          <w:p w:rsidR="0035796E" w:rsidRDefault="0035796E" w:rsidP="00E61AB7">
            <w:pPr>
              <w:pStyle w:val="NoSpacing"/>
            </w:pPr>
            <w:r>
              <w:t>-4.3%*</w:t>
            </w:r>
          </w:p>
        </w:tc>
        <w:tc>
          <w:tcPr>
            <w:tcW w:w="2880" w:type="dxa"/>
          </w:tcPr>
          <w:p w:rsidR="0035796E" w:rsidRDefault="0035796E" w:rsidP="00E61AB7">
            <w:pPr>
              <w:pStyle w:val="NoSpacing"/>
            </w:pPr>
            <w:r>
              <w:t>-6.2%*</w:t>
            </w:r>
          </w:p>
        </w:tc>
      </w:tr>
      <w:tr w:rsidR="0035796E" w:rsidTr="00E61AB7">
        <w:tc>
          <w:tcPr>
            <w:tcW w:w="3528" w:type="dxa"/>
          </w:tcPr>
          <w:p w:rsidR="0035796E" w:rsidRDefault="0035796E" w:rsidP="00E61AB7">
            <w:pPr>
              <w:pStyle w:val="NoSpacing"/>
            </w:pPr>
            <w:r>
              <w:t xml:space="preserve">  Black</w:t>
            </w:r>
          </w:p>
        </w:tc>
        <w:tc>
          <w:tcPr>
            <w:tcW w:w="3060" w:type="dxa"/>
          </w:tcPr>
          <w:p w:rsidR="0035796E" w:rsidRDefault="0035796E" w:rsidP="00E61AB7">
            <w:pPr>
              <w:pStyle w:val="NoSpacing"/>
            </w:pPr>
            <w:r>
              <w:t>-7.6%*</w:t>
            </w:r>
          </w:p>
        </w:tc>
        <w:tc>
          <w:tcPr>
            <w:tcW w:w="2880" w:type="dxa"/>
          </w:tcPr>
          <w:p w:rsidR="0035796E" w:rsidRDefault="0035796E" w:rsidP="00E61AB7">
            <w:pPr>
              <w:pStyle w:val="NoSpacing"/>
            </w:pPr>
            <w:r>
              <w:t>-7.6%*</w:t>
            </w:r>
          </w:p>
        </w:tc>
      </w:tr>
      <w:tr w:rsidR="0035796E" w:rsidTr="00E61AB7">
        <w:tc>
          <w:tcPr>
            <w:tcW w:w="3528" w:type="dxa"/>
          </w:tcPr>
          <w:p w:rsidR="0035796E" w:rsidRDefault="0035796E" w:rsidP="00E61AB7">
            <w:pPr>
              <w:pStyle w:val="NoSpacing"/>
            </w:pPr>
            <w:r>
              <w:t xml:space="preserve"> Change in disparity trend</w:t>
            </w:r>
          </w:p>
        </w:tc>
        <w:tc>
          <w:tcPr>
            <w:tcW w:w="3060" w:type="dxa"/>
          </w:tcPr>
          <w:p w:rsidR="0035796E" w:rsidRDefault="0035796E" w:rsidP="00E61AB7">
            <w:pPr>
              <w:pStyle w:val="NoSpacing"/>
            </w:pPr>
            <w:r>
              <w:t>None</w:t>
            </w:r>
          </w:p>
        </w:tc>
        <w:tc>
          <w:tcPr>
            <w:tcW w:w="2880" w:type="dxa"/>
          </w:tcPr>
          <w:p w:rsidR="0035796E" w:rsidRDefault="0035796E" w:rsidP="00E61AB7">
            <w:pPr>
              <w:pStyle w:val="NoSpacing"/>
            </w:pPr>
            <w:r>
              <w:t>None</w:t>
            </w:r>
          </w:p>
        </w:tc>
      </w:tr>
      <w:tr w:rsidR="0035796E" w:rsidTr="00E61AB7">
        <w:tc>
          <w:tcPr>
            <w:tcW w:w="9468" w:type="dxa"/>
            <w:gridSpan w:val="3"/>
          </w:tcPr>
          <w:p w:rsidR="0035796E" w:rsidRDefault="0035796E" w:rsidP="00E61AB7">
            <w:pPr>
              <w:pStyle w:val="NoSpacing"/>
            </w:pPr>
            <w:r>
              <w:t>At-risk rate</w:t>
            </w:r>
          </w:p>
        </w:tc>
      </w:tr>
      <w:tr w:rsidR="0035796E" w:rsidTr="00E61AB7">
        <w:tc>
          <w:tcPr>
            <w:tcW w:w="3528" w:type="dxa"/>
          </w:tcPr>
          <w:p w:rsidR="0035796E" w:rsidRDefault="0035796E" w:rsidP="00E61AB7">
            <w:pPr>
              <w:pStyle w:val="NoSpacing"/>
            </w:pPr>
            <w:r>
              <w:t xml:space="preserve">  White</w:t>
            </w:r>
          </w:p>
        </w:tc>
        <w:tc>
          <w:tcPr>
            <w:tcW w:w="3060" w:type="dxa"/>
          </w:tcPr>
          <w:p w:rsidR="0035796E" w:rsidRDefault="0035796E" w:rsidP="00E61AB7">
            <w:pPr>
              <w:pStyle w:val="NoSpacing"/>
            </w:pPr>
            <w:r>
              <w:t>-5.1%*</w:t>
            </w:r>
          </w:p>
        </w:tc>
        <w:tc>
          <w:tcPr>
            <w:tcW w:w="2880" w:type="dxa"/>
          </w:tcPr>
          <w:p w:rsidR="0035796E" w:rsidRDefault="0035796E" w:rsidP="00E61AB7">
            <w:pPr>
              <w:pStyle w:val="NoSpacing"/>
            </w:pPr>
            <w:r>
              <w:t>-7.0%*</w:t>
            </w:r>
          </w:p>
        </w:tc>
      </w:tr>
      <w:tr w:rsidR="0035796E" w:rsidTr="00E61AB7">
        <w:tc>
          <w:tcPr>
            <w:tcW w:w="3528" w:type="dxa"/>
          </w:tcPr>
          <w:p w:rsidR="0035796E" w:rsidRDefault="0035796E" w:rsidP="00E61AB7">
            <w:pPr>
              <w:pStyle w:val="NoSpacing"/>
            </w:pPr>
            <w:r>
              <w:t xml:space="preserve">  Black</w:t>
            </w:r>
          </w:p>
        </w:tc>
        <w:tc>
          <w:tcPr>
            <w:tcW w:w="3060" w:type="dxa"/>
          </w:tcPr>
          <w:p w:rsidR="0035796E" w:rsidRDefault="0035796E" w:rsidP="00E61AB7">
            <w:pPr>
              <w:pStyle w:val="NoSpacing"/>
            </w:pPr>
            <w:r>
              <w:t>-11.7%*</w:t>
            </w:r>
          </w:p>
        </w:tc>
        <w:tc>
          <w:tcPr>
            <w:tcW w:w="2880" w:type="dxa"/>
          </w:tcPr>
          <w:p w:rsidR="0035796E" w:rsidRDefault="0035796E" w:rsidP="00E61AB7">
            <w:pPr>
              <w:pStyle w:val="NoSpacing"/>
            </w:pPr>
            <w:r>
              <w:t>-11.7%*</w:t>
            </w:r>
          </w:p>
        </w:tc>
      </w:tr>
      <w:tr w:rsidR="0035796E" w:rsidTr="00E61AB7">
        <w:tc>
          <w:tcPr>
            <w:tcW w:w="3528" w:type="dxa"/>
          </w:tcPr>
          <w:p w:rsidR="0035796E" w:rsidRDefault="0035796E" w:rsidP="00E61AB7">
            <w:pPr>
              <w:pStyle w:val="NoSpacing"/>
            </w:pPr>
            <w:r>
              <w:t xml:space="preserve"> Change in disparity trend</w:t>
            </w:r>
          </w:p>
        </w:tc>
        <w:tc>
          <w:tcPr>
            <w:tcW w:w="3060" w:type="dxa"/>
          </w:tcPr>
          <w:p w:rsidR="0035796E" w:rsidRDefault="0035796E" w:rsidP="00E61AB7">
            <w:pPr>
              <w:pStyle w:val="NoSpacing"/>
            </w:pPr>
            <w:r>
              <w:t>Decreasing</w:t>
            </w:r>
          </w:p>
        </w:tc>
        <w:tc>
          <w:tcPr>
            <w:tcW w:w="2880" w:type="dxa"/>
          </w:tcPr>
          <w:p w:rsidR="0035796E" w:rsidRDefault="0035796E" w:rsidP="00E61AB7">
            <w:pPr>
              <w:pStyle w:val="NoSpacing"/>
            </w:pPr>
            <w:r>
              <w:t>Decreasing</w:t>
            </w:r>
          </w:p>
        </w:tc>
      </w:tr>
    </w:tbl>
    <w:p w:rsidR="0035796E" w:rsidRDefault="0035796E" w:rsidP="0035796E">
      <w:pPr>
        <w:pStyle w:val="NoSpacing"/>
      </w:pPr>
      <w:r w:rsidRPr="00321EAF">
        <w:t>*Annual percentage change is significantly different than zero</w:t>
      </w:r>
    </w:p>
    <w:p w:rsidR="005C5DD6" w:rsidRDefault="001141FB"/>
    <w:sectPr w:rsidR="005C5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6E"/>
    <w:rsid w:val="001141FB"/>
    <w:rsid w:val="002624D7"/>
    <w:rsid w:val="0035796E"/>
    <w:rsid w:val="003A02DC"/>
    <w:rsid w:val="0041263C"/>
    <w:rsid w:val="00E9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96E"/>
    <w:pPr>
      <w:spacing w:after="0" w:line="240" w:lineRule="auto"/>
    </w:pPr>
  </w:style>
  <w:style w:type="paragraph" w:styleId="NormalWeb">
    <w:name w:val="Normal (Web)"/>
    <w:basedOn w:val="Normal"/>
    <w:uiPriority w:val="99"/>
    <w:semiHidden/>
    <w:unhideWhenUsed/>
    <w:rsid w:val="0035796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357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96E"/>
    <w:pPr>
      <w:spacing w:after="0" w:line="240" w:lineRule="auto"/>
    </w:pPr>
  </w:style>
  <w:style w:type="paragraph" w:styleId="NormalWeb">
    <w:name w:val="Normal (Web)"/>
    <w:basedOn w:val="Normal"/>
    <w:uiPriority w:val="99"/>
    <w:semiHidden/>
    <w:unhideWhenUsed/>
    <w:rsid w:val="0035796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357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dc:creator>
  <cp:lastModifiedBy>LJA</cp:lastModifiedBy>
  <cp:revision>2</cp:revision>
  <dcterms:created xsi:type="dcterms:W3CDTF">2014-05-23T20:27:00Z</dcterms:created>
  <dcterms:modified xsi:type="dcterms:W3CDTF">2014-05-23T20:27:00Z</dcterms:modified>
</cp:coreProperties>
</file>