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12D64" w14:textId="77777777" w:rsidR="00904D55" w:rsidRDefault="00E27330" w:rsidP="00904D55">
      <w:pPr>
        <w:rPr>
          <w:rFonts w:ascii="Times New Roman" w:hAnsi="Times New Roman" w:cs="Times New Roman"/>
          <w:sz w:val="24"/>
          <w:szCs w:val="24"/>
        </w:rPr>
      </w:pPr>
      <w:r>
        <w:rPr>
          <w:rFonts w:cs="Times New Roman"/>
          <w:sz w:val="24"/>
          <w:szCs w:val="24"/>
        </w:rPr>
        <w:t>Supplemental Figure 1</w:t>
      </w:r>
      <w:r w:rsidR="00904D55" w:rsidRPr="005B6EC5">
        <w:rPr>
          <w:rFonts w:cs="Times New Roman"/>
          <w:sz w:val="24"/>
          <w:szCs w:val="24"/>
        </w:rPr>
        <w:t>: Percentage of children 2-17 years with and without asthma receiving influenza vaccination, by influenza season (Approach 2)</w:t>
      </w:r>
      <w:r w:rsidR="00904D55" w:rsidRPr="005B6EC5" w:rsidDel="009754AB">
        <w:rPr>
          <w:rFonts w:cs="Times New Roman"/>
          <w:sz w:val="24"/>
          <w:szCs w:val="24"/>
        </w:rPr>
        <w:t xml:space="preserve"> </w:t>
      </w:r>
      <w:r w:rsidR="00904D55">
        <w:rPr>
          <w:rFonts w:ascii="Times New Roman" w:hAnsi="Times New Roman" w:cs="Times New Roman"/>
          <w:noProof/>
          <w:sz w:val="24"/>
          <w:szCs w:val="24"/>
        </w:rPr>
        <w:drawing>
          <wp:inline distT="0" distB="0" distL="0" distR="0" wp14:anchorId="6443396F" wp14:editId="01FF3656">
            <wp:extent cx="8785860" cy="5120640"/>
            <wp:effectExtent l="0" t="0" r="1524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175ADB" w14:textId="77777777" w:rsidR="00904D55" w:rsidRDefault="00904D55" w:rsidP="00904D55">
      <w:pPr>
        <w:rPr>
          <w:rFonts w:ascii="Times New Roman" w:hAnsi="Times New Roman" w:cs="Times New Roman"/>
          <w:sz w:val="24"/>
          <w:szCs w:val="24"/>
          <w14:textOutline w14:w="9525" w14:cap="rnd" w14:cmpd="sng" w14:algn="ctr">
            <w14:noFill/>
            <w14:prstDash w14:val="solid"/>
            <w14:bevel/>
          </w14:textOutline>
        </w:rPr>
      </w:pPr>
    </w:p>
    <w:p w14:paraId="60052B0B" w14:textId="4505711B" w:rsidR="00904D55" w:rsidRPr="005B6EC5" w:rsidRDefault="00904D55" w:rsidP="00904D55">
      <w:pPr>
        <w:rPr>
          <w:rFonts w:cs="Times New Roman"/>
          <w:sz w:val="24"/>
          <w:szCs w:val="24"/>
          <w14:textOutline w14:w="9525" w14:cap="rnd" w14:cmpd="sng" w14:algn="ctr">
            <w14:noFill/>
            <w14:prstDash w14:val="solid"/>
            <w14:bevel/>
          </w14:textOutline>
        </w:rPr>
        <w:sectPr w:rsidR="00904D55" w:rsidRPr="005B6EC5" w:rsidSect="00DE431E">
          <w:pgSz w:w="15840" w:h="12240" w:orient="landscape"/>
          <w:pgMar w:top="1080" w:right="1080" w:bottom="1080" w:left="1080" w:header="720" w:footer="720" w:gutter="0"/>
          <w:cols w:space="720"/>
          <w:docGrid w:linePitch="360"/>
        </w:sectPr>
      </w:pPr>
      <w:r w:rsidRPr="005B6EC5">
        <w:rPr>
          <w:rFonts w:cs="Times New Roman"/>
          <w:sz w:val="24"/>
          <w:szCs w:val="24"/>
        </w:rPr>
        <w:lastRenderedPageBreak/>
        <w:t>Notes: Each time point represents a mutually exclusive influenza season.  Data are from National Health Interview Survey interviews from August through July and were used to assess vaccinations during each influenza season (August through May).  For influenza season 2004-2005, interview dates started in January of 2005 when the first questions about vaccination were added to NHIS.  Gray lines represent 95% point-wise confidence intervals.</w:t>
      </w:r>
      <w:r w:rsidR="003D149D">
        <w:rPr>
          <w:rFonts w:cs="Times New Roman"/>
          <w:sz w:val="24"/>
          <w:szCs w:val="24"/>
        </w:rPr>
        <w:t xml:space="preserve">  The percentage of all children 2-17 years of age with asthma ranged from </w:t>
      </w:r>
      <w:r w:rsidR="00D15FE5">
        <w:rPr>
          <w:rFonts w:cs="Times New Roman"/>
          <w:sz w:val="24"/>
          <w:szCs w:val="24"/>
        </w:rPr>
        <w:t>9.5</w:t>
      </w:r>
      <w:r w:rsidR="003D149D">
        <w:rPr>
          <w:rFonts w:cs="Times New Roman"/>
          <w:sz w:val="24"/>
          <w:szCs w:val="24"/>
        </w:rPr>
        <w:t xml:space="preserve">% in during the 2006-2007 influenza season to </w:t>
      </w:r>
      <w:r w:rsidR="00D15FE5">
        <w:rPr>
          <w:rFonts w:cs="Times New Roman"/>
          <w:sz w:val="24"/>
          <w:szCs w:val="24"/>
        </w:rPr>
        <w:t>10.8</w:t>
      </w:r>
      <w:r w:rsidR="003D149D">
        <w:rPr>
          <w:rFonts w:cs="Times New Roman"/>
          <w:sz w:val="24"/>
          <w:szCs w:val="24"/>
        </w:rPr>
        <w:t>% during the 2008-2009 influenza season.</w:t>
      </w:r>
      <w:bookmarkStart w:id="0" w:name="_GoBack"/>
      <w:bookmarkEnd w:id="0"/>
    </w:p>
    <w:p w14:paraId="41513AA2" w14:textId="77777777" w:rsidR="00DC57CC" w:rsidRDefault="00DC57CC"/>
    <w:sectPr w:rsidR="00DC57CC" w:rsidSect="00904D5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D2C0A" w14:textId="77777777" w:rsidR="00904D55" w:rsidRDefault="00904D55" w:rsidP="008B5D54">
      <w:pPr>
        <w:spacing w:after="0" w:line="240" w:lineRule="auto"/>
      </w:pPr>
      <w:r>
        <w:separator/>
      </w:r>
    </w:p>
  </w:endnote>
  <w:endnote w:type="continuationSeparator" w:id="0">
    <w:p w14:paraId="38D90015" w14:textId="77777777" w:rsidR="00904D55" w:rsidRDefault="00904D5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912C"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18906"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9F6D"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FDCBE" w14:textId="77777777" w:rsidR="00904D55" w:rsidRDefault="00904D55" w:rsidP="008B5D54">
      <w:pPr>
        <w:spacing w:after="0" w:line="240" w:lineRule="auto"/>
      </w:pPr>
      <w:r>
        <w:separator/>
      </w:r>
    </w:p>
  </w:footnote>
  <w:footnote w:type="continuationSeparator" w:id="0">
    <w:p w14:paraId="599EEE41" w14:textId="77777777" w:rsidR="00904D55" w:rsidRDefault="00904D55"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22AD6"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92176"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9DFA"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55"/>
    <w:rsid w:val="00391D52"/>
    <w:rsid w:val="003D149D"/>
    <w:rsid w:val="006C6578"/>
    <w:rsid w:val="008B5D54"/>
    <w:rsid w:val="00904D55"/>
    <w:rsid w:val="00923767"/>
    <w:rsid w:val="00B17A0C"/>
    <w:rsid w:val="00B55735"/>
    <w:rsid w:val="00B608AC"/>
    <w:rsid w:val="00D15FE5"/>
    <w:rsid w:val="00DC57CC"/>
    <w:rsid w:val="00E27330"/>
    <w:rsid w:val="00E8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6E930"/>
  <w15:chartTrackingRefBased/>
  <w15:docId w15:val="{5F1805D0-1342-4077-9B9E-832906CE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391D52"/>
    <w:rPr>
      <w:sz w:val="16"/>
      <w:szCs w:val="16"/>
    </w:rPr>
  </w:style>
  <w:style w:type="paragraph" w:styleId="CommentText">
    <w:name w:val="annotation text"/>
    <w:basedOn w:val="Normal"/>
    <w:link w:val="CommentTextChar"/>
    <w:uiPriority w:val="99"/>
    <w:semiHidden/>
    <w:unhideWhenUsed/>
    <w:rsid w:val="00391D52"/>
    <w:pPr>
      <w:spacing w:line="240" w:lineRule="auto"/>
    </w:pPr>
    <w:rPr>
      <w:sz w:val="20"/>
      <w:szCs w:val="20"/>
    </w:rPr>
  </w:style>
  <w:style w:type="character" w:customStyle="1" w:styleId="CommentTextChar">
    <w:name w:val="Comment Text Char"/>
    <w:basedOn w:val="DefaultParagraphFont"/>
    <w:link w:val="CommentText"/>
    <w:uiPriority w:val="99"/>
    <w:semiHidden/>
    <w:rsid w:val="00391D52"/>
    <w:rPr>
      <w:sz w:val="20"/>
      <w:szCs w:val="20"/>
    </w:rPr>
  </w:style>
  <w:style w:type="paragraph" w:styleId="CommentSubject">
    <w:name w:val="annotation subject"/>
    <w:basedOn w:val="CommentText"/>
    <w:next w:val="CommentText"/>
    <w:link w:val="CommentSubjectChar"/>
    <w:uiPriority w:val="99"/>
    <w:semiHidden/>
    <w:unhideWhenUsed/>
    <w:rsid w:val="00391D52"/>
    <w:rPr>
      <w:b/>
      <w:bCs/>
    </w:rPr>
  </w:style>
  <w:style w:type="character" w:customStyle="1" w:styleId="CommentSubjectChar">
    <w:name w:val="Comment Subject Char"/>
    <w:basedOn w:val="CommentTextChar"/>
    <w:link w:val="CommentSubject"/>
    <w:uiPriority w:val="99"/>
    <w:semiHidden/>
    <w:rsid w:val="00391D52"/>
    <w:rPr>
      <w:b/>
      <w:bCs/>
      <w:sz w:val="20"/>
      <w:szCs w:val="20"/>
    </w:rPr>
  </w:style>
  <w:style w:type="paragraph" w:styleId="BalloonText">
    <w:name w:val="Balloon Text"/>
    <w:basedOn w:val="Normal"/>
    <w:link w:val="BalloonTextChar"/>
    <w:uiPriority w:val="99"/>
    <w:semiHidden/>
    <w:unhideWhenUsed/>
    <w:rsid w:val="00391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Asthma</c:v>
                </c:pt>
              </c:strCache>
            </c:strRef>
          </c:tx>
          <c:spPr>
            <a:ln w="28575" cap="rnd">
              <a:noFill/>
              <a:round/>
            </a:ln>
            <a:effectLst/>
          </c:spPr>
          <c:marker>
            <c:symbol val="circle"/>
            <c:size val="8"/>
            <c:spPr>
              <a:solidFill>
                <a:schemeClr val="tx1"/>
              </a:solidFill>
              <a:ln w="9525">
                <a:noFill/>
              </a:ln>
              <a:effectLst/>
            </c:spPr>
          </c:marker>
          <c:cat>
            <c:strRef>
              <c:f>Sheet1!$A$2:$A$10</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Sheet1!$B$2:$B$10</c:f>
              <c:numCache>
                <c:formatCode>General</c:formatCode>
                <c:ptCount val="9"/>
                <c:pt idx="0">
                  <c:v>31.631599999999999</c:v>
                </c:pt>
                <c:pt idx="1">
                  <c:v>30.8383</c:v>
                </c:pt>
                <c:pt idx="2">
                  <c:v>37.416499999999999</c:v>
                </c:pt>
                <c:pt idx="3">
                  <c:v>39.156599999999997</c:v>
                </c:pt>
                <c:pt idx="4">
                  <c:v>42.937899999999999</c:v>
                </c:pt>
                <c:pt idx="5">
                  <c:v>46.046300000000002</c:v>
                </c:pt>
                <c:pt idx="6">
                  <c:v>51.062100000000001</c:v>
                </c:pt>
                <c:pt idx="7">
                  <c:v>54.065399999999997</c:v>
                </c:pt>
                <c:pt idx="8">
                  <c:v>54.59</c:v>
                </c:pt>
              </c:numCache>
            </c:numRef>
          </c:val>
          <c:smooth val="0"/>
        </c:ser>
        <c:ser>
          <c:idx val="1"/>
          <c:order val="1"/>
          <c:tx>
            <c:strRef>
              <c:f>Sheet1!$C$1</c:f>
              <c:strCache>
                <c:ptCount val="1"/>
                <c:pt idx="0">
                  <c:v>Trend line for asthma </c:v>
                </c:pt>
              </c:strCache>
            </c:strRef>
          </c:tx>
          <c:spPr>
            <a:ln w="28575" cap="rnd">
              <a:solidFill>
                <a:schemeClr val="tx1"/>
              </a:solidFill>
              <a:prstDash val="dash"/>
              <a:round/>
            </a:ln>
            <a:effectLst/>
          </c:spPr>
          <c:marker>
            <c:symbol val="none"/>
          </c:marker>
          <c:cat>
            <c:strRef>
              <c:f>Sheet1!$A$2:$A$10</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Sheet1!$C$2:$C$10</c:f>
              <c:numCache>
                <c:formatCode>General</c:formatCode>
                <c:ptCount val="9"/>
                <c:pt idx="0">
                  <c:v>29.93</c:v>
                </c:pt>
                <c:pt idx="1">
                  <c:v>33.21</c:v>
                </c:pt>
                <c:pt idx="2">
                  <c:v>36.49</c:v>
                </c:pt>
                <c:pt idx="3">
                  <c:v>39.770000000000003</c:v>
                </c:pt>
                <c:pt idx="4">
                  <c:v>43.05</c:v>
                </c:pt>
                <c:pt idx="5">
                  <c:v>46.33</c:v>
                </c:pt>
                <c:pt idx="6">
                  <c:v>49.61</c:v>
                </c:pt>
                <c:pt idx="7">
                  <c:v>52.89</c:v>
                </c:pt>
                <c:pt idx="8">
                  <c:v>56.17</c:v>
                </c:pt>
              </c:numCache>
            </c:numRef>
          </c:val>
          <c:smooth val="0"/>
        </c:ser>
        <c:ser>
          <c:idx val="2"/>
          <c:order val="2"/>
          <c:tx>
            <c:strRef>
              <c:f>Sheet1!$D$1</c:f>
              <c:strCache>
                <c:ptCount val="1"/>
                <c:pt idx="0">
                  <c:v>No asthma </c:v>
                </c:pt>
              </c:strCache>
            </c:strRef>
          </c:tx>
          <c:spPr>
            <a:ln w="28575" cap="rnd">
              <a:noFill/>
              <a:round/>
            </a:ln>
            <a:effectLst/>
          </c:spPr>
          <c:marker>
            <c:symbol val="triangle"/>
            <c:size val="8"/>
            <c:spPr>
              <a:solidFill>
                <a:schemeClr val="tx1"/>
              </a:solidFill>
              <a:ln w="9525">
                <a:noFill/>
              </a:ln>
              <a:effectLst/>
            </c:spPr>
          </c:marker>
          <c:cat>
            <c:strRef>
              <c:f>Sheet1!$A$2:$A$10</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Sheet1!$D$2:$D$10</c:f>
              <c:numCache>
                <c:formatCode>General</c:formatCode>
                <c:ptCount val="9"/>
                <c:pt idx="0">
                  <c:v>11.3674</c:v>
                </c:pt>
                <c:pt idx="1">
                  <c:v>14.405799999999999</c:v>
                </c:pt>
                <c:pt idx="2">
                  <c:v>21.9239</c:v>
                </c:pt>
                <c:pt idx="3">
                  <c:v>23.536200000000001</c:v>
                </c:pt>
                <c:pt idx="4">
                  <c:v>28.8566</c:v>
                </c:pt>
                <c:pt idx="5">
                  <c:v>36.633499999999998</c:v>
                </c:pt>
                <c:pt idx="6">
                  <c:v>40.878</c:v>
                </c:pt>
                <c:pt idx="7">
                  <c:v>40.386299999999999</c:v>
                </c:pt>
                <c:pt idx="8">
                  <c:v>44.123800000000003</c:v>
                </c:pt>
              </c:numCache>
            </c:numRef>
          </c:val>
          <c:smooth val="0"/>
        </c:ser>
        <c:ser>
          <c:idx val="3"/>
          <c:order val="3"/>
          <c:tx>
            <c:strRef>
              <c:f>Sheet1!$E$1</c:f>
              <c:strCache>
                <c:ptCount val="1"/>
                <c:pt idx="0">
                  <c:v>Trend line for no asthma</c:v>
                </c:pt>
              </c:strCache>
            </c:strRef>
          </c:tx>
          <c:spPr>
            <a:ln w="28575" cap="rnd">
              <a:solidFill>
                <a:schemeClr val="tx1"/>
              </a:solidFill>
              <a:round/>
            </a:ln>
            <a:effectLst/>
          </c:spPr>
          <c:marker>
            <c:symbol val="none"/>
          </c:marker>
          <c:cat>
            <c:strRef>
              <c:f>Sheet1!$A$2:$A$10</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Sheet1!$E$2:$E$10</c:f>
              <c:numCache>
                <c:formatCode>General</c:formatCode>
                <c:ptCount val="9"/>
                <c:pt idx="0">
                  <c:v>11.335000000000001</c:v>
                </c:pt>
                <c:pt idx="1">
                  <c:v>15.75</c:v>
                </c:pt>
                <c:pt idx="2">
                  <c:v>20.164999999999999</c:v>
                </c:pt>
                <c:pt idx="3">
                  <c:v>24.58</c:v>
                </c:pt>
                <c:pt idx="4">
                  <c:v>28.994</c:v>
                </c:pt>
                <c:pt idx="5">
                  <c:v>33.408999999999999</c:v>
                </c:pt>
                <c:pt idx="6">
                  <c:v>37.823999999999998</c:v>
                </c:pt>
                <c:pt idx="7">
                  <c:v>42.238999999999997</c:v>
                </c:pt>
                <c:pt idx="8">
                  <c:v>46.654000000000003</c:v>
                </c:pt>
              </c:numCache>
            </c:numRef>
          </c:val>
          <c:smooth val="0"/>
        </c:ser>
        <c:ser>
          <c:idx val="4"/>
          <c:order val="4"/>
          <c:tx>
            <c:strRef>
              <c:f>Sheet1!$F$1</c:f>
              <c:strCache>
                <c:ptCount val="1"/>
                <c:pt idx="0">
                  <c:v>Asthma--early vaccinatiion</c:v>
                </c:pt>
              </c:strCache>
            </c:strRef>
          </c:tx>
          <c:spPr>
            <a:ln w="28575" cap="rnd">
              <a:noFill/>
              <a:round/>
            </a:ln>
            <a:effectLst/>
          </c:spPr>
          <c:marker>
            <c:symbol val="x"/>
            <c:size val="8"/>
            <c:spPr>
              <a:noFill/>
              <a:ln w="9525">
                <a:solidFill>
                  <a:schemeClr val="tx1"/>
                </a:solidFill>
              </a:ln>
              <a:effectLst/>
            </c:spPr>
          </c:marker>
          <c:cat>
            <c:strRef>
              <c:f>Sheet1!$A$2:$A$10</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Sheet1!$F$2:$F$10</c:f>
              <c:numCache>
                <c:formatCode>General</c:formatCode>
                <c:ptCount val="9"/>
                <c:pt idx="6">
                  <c:v>28.2</c:v>
                </c:pt>
                <c:pt idx="7">
                  <c:v>28.8</c:v>
                </c:pt>
                <c:pt idx="8">
                  <c:v>30.4</c:v>
                </c:pt>
              </c:numCache>
            </c:numRef>
          </c:val>
          <c:smooth val="0"/>
        </c:ser>
        <c:ser>
          <c:idx val="5"/>
          <c:order val="5"/>
          <c:tx>
            <c:strRef>
              <c:f>Sheet1!$G$1</c:f>
              <c:strCache>
                <c:ptCount val="1"/>
                <c:pt idx="0">
                  <c:v>No asthma early vaccination</c:v>
                </c:pt>
              </c:strCache>
            </c:strRef>
          </c:tx>
          <c:spPr>
            <a:ln w="28575" cap="rnd">
              <a:noFill/>
              <a:round/>
            </a:ln>
            <a:effectLst/>
          </c:spPr>
          <c:marker>
            <c:symbol val="diamond"/>
            <c:size val="8"/>
            <c:spPr>
              <a:solidFill>
                <a:sysClr val="windowText" lastClr="000000"/>
              </a:solidFill>
              <a:ln w="9525">
                <a:noFill/>
              </a:ln>
              <a:effectLst/>
            </c:spPr>
          </c:marker>
          <c:cat>
            <c:strRef>
              <c:f>Sheet1!$A$2:$A$10</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Sheet1!$G$2:$G$10</c:f>
              <c:numCache>
                <c:formatCode>General</c:formatCode>
                <c:ptCount val="9"/>
                <c:pt idx="6">
                  <c:v>22.7</c:v>
                </c:pt>
                <c:pt idx="7">
                  <c:v>23.5</c:v>
                </c:pt>
                <c:pt idx="8">
                  <c:v>24</c:v>
                </c:pt>
              </c:numCache>
            </c:numRef>
          </c:val>
          <c:smooth val="0"/>
        </c:ser>
        <c:ser>
          <c:idx val="6"/>
          <c:order val="6"/>
          <c:tx>
            <c:strRef>
              <c:f>Sheet1!$H$1</c:f>
              <c:strCache>
                <c:ptCount val="1"/>
                <c:pt idx="0">
                  <c:v>Asthma lower bound</c:v>
                </c:pt>
              </c:strCache>
            </c:strRef>
          </c:tx>
          <c:spPr>
            <a:ln w="28575" cap="rnd">
              <a:solidFill>
                <a:schemeClr val="tx1">
                  <a:alpha val="25000"/>
                </a:schemeClr>
              </a:solidFill>
              <a:prstDash val="dash"/>
              <a:round/>
            </a:ln>
            <a:effectLst/>
          </c:spPr>
          <c:marker>
            <c:symbol val="none"/>
          </c:marker>
          <c:cat>
            <c:strRef>
              <c:f>Sheet1!$A$2:$A$10</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Sheet1!$H$2:$H$10</c:f>
              <c:numCache>
                <c:formatCode>General</c:formatCode>
                <c:ptCount val="9"/>
                <c:pt idx="0">
                  <c:v>27.450389999999999</c:v>
                </c:pt>
                <c:pt idx="1">
                  <c:v>31.163720000000001</c:v>
                </c:pt>
                <c:pt idx="2">
                  <c:v>34.849179999999997</c:v>
                </c:pt>
                <c:pt idx="3">
                  <c:v>38.480179999999997</c:v>
                </c:pt>
                <c:pt idx="4">
                  <c:v>42.000489999999999</c:v>
                </c:pt>
                <c:pt idx="5">
                  <c:v>45.326909999999998</c:v>
                </c:pt>
                <c:pt idx="6">
                  <c:v>48.436019999999999</c:v>
                </c:pt>
                <c:pt idx="7">
                  <c:v>51.400829999999999</c:v>
                </c:pt>
                <c:pt idx="8">
                  <c:v>54.292670000000001</c:v>
                </c:pt>
              </c:numCache>
            </c:numRef>
          </c:val>
          <c:smooth val="0"/>
        </c:ser>
        <c:ser>
          <c:idx val="7"/>
          <c:order val="7"/>
          <c:tx>
            <c:strRef>
              <c:f>Sheet1!$I$1</c:f>
              <c:strCache>
                <c:ptCount val="1"/>
                <c:pt idx="0">
                  <c:v>Asthma upper bound</c:v>
                </c:pt>
              </c:strCache>
            </c:strRef>
          </c:tx>
          <c:spPr>
            <a:ln w="28575" cap="rnd">
              <a:solidFill>
                <a:schemeClr val="tx1">
                  <a:alpha val="25000"/>
                </a:schemeClr>
              </a:solidFill>
              <a:prstDash val="dash"/>
              <a:round/>
            </a:ln>
            <a:effectLst/>
          </c:spPr>
          <c:marker>
            <c:symbol val="none"/>
          </c:marker>
          <c:cat>
            <c:strRef>
              <c:f>Sheet1!$A$2:$A$10</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Sheet1!$I$2:$I$10</c:f>
              <c:numCache>
                <c:formatCode>General</c:formatCode>
                <c:ptCount val="9"/>
                <c:pt idx="0">
                  <c:v>32.409840000000003</c:v>
                </c:pt>
                <c:pt idx="1">
                  <c:v>35.255960000000002</c:v>
                </c:pt>
                <c:pt idx="2">
                  <c:v>38.129950000000001</c:v>
                </c:pt>
                <c:pt idx="3">
                  <c:v>41.058390000000003</c:v>
                </c:pt>
                <c:pt idx="4">
                  <c:v>44.097529999999999</c:v>
                </c:pt>
                <c:pt idx="5">
                  <c:v>47.330559999999998</c:v>
                </c:pt>
                <c:pt idx="6">
                  <c:v>50.780889999999999</c:v>
                </c:pt>
                <c:pt idx="7">
                  <c:v>54.375540000000001</c:v>
                </c:pt>
                <c:pt idx="8">
                  <c:v>58.043149999999997</c:v>
                </c:pt>
              </c:numCache>
            </c:numRef>
          </c:val>
          <c:smooth val="0"/>
        </c:ser>
        <c:ser>
          <c:idx val="8"/>
          <c:order val="8"/>
          <c:tx>
            <c:strRef>
              <c:f>Sheet1!$J$1</c:f>
              <c:strCache>
                <c:ptCount val="1"/>
                <c:pt idx="0">
                  <c:v>No asthma lower bound </c:v>
                </c:pt>
              </c:strCache>
            </c:strRef>
          </c:tx>
          <c:spPr>
            <a:ln w="28575" cap="rnd">
              <a:solidFill>
                <a:schemeClr val="tx1">
                  <a:alpha val="25000"/>
                </a:schemeClr>
              </a:solidFill>
              <a:prstDash val="sysDot"/>
              <a:round/>
            </a:ln>
            <a:effectLst/>
          </c:spPr>
          <c:marker>
            <c:symbol val="none"/>
          </c:marker>
          <c:cat>
            <c:strRef>
              <c:f>Sheet1!$A$2:$A$10</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Sheet1!$J$2:$J$10</c:f>
              <c:numCache>
                <c:formatCode>General</c:formatCode>
                <c:ptCount val="9"/>
                <c:pt idx="0">
                  <c:v>9.9987169999999992</c:v>
                </c:pt>
                <c:pt idx="1">
                  <c:v>14.645630000000001</c:v>
                </c:pt>
                <c:pt idx="2">
                  <c:v>19.108989999999999</c:v>
                </c:pt>
                <c:pt idx="3">
                  <c:v>23.366620000000001</c:v>
                </c:pt>
                <c:pt idx="4">
                  <c:v>27.481349999999999</c:v>
                </c:pt>
                <c:pt idx="5">
                  <c:v>31.520119999999999</c:v>
                </c:pt>
                <c:pt idx="6">
                  <c:v>35.51981</c:v>
                </c:pt>
                <c:pt idx="7">
                  <c:v>39.498139999999999</c:v>
                </c:pt>
                <c:pt idx="8">
                  <c:v>43.463850000000001</c:v>
                </c:pt>
              </c:numCache>
            </c:numRef>
          </c:val>
          <c:smooth val="0"/>
        </c:ser>
        <c:ser>
          <c:idx val="9"/>
          <c:order val="9"/>
          <c:tx>
            <c:strRef>
              <c:f>Sheet1!$K$1</c:f>
              <c:strCache>
                <c:ptCount val="1"/>
                <c:pt idx="0">
                  <c:v>No asthma upper bound </c:v>
                </c:pt>
              </c:strCache>
            </c:strRef>
          </c:tx>
          <c:spPr>
            <a:ln w="28575" cap="rnd">
              <a:solidFill>
                <a:schemeClr val="tx1">
                  <a:alpha val="25000"/>
                </a:schemeClr>
              </a:solidFill>
              <a:prstDash val="sysDot"/>
              <a:round/>
            </a:ln>
            <a:effectLst/>
          </c:spPr>
          <c:marker>
            <c:symbol val="none"/>
          </c:marker>
          <c:cat>
            <c:strRef>
              <c:f>Sheet1!$A$2:$A$10</c:f>
              <c:strCache>
                <c:ptCount val="9"/>
                <c:pt idx="0">
                  <c:v>2004-2005</c:v>
                </c:pt>
                <c:pt idx="1">
                  <c:v>2005-2006</c:v>
                </c:pt>
                <c:pt idx="2">
                  <c:v>2006-2007</c:v>
                </c:pt>
                <c:pt idx="3">
                  <c:v>2007-2008</c:v>
                </c:pt>
                <c:pt idx="4">
                  <c:v>2008-2009</c:v>
                </c:pt>
                <c:pt idx="5">
                  <c:v>2009-2010</c:v>
                </c:pt>
                <c:pt idx="6">
                  <c:v>2010-2011</c:v>
                </c:pt>
                <c:pt idx="7">
                  <c:v>2011-2012</c:v>
                </c:pt>
                <c:pt idx="8">
                  <c:v>2012-2013</c:v>
                </c:pt>
              </c:strCache>
            </c:strRef>
          </c:cat>
          <c:val>
            <c:numRef>
              <c:f>Sheet1!$K$2:$K$10</c:f>
              <c:numCache>
                <c:formatCode>General</c:formatCode>
                <c:ptCount val="9"/>
                <c:pt idx="0">
                  <c:v>12.671329999999999</c:v>
                </c:pt>
                <c:pt idx="1">
                  <c:v>16.854279999999999</c:v>
                </c:pt>
                <c:pt idx="2">
                  <c:v>21.220780000000001</c:v>
                </c:pt>
                <c:pt idx="3">
                  <c:v>25.793030000000002</c:v>
                </c:pt>
                <c:pt idx="4">
                  <c:v>30.508150000000001</c:v>
                </c:pt>
                <c:pt idx="5">
                  <c:v>35.299259999999997</c:v>
                </c:pt>
                <c:pt idx="6">
                  <c:v>40.129420000000003</c:v>
                </c:pt>
                <c:pt idx="7">
                  <c:v>44.980969999999999</c:v>
                </c:pt>
                <c:pt idx="8">
                  <c:v>49.845120000000001</c:v>
                </c:pt>
              </c:numCache>
            </c:numRef>
          </c:val>
          <c:smooth val="0"/>
        </c:ser>
        <c:dLbls>
          <c:showLegendKey val="0"/>
          <c:showVal val="0"/>
          <c:showCatName val="0"/>
          <c:showSerName val="0"/>
          <c:showPercent val="0"/>
          <c:showBubbleSize val="0"/>
        </c:dLbls>
        <c:marker val="1"/>
        <c:smooth val="0"/>
        <c:axId val="142481256"/>
        <c:axId val="142482040"/>
      </c:lineChart>
      <c:catAx>
        <c:axId val="14248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482040"/>
        <c:crosses val="autoZero"/>
        <c:auto val="1"/>
        <c:lblAlgn val="ctr"/>
        <c:lblOffset val="100"/>
        <c:noMultiLvlLbl val="0"/>
      </c:catAx>
      <c:valAx>
        <c:axId val="14248204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solidFill>
            <a:schemeClr val="bg1"/>
          </a:solid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42481256"/>
        <c:crosses val="autoZero"/>
        <c:crossBetween val="between"/>
      </c:valAx>
      <c:spPr>
        <a:noFill/>
        <a:ln>
          <a:noFill/>
        </a:ln>
        <a:effectLst/>
      </c:spPr>
    </c:plotArea>
    <c:legend>
      <c:legendPos val="b"/>
      <c:legendEntry>
        <c:idx val="6"/>
        <c:delete val="1"/>
      </c:legendEntry>
      <c:legendEntry>
        <c:idx val="7"/>
        <c:delete val="1"/>
      </c:legendEntry>
      <c:legendEntry>
        <c:idx val="8"/>
        <c:delete val="1"/>
      </c:legendEntry>
      <c:legendEntry>
        <c:idx val="9"/>
        <c:delete val="1"/>
      </c:legendEntry>
      <c:layout>
        <c:manualLayout>
          <c:xMode val="edge"/>
          <c:yMode val="edge"/>
          <c:x val="3.8268536034036488E-2"/>
          <c:y val="3.7077787151606117E-2"/>
          <c:w val="0.58521487936297645"/>
          <c:h val="0.154390466816647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79A49-761D-4755-913F-A1D56885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Alan (CDC/OPHSS/NCHS)</dc:creator>
  <cp:keywords/>
  <dc:description/>
  <cp:lastModifiedBy>Simon, Alan (CDC/OPHSS/NCHS)</cp:lastModifiedBy>
  <cp:revision>4</cp:revision>
  <dcterms:created xsi:type="dcterms:W3CDTF">2015-10-15T19:59:00Z</dcterms:created>
  <dcterms:modified xsi:type="dcterms:W3CDTF">2015-10-15T20:29:00Z</dcterms:modified>
</cp:coreProperties>
</file>