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4A" w:rsidRDefault="0080024A" w:rsidP="00F47C34">
      <w:pPr>
        <w:spacing w:after="0" w:line="480" w:lineRule="auto"/>
        <w:jc w:val="center"/>
        <w:rPr>
          <w:rFonts w:ascii="Times New Roman" w:hAnsi="Times New Roman"/>
          <w:b/>
          <w:sz w:val="24"/>
          <w:szCs w:val="24"/>
        </w:rPr>
      </w:pPr>
      <w:r>
        <w:rPr>
          <w:rFonts w:ascii="Times New Roman" w:hAnsi="Times New Roman"/>
          <w:b/>
          <w:sz w:val="24"/>
          <w:szCs w:val="24"/>
        </w:rPr>
        <w:t>On-line Supplementary Material</w:t>
      </w:r>
      <w:r w:rsidR="00F47C34">
        <w:rPr>
          <w:rFonts w:ascii="Times New Roman" w:hAnsi="Times New Roman"/>
          <w:b/>
          <w:sz w:val="24"/>
          <w:szCs w:val="24"/>
        </w:rPr>
        <w:t xml:space="preserve"> for</w:t>
      </w:r>
    </w:p>
    <w:p w:rsidR="00F47C34" w:rsidRPr="00F47C34" w:rsidRDefault="00F47C34" w:rsidP="00F47C34">
      <w:pPr>
        <w:spacing w:after="0"/>
        <w:jc w:val="center"/>
        <w:rPr>
          <w:rFonts w:ascii="Times New Roman" w:hAnsi="Times New Roman"/>
          <w:b/>
          <w:sz w:val="24"/>
          <w:szCs w:val="24"/>
        </w:rPr>
      </w:pPr>
      <w:r w:rsidRPr="00F47C34">
        <w:rPr>
          <w:rFonts w:ascii="Times New Roman" w:hAnsi="Times New Roman"/>
          <w:b/>
          <w:sz w:val="24"/>
          <w:szCs w:val="24"/>
        </w:rPr>
        <w:t xml:space="preserve">Advances in Inhalation </w:t>
      </w:r>
      <w:proofErr w:type="spellStart"/>
      <w:r w:rsidRPr="00F47C34">
        <w:rPr>
          <w:rFonts w:ascii="Times New Roman" w:hAnsi="Times New Roman"/>
          <w:b/>
          <w:sz w:val="24"/>
          <w:szCs w:val="24"/>
        </w:rPr>
        <w:t>Dosimetry</w:t>
      </w:r>
      <w:proofErr w:type="spellEnd"/>
      <w:r w:rsidRPr="00F47C34">
        <w:rPr>
          <w:rFonts w:ascii="Times New Roman" w:hAnsi="Times New Roman"/>
          <w:b/>
          <w:sz w:val="24"/>
          <w:szCs w:val="24"/>
        </w:rPr>
        <w:t xml:space="preserve"> Models and Methods for Occupational Risk Assessment and Exposure Limit Derivation,” by Eileen D. </w:t>
      </w:r>
      <w:proofErr w:type="spellStart"/>
      <w:r w:rsidRPr="00F47C34">
        <w:rPr>
          <w:rFonts w:ascii="Times New Roman" w:hAnsi="Times New Roman"/>
          <w:b/>
          <w:sz w:val="24"/>
          <w:szCs w:val="24"/>
        </w:rPr>
        <w:t>Kuempel</w:t>
      </w:r>
      <w:proofErr w:type="spellEnd"/>
      <w:r w:rsidRPr="00F47C34">
        <w:rPr>
          <w:rFonts w:ascii="Times New Roman" w:hAnsi="Times New Roman"/>
          <w:b/>
          <w:sz w:val="24"/>
          <w:szCs w:val="24"/>
        </w:rPr>
        <w:t xml:space="preserve">, PhD; Lisa M. Sweeney, PhD, DABT; John B. Morris, PhD; and Annie M. </w:t>
      </w:r>
      <w:proofErr w:type="spellStart"/>
      <w:r w:rsidRPr="00F47C34">
        <w:rPr>
          <w:rFonts w:ascii="Times New Roman" w:hAnsi="Times New Roman"/>
          <w:b/>
          <w:sz w:val="24"/>
          <w:szCs w:val="24"/>
        </w:rPr>
        <w:t>Jarabek</w:t>
      </w:r>
      <w:proofErr w:type="spellEnd"/>
      <w:r w:rsidRPr="00F47C34">
        <w:rPr>
          <w:rFonts w:ascii="Times New Roman" w:hAnsi="Times New Roman"/>
          <w:b/>
          <w:sz w:val="24"/>
          <w:szCs w:val="24"/>
        </w:rPr>
        <w:t>, BS</w:t>
      </w:r>
    </w:p>
    <w:p w:rsidR="00F47C34" w:rsidRDefault="00F47C34" w:rsidP="00DF7C9F">
      <w:pPr>
        <w:spacing w:after="0" w:line="480" w:lineRule="auto"/>
        <w:rPr>
          <w:rFonts w:ascii="Times New Roman" w:hAnsi="Times New Roman"/>
          <w:b/>
          <w:sz w:val="24"/>
          <w:szCs w:val="24"/>
        </w:rPr>
      </w:pPr>
    </w:p>
    <w:p w:rsidR="00DF7C9F" w:rsidRDefault="00DF7C9F" w:rsidP="00DF7C9F">
      <w:pPr>
        <w:spacing w:after="0" w:line="480" w:lineRule="auto"/>
        <w:rPr>
          <w:rFonts w:ascii="Times New Roman" w:hAnsi="Times New Roman"/>
          <w:b/>
          <w:sz w:val="24"/>
          <w:szCs w:val="24"/>
        </w:rPr>
      </w:pPr>
      <w:bookmarkStart w:id="0" w:name="_GoBack"/>
      <w:bookmarkEnd w:id="0"/>
      <w:proofErr w:type="gramStart"/>
      <w:r>
        <w:rPr>
          <w:rFonts w:ascii="Times New Roman" w:hAnsi="Times New Roman"/>
          <w:b/>
          <w:sz w:val="24"/>
          <w:szCs w:val="24"/>
        </w:rPr>
        <w:t>S-1.</w:t>
      </w:r>
      <w:proofErr w:type="gramEnd"/>
      <w:r>
        <w:rPr>
          <w:rFonts w:ascii="Times New Roman" w:hAnsi="Times New Roman"/>
          <w:b/>
          <w:sz w:val="24"/>
          <w:szCs w:val="24"/>
        </w:rPr>
        <w:t xml:space="preserve">  </w:t>
      </w:r>
      <w:r w:rsidR="00BF47DE">
        <w:rPr>
          <w:rFonts w:ascii="Times New Roman" w:hAnsi="Times New Roman"/>
          <w:b/>
          <w:sz w:val="24"/>
          <w:szCs w:val="24"/>
        </w:rPr>
        <w:t xml:space="preserve">Examples of </w:t>
      </w:r>
      <w:r>
        <w:rPr>
          <w:rFonts w:ascii="Times New Roman" w:hAnsi="Times New Roman"/>
          <w:b/>
          <w:sz w:val="24"/>
          <w:szCs w:val="24"/>
        </w:rPr>
        <w:t>Proposed Occupational Exposure Limits (OELs) and Guidance Values</w:t>
      </w:r>
      <w:r w:rsidR="00BF47DE">
        <w:rPr>
          <w:rFonts w:ascii="Times New Roman" w:hAnsi="Times New Roman"/>
          <w:b/>
          <w:sz w:val="24"/>
          <w:szCs w:val="24"/>
        </w:rPr>
        <w:t xml:space="preserve"> using PBPK Modeling</w:t>
      </w:r>
    </w:p>
    <w:p w:rsidR="00DF7C9F" w:rsidRDefault="00DF7C9F" w:rsidP="00DF7C9F">
      <w:pPr>
        <w:spacing w:after="0" w:line="480" w:lineRule="auto"/>
        <w:rPr>
          <w:rFonts w:ascii="Times New Roman" w:hAnsi="Times New Roman"/>
          <w:sz w:val="24"/>
          <w:szCs w:val="24"/>
        </w:rPr>
      </w:pPr>
      <w:r>
        <w:rPr>
          <w:rFonts w:ascii="Times New Roman" w:hAnsi="Times New Roman"/>
          <w:sz w:val="24"/>
          <w:szCs w:val="24"/>
        </w:rPr>
        <w:t xml:space="preserve">Other proposed occupational exposure limits (OEL) or guidance values have been developed using PBPK modeling which do not have the same authority as the OSHA PEL for </w:t>
      </w:r>
      <w:proofErr w:type="spellStart"/>
      <w:r>
        <w:rPr>
          <w:rFonts w:ascii="Times New Roman" w:hAnsi="Times New Roman"/>
          <w:sz w:val="24"/>
          <w:szCs w:val="24"/>
        </w:rPr>
        <w:t>methylene</w:t>
      </w:r>
      <w:proofErr w:type="spellEnd"/>
      <w:r>
        <w:rPr>
          <w:rFonts w:ascii="Times New Roman" w:hAnsi="Times New Roman"/>
          <w:sz w:val="24"/>
          <w:szCs w:val="24"/>
        </w:rPr>
        <w:t xml:space="preserve"> chloride (described in the main manuscript, “PBPK Model for Systemic Effects of Category 3 Gases:  Example of </w:t>
      </w:r>
      <w:proofErr w:type="spellStart"/>
      <w:r>
        <w:rPr>
          <w:rFonts w:ascii="Times New Roman" w:hAnsi="Times New Roman"/>
          <w:sz w:val="24"/>
          <w:szCs w:val="24"/>
        </w:rPr>
        <w:t>Methylene</w:t>
      </w:r>
      <w:proofErr w:type="spellEnd"/>
      <w:r>
        <w:rPr>
          <w:rFonts w:ascii="Times New Roman" w:hAnsi="Times New Roman"/>
          <w:sz w:val="24"/>
          <w:szCs w:val="24"/>
        </w:rPr>
        <w:t xml:space="preserve"> Chloride”), but nonetheless demonstrate how internal </w:t>
      </w:r>
      <w:proofErr w:type="spellStart"/>
      <w:r>
        <w:rPr>
          <w:rFonts w:ascii="Times New Roman" w:hAnsi="Times New Roman"/>
          <w:sz w:val="24"/>
          <w:szCs w:val="24"/>
        </w:rPr>
        <w:t>dosimetry</w:t>
      </w:r>
      <w:proofErr w:type="spellEnd"/>
      <w:r>
        <w:rPr>
          <w:rFonts w:ascii="Times New Roman" w:hAnsi="Times New Roman"/>
          <w:sz w:val="24"/>
          <w:szCs w:val="24"/>
        </w:rPr>
        <w:t xml:space="preserve"> can be used to characterize the risks from occupational inhalation exposure.  Examples of proposed occupational exposure limits published in the peer reviewed literature are described for the acute effects of trichloroethylene (TCE), developmental toxicity of glycol ethers, and three </w:t>
      </w:r>
      <w:proofErr w:type="gramStart"/>
      <w:r>
        <w:rPr>
          <w:rFonts w:ascii="Times New Roman" w:hAnsi="Times New Roman"/>
          <w:sz w:val="24"/>
          <w:szCs w:val="24"/>
        </w:rPr>
        <w:t>possible</w:t>
      </w:r>
      <w:proofErr w:type="gramEnd"/>
      <w:r>
        <w:rPr>
          <w:rFonts w:ascii="Times New Roman" w:hAnsi="Times New Roman"/>
          <w:sz w:val="24"/>
          <w:szCs w:val="24"/>
        </w:rPr>
        <w:t xml:space="preserve"> acute effects of </w:t>
      </w:r>
      <w:proofErr w:type="spellStart"/>
      <w:r>
        <w:rPr>
          <w:rFonts w:ascii="Times New Roman" w:hAnsi="Times New Roman"/>
          <w:sz w:val="24"/>
          <w:szCs w:val="24"/>
        </w:rPr>
        <w:t>iodomethane</w:t>
      </w:r>
      <w:proofErr w:type="spellEnd"/>
      <w:r>
        <w:rPr>
          <w:rFonts w:ascii="Times New Roman" w:hAnsi="Times New Roman"/>
          <w:sz w:val="24"/>
          <w:szCs w:val="24"/>
        </w:rPr>
        <w:t xml:space="preserve"> (methyl iodide).  These examples demonstrate the use of PBPK modeling to extrapolate from one population effect level to another (TCE), for interspecies extrapolation and uncertainty factor refinement (glycol ethers), and discriminating among multiple potential “key” effects under different exposure scenarios (</w:t>
      </w:r>
      <w:proofErr w:type="spellStart"/>
      <w:r>
        <w:rPr>
          <w:rFonts w:ascii="Times New Roman" w:hAnsi="Times New Roman"/>
          <w:sz w:val="24"/>
          <w:szCs w:val="24"/>
        </w:rPr>
        <w:t>iodomethane</w:t>
      </w:r>
      <w:proofErr w:type="spellEnd"/>
      <w:r>
        <w:rPr>
          <w:rFonts w:ascii="Times New Roman" w:hAnsi="Times New Roman"/>
          <w:sz w:val="24"/>
          <w:szCs w:val="24"/>
        </w:rPr>
        <w:t xml:space="preserve">).  </w:t>
      </w:r>
    </w:p>
    <w:p w:rsidR="00DF7C9F" w:rsidRDefault="00DF7C9F" w:rsidP="00DF7C9F">
      <w:pPr>
        <w:spacing w:after="0" w:line="480" w:lineRule="auto"/>
        <w:rPr>
          <w:rFonts w:ascii="Times New Roman" w:hAnsi="Times New Roman"/>
          <w:sz w:val="24"/>
          <w:szCs w:val="24"/>
        </w:rPr>
      </w:pPr>
    </w:p>
    <w:p w:rsidR="00DF7C9F" w:rsidRDefault="00DF7C9F" w:rsidP="00DF7C9F">
      <w:pPr>
        <w:spacing w:after="0" w:line="480" w:lineRule="auto"/>
        <w:rPr>
          <w:rFonts w:ascii="Times New Roman" w:hAnsi="Times New Roman"/>
          <w:b/>
          <w:sz w:val="24"/>
          <w:szCs w:val="24"/>
        </w:rPr>
      </w:pPr>
      <w:r>
        <w:rPr>
          <w:rFonts w:ascii="Times New Roman" w:hAnsi="Times New Roman"/>
          <w:b/>
          <w:sz w:val="24"/>
          <w:szCs w:val="24"/>
        </w:rPr>
        <w:t>S-</w:t>
      </w:r>
      <w:r w:rsidR="0080024A">
        <w:rPr>
          <w:rFonts w:ascii="Times New Roman" w:hAnsi="Times New Roman"/>
          <w:b/>
          <w:sz w:val="24"/>
          <w:szCs w:val="24"/>
        </w:rPr>
        <w:t>1</w:t>
      </w:r>
      <w:r>
        <w:rPr>
          <w:rFonts w:ascii="Times New Roman" w:hAnsi="Times New Roman"/>
          <w:b/>
          <w:sz w:val="24"/>
          <w:szCs w:val="24"/>
        </w:rPr>
        <w:t xml:space="preserve">.1 </w:t>
      </w:r>
      <w:proofErr w:type="gramStart"/>
      <w:r>
        <w:rPr>
          <w:rFonts w:ascii="Times New Roman" w:hAnsi="Times New Roman"/>
          <w:b/>
          <w:sz w:val="24"/>
          <w:szCs w:val="24"/>
        </w:rPr>
        <w:t>Acute</w:t>
      </w:r>
      <w:proofErr w:type="gramEnd"/>
      <w:r>
        <w:rPr>
          <w:rFonts w:ascii="Times New Roman" w:hAnsi="Times New Roman"/>
          <w:b/>
          <w:sz w:val="24"/>
          <w:szCs w:val="24"/>
        </w:rPr>
        <w:t xml:space="preserve"> inhalation guidance value for trichloroethylene (TCE)</w:t>
      </w:r>
    </w:p>
    <w:p w:rsidR="00DF7C9F" w:rsidRDefault="00DF7C9F" w:rsidP="00DF7C9F">
      <w:pPr>
        <w:spacing w:after="0" w:line="480" w:lineRule="auto"/>
        <w:rPr>
          <w:rFonts w:ascii="Times New Roman" w:hAnsi="Times New Roman"/>
          <w:sz w:val="24"/>
          <w:szCs w:val="24"/>
        </w:rPr>
      </w:pPr>
      <w:r>
        <w:rPr>
          <w:rFonts w:ascii="Times New Roman" w:hAnsi="Times New Roman"/>
          <w:sz w:val="24"/>
          <w:szCs w:val="24"/>
        </w:rPr>
        <w:t xml:space="preserve">Drowsiness, an acute effect of TCE, was identified as the endpoint of occupational concern by Simon (1997).  Based on the expectation that both the parent compound TCE and metabolite </w:t>
      </w:r>
      <w:proofErr w:type="spellStart"/>
      <w:r>
        <w:rPr>
          <w:rFonts w:ascii="Times New Roman" w:hAnsi="Times New Roman"/>
          <w:sz w:val="24"/>
          <w:szCs w:val="24"/>
        </w:rPr>
        <w:t>trichloroethanol</w:t>
      </w:r>
      <w:proofErr w:type="spellEnd"/>
      <w:r>
        <w:rPr>
          <w:rFonts w:ascii="Times New Roman" w:hAnsi="Times New Roman"/>
          <w:sz w:val="24"/>
          <w:szCs w:val="24"/>
        </w:rPr>
        <w:t xml:space="preserve"> (TCOH) (a known sedative) could contribute to the effect of concern, the dose surrogate for acute effects of TCE was the sum of the blood TCE and TCOH concentrations.  Given the focus on this dosimeter, the desired model structure was intermediate in complexity as </w:t>
      </w:r>
      <w:r>
        <w:rPr>
          <w:rFonts w:ascii="Times New Roman" w:hAnsi="Times New Roman"/>
          <w:sz w:val="24"/>
          <w:szCs w:val="24"/>
        </w:rPr>
        <w:lastRenderedPageBreak/>
        <w:t xml:space="preserve">compared to contemporary human PBPK models for TCE which accounted for fewer or more metabolic pathways and metabolites (e.g., Fisher and Allen, 1993; </w:t>
      </w:r>
      <w:proofErr w:type="spellStart"/>
      <w:r>
        <w:rPr>
          <w:rFonts w:ascii="Times New Roman" w:hAnsi="Times New Roman"/>
          <w:sz w:val="24"/>
          <w:szCs w:val="24"/>
        </w:rPr>
        <w:t>Clewell</w:t>
      </w:r>
      <w:proofErr w:type="spellEnd"/>
      <w:r>
        <w:rPr>
          <w:rFonts w:ascii="Times New Roman" w:hAnsi="Times New Roman"/>
          <w:sz w:val="24"/>
          <w:szCs w:val="24"/>
        </w:rPr>
        <w:t xml:space="preserve"> et al., 1995).  Simon (1997) used parameter distributions based on literature data for physiological/anatomical parameters, partition coefficients, and some metabolic parameters.  Additional metabolic parameters were estimated by optimization of fit to three human data sets and the composite distribution (developed from the three optimized distributions) was used as in input for validation of the model by comparison to a fourth data set.  The model was then used to derive internal </w:t>
      </w:r>
      <w:proofErr w:type="spellStart"/>
      <w:r>
        <w:rPr>
          <w:rFonts w:ascii="Times New Roman" w:hAnsi="Times New Roman"/>
          <w:sz w:val="24"/>
          <w:szCs w:val="24"/>
        </w:rPr>
        <w:t>dosimetry</w:t>
      </w:r>
      <w:proofErr w:type="spellEnd"/>
      <w:r>
        <w:rPr>
          <w:rFonts w:ascii="Times New Roman" w:hAnsi="Times New Roman"/>
          <w:sz w:val="24"/>
          <w:szCs w:val="24"/>
        </w:rPr>
        <w:t xml:space="preserve"> estimates corresponding to the population in a study where 60% of subjects reported feeling “sleepy” during 7 hr exposures to 200 </w:t>
      </w:r>
      <w:proofErr w:type="spellStart"/>
      <w:r>
        <w:rPr>
          <w:rFonts w:ascii="Times New Roman" w:hAnsi="Times New Roman"/>
          <w:sz w:val="24"/>
          <w:szCs w:val="24"/>
        </w:rPr>
        <w:t>ppm</w:t>
      </w:r>
      <w:proofErr w:type="spellEnd"/>
      <w:r>
        <w:rPr>
          <w:rFonts w:ascii="Times New Roman" w:hAnsi="Times New Roman"/>
          <w:sz w:val="24"/>
          <w:szCs w:val="24"/>
        </w:rPr>
        <w:t xml:space="preserve"> TCE.  The 40</w:t>
      </w:r>
      <w:r>
        <w:rPr>
          <w:rFonts w:ascii="Times New Roman" w:hAnsi="Times New Roman"/>
          <w:sz w:val="24"/>
          <w:szCs w:val="24"/>
          <w:vertAlign w:val="superscript"/>
        </w:rPr>
        <w:t>th</w:t>
      </w:r>
      <w:r>
        <w:rPr>
          <w:rFonts w:ascii="Times New Roman" w:hAnsi="Times New Roman"/>
          <w:sz w:val="24"/>
          <w:szCs w:val="24"/>
        </w:rPr>
        <w:t xml:space="preserve"> percentile value of this distribution, generated using Monte Carlo methods, was identified as an acceptable internal exposure to TCE and TCOH (i.e., the 40</w:t>
      </w:r>
      <w:r>
        <w:rPr>
          <w:rFonts w:ascii="Times New Roman" w:hAnsi="Times New Roman"/>
          <w:sz w:val="24"/>
          <w:szCs w:val="24"/>
          <w:vertAlign w:val="superscript"/>
        </w:rPr>
        <w:t>th</w:t>
      </w:r>
      <w:r>
        <w:rPr>
          <w:rFonts w:ascii="Times New Roman" w:hAnsi="Times New Roman"/>
          <w:sz w:val="24"/>
          <w:szCs w:val="24"/>
        </w:rPr>
        <w:t xml:space="preserve"> percentile individual was the person with the highest internal exposure who remained unaffected).  An acceptable 7 hr TWA exposure to TCE was then identified by lowering the TCE exposure and determining the TCE concentrations which would yield 95</w:t>
      </w:r>
      <w:r>
        <w:rPr>
          <w:rFonts w:ascii="Times New Roman" w:hAnsi="Times New Roman"/>
          <w:sz w:val="24"/>
          <w:szCs w:val="24"/>
          <w:vertAlign w:val="superscript"/>
        </w:rPr>
        <w:t>th</w:t>
      </w:r>
      <w:r>
        <w:rPr>
          <w:rFonts w:ascii="Times New Roman" w:hAnsi="Times New Roman"/>
          <w:sz w:val="24"/>
          <w:szCs w:val="24"/>
        </w:rPr>
        <w:t xml:space="preserve"> and 99</w:t>
      </w:r>
      <w:r>
        <w:rPr>
          <w:rFonts w:ascii="Times New Roman" w:hAnsi="Times New Roman"/>
          <w:sz w:val="24"/>
          <w:szCs w:val="24"/>
          <w:vertAlign w:val="superscript"/>
        </w:rPr>
        <w:t>th</w:t>
      </w:r>
      <w:r>
        <w:rPr>
          <w:rFonts w:ascii="Times New Roman" w:hAnsi="Times New Roman"/>
          <w:sz w:val="24"/>
          <w:szCs w:val="24"/>
        </w:rPr>
        <w:t xml:space="preserve"> percentile individuals with internal exposure to TCE and TCOH that was equivalent to the 40</w:t>
      </w:r>
      <w:r>
        <w:rPr>
          <w:rFonts w:ascii="Times New Roman" w:hAnsi="Times New Roman"/>
          <w:sz w:val="24"/>
          <w:szCs w:val="24"/>
          <w:vertAlign w:val="superscript"/>
        </w:rPr>
        <w:t>th</w:t>
      </w:r>
      <w:r>
        <w:rPr>
          <w:rFonts w:ascii="Times New Roman" w:hAnsi="Times New Roman"/>
          <w:sz w:val="24"/>
          <w:szCs w:val="24"/>
        </w:rPr>
        <w:t xml:space="preserve"> percentile individual in the key toxicity study.  The values derived by Simon (1997) indicate that the contemporary American Conference of Governmental Industrial Hygienists (ACGIH) Threshold Limit Value (TLV) of 50 </w:t>
      </w:r>
      <w:proofErr w:type="spellStart"/>
      <w:r>
        <w:rPr>
          <w:rFonts w:ascii="Times New Roman" w:hAnsi="Times New Roman"/>
          <w:sz w:val="24"/>
          <w:szCs w:val="24"/>
        </w:rPr>
        <w:t>ppm</w:t>
      </w:r>
      <w:proofErr w:type="spellEnd"/>
      <w:r>
        <w:rPr>
          <w:rFonts w:ascii="Times New Roman" w:hAnsi="Times New Roman"/>
          <w:sz w:val="24"/>
          <w:szCs w:val="24"/>
        </w:rPr>
        <w:t xml:space="preserve"> would protect 95 percent of workers, but not 99%.  Simon (1997) further determined that, after 15 minutes exposure to the ACGIH short term exposure limit (STEL) of 200 </w:t>
      </w:r>
      <w:proofErr w:type="spellStart"/>
      <w:r>
        <w:rPr>
          <w:rFonts w:ascii="Times New Roman" w:hAnsi="Times New Roman"/>
          <w:sz w:val="24"/>
          <w:szCs w:val="24"/>
        </w:rPr>
        <w:t>ppm</w:t>
      </w:r>
      <w:proofErr w:type="spellEnd"/>
      <w:r>
        <w:rPr>
          <w:rFonts w:ascii="Times New Roman" w:hAnsi="Times New Roman"/>
          <w:sz w:val="24"/>
          <w:szCs w:val="24"/>
        </w:rPr>
        <w:t xml:space="preserve">, individuals would need 2.5 hrs exposure to fresh air prior to resuming exposures at the TLV, in order to adequately reduce the level of TCE +TCOH in blood.  </w:t>
      </w:r>
    </w:p>
    <w:p w:rsidR="00DF7C9F" w:rsidRDefault="00DF7C9F" w:rsidP="00DF7C9F">
      <w:pPr>
        <w:spacing w:after="0" w:line="480" w:lineRule="auto"/>
        <w:rPr>
          <w:rFonts w:ascii="Times New Roman" w:hAnsi="Times New Roman"/>
          <w:sz w:val="24"/>
          <w:szCs w:val="24"/>
        </w:rPr>
      </w:pPr>
    </w:p>
    <w:p w:rsidR="00DF7C9F" w:rsidRDefault="00DF7C9F" w:rsidP="00F47C34">
      <w:pPr>
        <w:keepNext/>
        <w:spacing w:after="0" w:line="480" w:lineRule="auto"/>
        <w:rPr>
          <w:rFonts w:ascii="Times New Roman" w:hAnsi="Times New Roman"/>
          <w:b/>
          <w:sz w:val="24"/>
          <w:szCs w:val="24"/>
        </w:rPr>
      </w:pPr>
      <w:r>
        <w:rPr>
          <w:rFonts w:ascii="Times New Roman" w:hAnsi="Times New Roman"/>
          <w:b/>
          <w:sz w:val="24"/>
          <w:szCs w:val="24"/>
        </w:rPr>
        <w:lastRenderedPageBreak/>
        <w:t>S-</w:t>
      </w:r>
      <w:r w:rsidR="0080024A">
        <w:rPr>
          <w:rFonts w:ascii="Times New Roman" w:hAnsi="Times New Roman"/>
          <w:b/>
          <w:sz w:val="24"/>
          <w:szCs w:val="24"/>
        </w:rPr>
        <w:t>1</w:t>
      </w:r>
      <w:r>
        <w:rPr>
          <w:rFonts w:ascii="Times New Roman" w:hAnsi="Times New Roman"/>
          <w:b/>
          <w:sz w:val="24"/>
          <w:szCs w:val="24"/>
        </w:rPr>
        <w:t>.2 Glycol ethers OELs</w:t>
      </w:r>
    </w:p>
    <w:p w:rsidR="00DF7C9F" w:rsidRDefault="00DF7C9F" w:rsidP="00DF7C9F">
      <w:pPr>
        <w:spacing w:after="0" w:line="480" w:lineRule="auto"/>
        <w:rPr>
          <w:rFonts w:ascii="Times New Roman" w:hAnsi="Times New Roman"/>
          <w:sz w:val="24"/>
          <w:szCs w:val="24"/>
        </w:rPr>
      </w:pPr>
      <w:r>
        <w:rPr>
          <w:rFonts w:ascii="Times New Roman" w:hAnsi="Times New Roman"/>
          <w:sz w:val="24"/>
          <w:szCs w:val="24"/>
        </w:rPr>
        <w:t xml:space="preserve">OELs for 2-methoxyethanol (ethylene glycol </w:t>
      </w:r>
      <w:proofErr w:type="spellStart"/>
      <w:r>
        <w:rPr>
          <w:rFonts w:ascii="Times New Roman" w:hAnsi="Times New Roman"/>
          <w:sz w:val="24"/>
          <w:szCs w:val="24"/>
        </w:rPr>
        <w:t>monomethylether</w:t>
      </w:r>
      <w:proofErr w:type="spellEnd"/>
      <w:r>
        <w:rPr>
          <w:rFonts w:ascii="Times New Roman" w:hAnsi="Times New Roman"/>
          <w:sz w:val="24"/>
          <w:szCs w:val="24"/>
        </w:rPr>
        <w:t xml:space="preserve">, EGME), 2-ethyoxyethanol (ethylene glycol </w:t>
      </w:r>
      <w:proofErr w:type="spellStart"/>
      <w:r>
        <w:rPr>
          <w:rFonts w:ascii="Times New Roman" w:hAnsi="Times New Roman"/>
          <w:sz w:val="24"/>
          <w:szCs w:val="24"/>
        </w:rPr>
        <w:t>monoethyl</w:t>
      </w:r>
      <w:proofErr w:type="spellEnd"/>
      <w:r>
        <w:rPr>
          <w:rFonts w:ascii="Times New Roman" w:hAnsi="Times New Roman"/>
          <w:sz w:val="24"/>
          <w:szCs w:val="24"/>
        </w:rPr>
        <w:t xml:space="preserve"> ether, EGEE) and </w:t>
      </w:r>
      <w:proofErr w:type="spellStart"/>
      <w:r>
        <w:rPr>
          <w:rFonts w:ascii="Times New Roman" w:hAnsi="Times New Roman"/>
          <w:sz w:val="24"/>
          <w:szCs w:val="24"/>
        </w:rPr>
        <w:t>ethoxyethanol</w:t>
      </w:r>
      <w:proofErr w:type="spellEnd"/>
      <w:r>
        <w:rPr>
          <w:rFonts w:ascii="Times New Roman" w:hAnsi="Times New Roman"/>
          <w:sz w:val="24"/>
          <w:szCs w:val="24"/>
        </w:rPr>
        <w:t xml:space="preserve"> acetate (EGEEA), proposed by Sweeney et al. (2001), were derived using PBPK modeling for interspecies extrapolation and estimation of </w:t>
      </w:r>
      <w:proofErr w:type="spellStart"/>
      <w:r>
        <w:rPr>
          <w:rFonts w:ascii="Times New Roman" w:hAnsi="Times New Roman"/>
          <w:sz w:val="24"/>
          <w:szCs w:val="24"/>
        </w:rPr>
        <w:t>intraspecies</w:t>
      </w:r>
      <w:proofErr w:type="spellEnd"/>
      <w:r>
        <w:rPr>
          <w:rFonts w:ascii="Times New Roman" w:hAnsi="Times New Roman"/>
          <w:sz w:val="24"/>
          <w:szCs w:val="24"/>
        </w:rPr>
        <w:t xml:space="preserve"> pharmacokinetic variability/uncertainty.  These glycol ether compounds have been identified as developmental toxicants in laboratory animals with a mode of action related to internal concentrations of </w:t>
      </w:r>
      <w:proofErr w:type="spellStart"/>
      <w:r>
        <w:rPr>
          <w:rFonts w:ascii="Times New Roman" w:hAnsi="Times New Roman"/>
          <w:sz w:val="24"/>
          <w:szCs w:val="24"/>
        </w:rPr>
        <w:t>alkoxyacetic</w:t>
      </w:r>
      <w:proofErr w:type="spellEnd"/>
      <w:r>
        <w:rPr>
          <w:rFonts w:ascii="Times New Roman" w:hAnsi="Times New Roman"/>
          <w:sz w:val="24"/>
          <w:szCs w:val="24"/>
        </w:rPr>
        <w:t xml:space="preserve"> acid metabolites.  Using previously developed PBPK models (</w:t>
      </w:r>
      <w:proofErr w:type="spellStart"/>
      <w:r>
        <w:rPr>
          <w:rFonts w:ascii="Times New Roman" w:hAnsi="Times New Roman"/>
          <w:sz w:val="24"/>
          <w:szCs w:val="24"/>
        </w:rPr>
        <w:t>Gargas</w:t>
      </w:r>
      <w:proofErr w:type="spellEnd"/>
      <w:r>
        <w:rPr>
          <w:rFonts w:ascii="Times New Roman" w:hAnsi="Times New Roman"/>
          <w:sz w:val="24"/>
          <w:szCs w:val="24"/>
        </w:rPr>
        <w:t xml:space="preserve"> et al., 2000a, b), the average daily area under the maternal blood </w:t>
      </w:r>
      <w:proofErr w:type="spellStart"/>
      <w:r>
        <w:rPr>
          <w:rFonts w:ascii="Times New Roman" w:hAnsi="Times New Roman"/>
          <w:sz w:val="24"/>
          <w:szCs w:val="24"/>
        </w:rPr>
        <w:t>alkoxyacetic</w:t>
      </w:r>
      <w:proofErr w:type="spellEnd"/>
      <w:r>
        <w:rPr>
          <w:rFonts w:ascii="Times New Roman" w:hAnsi="Times New Roman"/>
          <w:sz w:val="24"/>
          <w:szCs w:val="24"/>
        </w:rPr>
        <w:t xml:space="preserve"> acid concentration vs. time curve (maternal blood </w:t>
      </w:r>
      <w:proofErr w:type="spellStart"/>
      <w:r>
        <w:rPr>
          <w:rFonts w:ascii="Times New Roman" w:hAnsi="Times New Roman"/>
          <w:sz w:val="24"/>
          <w:szCs w:val="24"/>
        </w:rPr>
        <w:t>alkoxyacetic</w:t>
      </w:r>
      <w:proofErr w:type="spellEnd"/>
      <w:r>
        <w:rPr>
          <w:rFonts w:ascii="Times New Roman" w:hAnsi="Times New Roman"/>
          <w:sz w:val="24"/>
          <w:szCs w:val="24"/>
        </w:rPr>
        <w:t xml:space="preserve"> acid AUC) was calculated for rats exposed to the NOAEL concentration of EGEE or EGME for 6 hrs/day on GD 6-15.  Human PBPK model simulations using average parameter values were then conducted to identify EGEEA, EGEE, and EGME concentrations which would yield internal doses in pregnant human workers that would be equivalent to those determined for the animal NOAELs, termed human no adverse effect levels (NAELs).  Sensitivity analyses were then conducted at the NAELs to determine how much the dose metric of interest, daily average human maternal blood </w:t>
      </w:r>
      <w:proofErr w:type="spellStart"/>
      <w:r>
        <w:rPr>
          <w:rFonts w:ascii="Times New Roman" w:hAnsi="Times New Roman"/>
          <w:sz w:val="24"/>
          <w:szCs w:val="24"/>
        </w:rPr>
        <w:t>alkoxyacetic</w:t>
      </w:r>
      <w:proofErr w:type="spellEnd"/>
      <w:r>
        <w:rPr>
          <w:rFonts w:ascii="Times New Roman" w:hAnsi="Times New Roman"/>
          <w:sz w:val="24"/>
          <w:szCs w:val="24"/>
        </w:rPr>
        <w:t xml:space="preserve"> acid concentration, would change if the values of the input parameters changed.  It was determined that the dose metric was sensitive to a limited subset of the model parameters, including inhalation rate, body weight, </w:t>
      </w:r>
      <w:proofErr w:type="spellStart"/>
      <w:r>
        <w:rPr>
          <w:rFonts w:ascii="Times New Roman" w:hAnsi="Times New Roman"/>
          <w:sz w:val="24"/>
          <w:szCs w:val="24"/>
        </w:rPr>
        <w:t>alkoxyacetic</w:t>
      </w:r>
      <w:proofErr w:type="spellEnd"/>
      <w:r>
        <w:rPr>
          <w:rFonts w:ascii="Times New Roman" w:hAnsi="Times New Roman"/>
          <w:sz w:val="24"/>
          <w:szCs w:val="24"/>
        </w:rPr>
        <w:t xml:space="preserve"> acid formation rate, and </w:t>
      </w:r>
      <w:proofErr w:type="spellStart"/>
      <w:r>
        <w:rPr>
          <w:rFonts w:ascii="Times New Roman" w:hAnsi="Times New Roman"/>
          <w:sz w:val="24"/>
          <w:szCs w:val="24"/>
        </w:rPr>
        <w:t>alkoxyacetic</w:t>
      </w:r>
      <w:proofErr w:type="spellEnd"/>
      <w:r>
        <w:rPr>
          <w:rFonts w:ascii="Times New Roman" w:hAnsi="Times New Roman"/>
          <w:sz w:val="24"/>
          <w:szCs w:val="24"/>
        </w:rPr>
        <w:t xml:space="preserve"> acid excretion rate.  Monte Carlo simulations with parameter distributions of sensitive parameters were then conducted at the NAEL to identify the 50</w:t>
      </w:r>
      <w:r>
        <w:rPr>
          <w:rFonts w:ascii="Times New Roman" w:hAnsi="Times New Roman"/>
          <w:sz w:val="24"/>
          <w:szCs w:val="24"/>
          <w:vertAlign w:val="superscript"/>
        </w:rPr>
        <w:t>th</w:t>
      </w:r>
      <w:r>
        <w:rPr>
          <w:rFonts w:ascii="Times New Roman" w:hAnsi="Times New Roman"/>
          <w:sz w:val="24"/>
          <w:szCs w:val="24"/>
        </w:rPr>
        <w:t>, 95</w:t>
      </w:r>
      <w:r>
        <w:rPr>
          <w:rFonts w:ascii="Times New Roman" w:hAnsi="Times New Roman"/>
          <w:sz w:val="24"/>
          <w:szCs w:val="24"/>
          <w:vertAlign w:val="superscript"/>
        </w:rPr>
        <w:t>th</w:t>
      </w:r>
      <w:r>
        <w:rPr>
          <w:rFonts w:ascii="Times New Roman" w:hAnsi="Times New Roman"/>
          <w:sz w:val="24"/>
          <w:szCs w:val="24"/>
        </w:rPr>
        <w:t>, and 99</w:t>
      </w:r>
      <w:r>
        <w:rPr>
          <w:rFonts w:ascii="Times New Roman" w:hAnsi="Times New Roman"/>
          <w:sz w:val="24"/>
          <w:szCs w:val="24"/>
          <w:vertAlign w:val="superscript"/>
        </w:rPr>
        <w:t>th</w:t>
      </w:r>
      <w:r>
        <w:rPr>
          <w:rFonts w:ascii="Times New Roman" w:hAnsi="Times New Roman"/>
          <w:sz w:val="24"/>
          <w:szCs w:val="24"/>
        </w:rPr>
        <w:t xml:space="preserve"> percentile values of the dose metric for a population of pregnant workers.  The ratio of the 95</w:t>
      </w:r>
      <w:r>
        <w:rPr>
          <w:rFonts w:ascii="Times New Roman" w:hAnsi="Times New Roman"/>
          <w:sz w:val="24"/>
          <w:szCs w:val="24"/>
          <w:vertAlign w:val="superscript"/>
        </w:rPr>
        <w:t>th</w:t>
      </w:r>
      <w:r>
        <w:rPr>
          <w:rFonts w:ascii="Times New Roman" w:hAnsi="Times New Roman"/>
          <w:sz w:val="24"/>
          <w:szCs w:val="24"/>
        </w:rPr>
        <w:t xml:space="preserve"> and 50</w:t>
      </w:r>
      <w:r>
        <w:rPr>
          <w:rFonts w:ascii="Times New Roman" w:hAnsi="Times New Roman"/>
          <w:sz w:val="24"/>
          <w:szCs w:val="24"/>
          <w:vertAlign w:val="superscript"/>
        </w:rPr>
        <w:t>th</w:t>
      </w:r>
      <w:r>
        <w:rPr>
          <w:rFonts w:ascii="Times New Roman" w:hAnsi="Times New Roman"/>
          <w:sz w:val="24"/>
          <w:szCs w:val="24"/>
        </w:rPr>
        <w:t xml:space="preserve"> percentile values (1.8 for EGEEA and EGEE, 1.7 for EGME) was used as a chemical-specific adjustment factor for </w:t>
      </w:r>
      <w:proofErr w:type="spellStart"/>
      <w:r>
        <w:rPr>
          <w:rFonts w:ascii="Times New Roman" w:hAnsi="Times New Roman"/>
          <w:sz w:val="24"/>
          <w:szCs w:val="24"/>
        </w:rPr>
        <w:t>intraspecies</w:t>
      </w:r>
      <w:proofErr w:type="spellEnd"/>
      <w:r>
        <w:rPr>
          <w:rFonts w:ascii="Times New Roman" w:hAnsi="Times New Roman"/>
          <w:sz w:val="24"/>
          <w:szCs w:val="24"/>
        </w:rPr>
        <w:t xml:space="preserve"> (human) variability in pharmacokinetics.  Default </w:t>
      </w:r>
      <w:r>
        <w:rPr>
          <w:rFonts w:ascii="Times New Roman" w:hAnsi="Times New Roman"/>
          <w:sz w:val="24"/>
          <w:szCs w:val="24"/>
        </w:rPr>
        <w:lastRenderedPageBreak/>
        <w:t xml:space="preserve">values were used for uncertainty factors for inter- and intra-species </w:t>
      </w:r>
      <w:proofErr w:type="spellStart"/>
      <w:r>
        <w:rPr>
          <w:rFonts w:ascii="Times New Roman" w:hAnsi="Times New Roman"/>
          <w:sz w:val="24"/>
          <w:szCs w:val="24"/>
        </w:rPr>
        <w:t>pharmacodynamic</w:t>
      </w:r>
      <w:proofErr w:type="spellEnd"/>
      <w:r>
        <w:rPr>
          <w:rFonts w:ascii="Times New Roman" w:hAnsi="Times New Roman"/>
          <w:sz w:val="24"/>
          <w:szCs w:val="24"/>
        </w:rPr>
        <w:t xml:space="preserve"> uncertainty.  The NAELs were divided by the composite uncertainty/adjustment factors to calculate the proposed inhalation OELs for these glycol ethers, in the absence of significant dermal exposure.</w:t>
      </w:r>
    </w:p>
    <w:p w:rsidR="00DF7C9F" w:rsidRDefault="00DF7C9F" w:rsidP="00DF7C9F">
      <w:pPr>
        <w:spacing w:after="0" w:line="480" w:lineRule="auto"/>
        <w:rPr>
          <w:rFonts w:ascii="Times New Roman" w:hAnsi="Times New Roman"/>
          <w:i/>
          <w:sz w:val="24"/>
          <w:szCs w:val="24"/>
        </w:rPr>
      </w:pPr>
    </w:p>
    <w:p w:rsidR="00DF7C9F" w:rsidRDefault="00DF7C9F" w:rsidP="00DF7C9F">
      <w:pPr>
        <w:spacing w:after="0" w:line="480" w:lineRule="auto"/>
        <w:rPr>
          <w:rFonts w:ascii="Times New Roman" w:hAnsi="Times New Roman"/>
          <w:b/>
          <w:sz w:val="24"/>
          <w:szCs w:val="24"/>
        </w:rPr>
      </w:pPr>
      <w:r>
        <w:rPr>
          <w:rFonts w:ascii="Times New Roman" w:hAnsi="Times New Roman"/>
          <w:b/>
          <w:sz w:val="24"/>
          <w:szCs w:val="24"/>
        </w:rPr>
        <w:t>S-</w:t>
      </w:r>
      <w:r w:rsidR="0080024A">
        <w:rPr>
          <w:rFonts w:ascii="Times New Roman" w:hAnsi="Times New Roman"/>
          <w:b/>
          <w:sz w:val="24"/>
          <w:szCs w:val="24"/>
        </w:rPr>
        <w:t>1</w:t>
      </w:r>
      <w:r>
        <w:rPr>
          <w:rFonts w:ascii="Times New Roman" w:hAnsi="Times New Roman"/>
          <w:b/>
          <w:sz w:val="24"/>
          <w:szCs w:val="24"/>
        </w:rPr>
        <w:t xml:space="preserve">.3 </w:t>
      </w:r>
      <w:proofErr w:type="spellStart"/>
      <w:r>
        <w:rPr>
          <w:rFonts w:ascii="Times New Roman" w:hAnsi="Times New Roman"/>
          <w:b/>
          <w:sz w:val="24"/>
          <w:szCs w:val="24"/>
        </w:rPr>
        <w:t>Iodomethane</w:t>
      </w:r>
      <w:proofErr w:type="spellEnd"/>
      <w:r>
        <w:rPr>
          <w:rFonts w:ascii="Times New Roman" w:hAnsi="Times New Roman"/>
          <w:b/>
          <w:sz w:val="24"/>
          <w:szCs w:val="24"/>
        </w:rPr>
        <w:t xml:space="preserve"> (methyl iodide)</w:t>
      </w:r>
    </w:p>
    <w:p w:rsidR="00DF7C9F" w:rsidRDefault="00DF7C9F" w:rsidP="00DF7C9F">
      <w:pPr>
        <w:spacing w:after="0" w:line="480" w:lineRule="auto"/>
        <w:rPr>
          <w:rFonts w:ascii="Times New Roman" w:hAnsi="Times New Roman"/>
          <w:sz w:val="24"/>
          <w:szCs w:val="24"/>
        </w:rPr>
      </w:pPr>
      <w:proofErr w:type="spellStart"/>
      <w:r>
        <w:rPr>
          <w:rFonts w:ascii="Times New Roman" w:hAnsi="Times New Roman"/>
          <w:sz w:val="24"/>
          <w:szCs w:val="24"/>
        </w:rPr>
        <w:t>Iodomethane</w:t>
      </w:r>
      <w:proofErr w:type="spellEnd"/>
      <w:r>
        <w:rPr>
          <w:rFonts w:ascii="Times New Roman" w:hAnsi="Times New Roman"/>
          <w:sz w:val="24"/>
          <w:szCs w:val="24"/>
        </w:rPr>
        <w:t xml:space="preserve"> is an agricultural soil fumigant, and therefore health concerns pertain to both bystanders and occupationally exposed individuals (e.g., applicators) (</w:t>
      </w:r>
      <w:proofErr w:type="spellStart"/>
      <w:r>
        <w:rPr>
          <w:rFonts w:ascii="Times New Roman" w:hAnsi="Times New Roman"/>
          <w:sz w:val="24"/>
          <w:szCs w:val="24"/>
        </w:rPr>
        <w:t>Mileson</w:t>
      </w:r>
      <w:proofErr w:type="spellEnd"/>
      <w:r>
        <w:rPr>
          <w:rFonts w:ascii="Times New Roman" w:hAnsi="Times New Roman"/>
          <w:sz w:val="24"/>
          <w:szCs w:val="24"/>
        </w:rPr>
        <w:t xml:space="preserve"> et al., 2009).  PBPK models were used to extrapolate from findings in test animals to estimate acceptable exposure levels for </w:t>
      </w:r>
      <w:proofErr w:type="spellStart"/>
      <w:r>
        <w:rPr>
          <w:rFonts w:ascii="Times New Roman" w:hAnsi="Times New Roman"/>
          <w:sz w:val="24"/>
          <w:szCs w:val="24"/>
        </w:rPr>
        <w:t>iodomethane</w:t>
      </w:r>
      <w:proofErr w:type="spellEnd"/>
      <w:r>
        <w:rPr>
          <w:rFonts w:ascii="Times New Roman" w:hAnsi="Times New Roman"/>
          <w:sz w:val="24"/>
          <w:szCs w:val="24"/>
        </w:rPr>
        <w:t xml:space="preserve"> for both bystanders (one day, for 24 hrs) and workers (8 hrs/day, 5 days/week) (Sweeney et al., 2009).  Three effects identified in animals were considered to be potential concerns with respect to acute exposure:  nasal effects and neurotoxicity, identified in rats, and developmental toxicity, identified in rabbits.  PBPK models for rats, rabbits and humans were therefore developed which described the inhalation of </w:t>
      </w:r>
      <w:proofErr w:type="spellStart"/>
      <w:r>
        <w:rPr>
          <w:rFonts w:ascii="Times New Roman" w:hAnsi="Times New Roman"/>
          <w:sz w:val="24"/>
          <w:szCs w:val="24"/>
        </w:rPr>
        <w:t>iodomethane</w:t>
      </w:r>
      <w:proofErr w:type="spellEnd"/>
      <w:r>
        <w:rPr>
          <w:rFonts w:ascii="Times New Roman" w:hAnsi="Times New Roman"/>
          <w:sz w:val="24"/>
          <w:szCs w:val="24"/>
        </w:rPr>
        <w:t xml:space="preserve">, its conjugation with glutathione (GSH), and the distribution and elimination of the iodide that is liberated when </w:t>
      </w:r>
      <w:proofErr w:type="spellStart"/>
      <w:r>
        <w:rPr>
          <w:rFonts w:ascii="Times New Roman" w:hAnsi="Times New Roman"/>
          <w:sz w:val="24"/>
          <w:szCs w:val="24"/>
        </w:rPr>
        <w:t>iodomethane</w:t>
      </w:r>
      <w:proofErr w:type="spellEnd"/>
      <w:r>
        <w:rPr>
          <w:rFonts w:ascii="Times New Roman" w:hAnsi="Times New Roman"/>
          <w:sz w:val="24"/>
          <w:szCs w:val="24"/>
        </w:rPr>
        <w:t xml:space="preserve"> is conjugated with GSH.  Mode of action evaluations (</w:t>
      </w:r>
      <w:proofErr w:type="spellStart"/>
      <w:r>
        <w:rPr>
          <w:rFonts w:ascii="Times New Roman" w:hAnsi="Times New Roman"/>
          <w:sz w:val="24"/>
          <w:szCs w:val="24"/>
        </w:rPr>
        <w:t>Kirman</w:t>
      </w:r>
      <w:proofErr w:type="spellEnd"/>
      <w:r>
        <w:rPr>
          <w:rFonts w:ascii="Times New Roman" w:hAnsi="Times New Roman"/>
          <w:sz w:val="24"/>
          <w:szCs w:val="24"/>
        </w:rPr>
        <w:t xml:space="preserve"> et al., 2009) led to the conclusion that each of three potential acute effects was most appropriately attributed to a different dose metric—minimum level of GSH in the nasal olfactory epithelium for the rat nasal effects, maximum </w:t>
      </w:r>
      <w:proofErr w:type="spellStart"/>
      <w:r>
        <w:rPr>
          <w:rFonts w:ascii="Times New Roman" w:hAnsi="Times New Roman"/>
          <w:sz w:val="24"/>
          <w:szCs w:val="24"/>
        </w:rPr>
        <w:t>iodomethane</w:t>
      </w:r>
      <w:proofErr w:type="spellEnd"/>
      <w:r>
        <w:rPr>
          <w:rFonts w:ascii="Times New Roman" w:hAnsi="Times New Roman"/>
          <w:sz w:val="24"/>
          <w:szCs w:val="24"/>
        </w:rPr>
        <w:t xml:space="preserve"> concentration in the brain for rat neurotoxicity, and fetal blood iodide AUC for developmental effects in the rabbit.  Because of the different modes of action for the endpoints and the different schedules for bystanders vs. workers, different endpoints yield the lowest (most health protective) HECs for the two different groups (i.e., developmental toxicity is the most sensitive endpoint for bystanders, vs. </w:t>
      </w:r>
      <w:r>
        <w:rPr>
          <w:rFonts w:ascii="Times New Roman" w:hAnsi="Times New Roman"/>
          <w:sz w:val="24"/>
          <w:szCs w:val="24"/>
        </w:rPr>
        <w:lastRenderedPageBreak/>
        <w:t xml:space="preserve">neurotoxicity for workers) (Table S-1).  This example highlights the importance of considering studies which may not have the lowest NOAEL, when incorporating </w:t>
      </w:r>
      <w:proofErr w:type="spellStart"/>
      <w:r>
        <w:rPr>
          <w:rFonts w:ascii="Times New Roman" w:hAnsi="Times New Roman"/>
          <w:sz w:val="24"/>
          <w:szCs w:val="24"/>
        </w:rPr>
        <w:t>dosimetric</w:t>
      </w:r>
      <w:proofErr w:type="spellEnd"/>
      <w:r>
        <w:rPr>
          <w:rFonts w:ascii="Times New Roman" w:hAnsi="Times New Roman"/>
          <w:sz w:val="24"/>
          <w:szCs w:val="24"/>
        </w:rPr>
        <w:t xml:space="preserve"> adjustments</w:t>
      </w:r>
    </w:p>
    <w:p w:rsidR="00DF7C9F" w:rsidRDefault="00DF7C9F" w:rsidP="00DF7C9F">
      <w:pPr>
        <w:spacing w:line="480" w:lineRule="auto"/>
      </w:pPr>
    </w:p>
    <w:p w:rsidR="0093238A" w:rsidRPr="0093238A" w:rsidRDefault="00DF7C9F" w:rsidP="0093238A">
      <w:pPr>
        <w:spacing w:after="0" w:line="240" w:lineRule="auto"/>
        <w:rPr>
          <w:rFonts w:ascii="Times New Roman" w:hAnsi="Times New Roman"/>
          <w:b/>
          <w:sz w:val="24"/>
          <w:szCs w:val="24"/>
        </w:rPr>
      </w:pPr>
      <w:bookmarkStart w:id="1" w:name="_Ref293328343"/>
      <w:proofErr w:type="gramStart"/>
      <w:r w:rsidRPr="0093238A">
        <w:rPr>
          <w:rFonts w:ascii="Times New Roman" w:hAnsi="Times New Roman"/>
          <w:b/>
          <w:sz w:val="24"/>
          <w:szCs w:val="24"/>
        </w:rPr>
        <w:t>Table S</w:t>
      </w:r>
      <w:bookmarkEnd w:id="1"/>
      <w:r w:rsidRPr="0093238A">
        <w:rPr>
          <w:rFonts w:ascii="Times New Roman" w:hAnsi="Times New Roman"/>
          <w:b/>
          <w:sz w:val="24"/>
          <w:szCs w:val="24"/>
        </w:rPr>
        <w:t>-1.</w:t>
      </w:r>
      <w:proofErr w:type="gramEnd"/>
      <w:r w:rsidR="00955A03" w:rsidRPr="0093238A">
        <w:rPr>
          <w:rFonts w:ascii="Times New Roman" w:hAnsi="Times New Roman"/>
          <w:b/>
          <w:sz w:val="24"/>
          <w:szCs w:val="24"/>
        </w:rPr>
        <w:t xml:space="preserve">  </w:t>
      </w:r>
      <w:proofErr w:type="spellStart"/>
      <w:r w:rsidR="00955A03" w:rsidRPr="0093238A">
        <w:rPr>
          <w:rFonts w:ascii="Times New Roman" w:hAnsi="Times New Roman"/>
          <w:b/>
          <w:sz w:val="24"/>
          <w:szCs w:val="24"/>
        </w:rPr>
        <w:t>Insterspecies</w:t>
      </w:r>
      <w:proofErr w:type="spellEnd"/>
      <w:r w:rsidR="00955A03" w:rsidRPr="0093238A">
        <w:rPr>
          <w:rFonts w:ascii="Times New Roman" w:hAnsi="Times New Roman"/>
          <w:b/>
          <w:sz w:val="24"/>
          <w:szCs w:val="24"/>
        </w:rPr>
        <w:t xml:space="preserve"> extrapolation for </w:t>
      </w:r>
      <w:proofErr w:type="spellStart"/>
      <w:r w:rsidR="00955A03" w:rsidRPr="0093238A">
        <w:rPr>
          <w:rFonts w:ascii="Times New Roman" w:hAnsi="Times New Roman"/>
          <w:b/>
          <w:sz w:val="24"/>
          <w:szCs w:val="24"/>
        </w:rPr>
        <w:t>iodomethane</w:t>
      </w:r>
      <w:proofErr w:type="spellEnd"/>
      <w:r w:rsidR="00955A03" w:rsidRPr="0093238A">
        <w:rPr>
          <w:rFonts w:ascii="Times New Roman" w:hAnsi="Times New Roman"/>
          <w:b/>
          <w:sz w:val="24"/>
          <w:szCs w:val="24"/>
        </w:rPr>
        <w:t xml:space="preserve"> </w:t>
      </w:r>
      <w:r w:rsidR="0093238A" w:rsidRPr="0093238A">
        <w:rPr>
          <w:rFonts w:ascii="Times New Roman" w:hAnsi="Times New Roman"/>
          <w:b/>
          <w:sz w:val="24"/>
          <w:szCs w:val="24"/>
        </w:rPr>
        <w:t xml:space="preserve">Sweeney, L.M., C.R. </w:t>
      </w:r>
      <w:proofErr w:type="spellStart"/>
      <w:r w:rsidR="0093238A" w:rsidRPr="0093238A">
        <w:rPr>
          <w:rFonts w:ascii="Times New Roman" w:hAnsi="Times New Roman"/>
          <w:b/>
          <w:sz w:val="24"/>
          <w:szCs w:val="24"/>
        </w:rPr>
        <w:t>Kirman</w:t>
      </w:r>
      <w:proofErr w:type="spellEnd"/>
      <w:r w:rsidR="0093238A" w:rsidRPr="0093238A">
        <w:rPr>
          <w:rFonts w:ascii="Times New Roman" w:hAnsi="Times New Roman"/>
          <w:b/>
          <w:sz w:val="24"/>
          <w:szCs w:val="24"/>
        </w:rPr>
        <w:t xml:space="preserve">, S.A. Gannon, K.D. Thrall, M.L. </w:t>
      </w:r>
      <w:proofErr w:type="spellStart"/>
      <w:r w:rsidR="0093238A" w:rsidRPr="0093238A">
        <w:rPr>
          <w:rFonts w:ascii="Times New Roman" w:hAnsi="Times New Roman"/>
          <w:b/>
          <w:sz w:val="24"/>
          <w:szCs w:val="24"/>
        </w:rPr>
        <w:t>Gargas</w:t>
      </w:r>
      <w:proofErr w:type="spellEnd"/>
      <w:r w:rsidR="0093238A" w:rsidRPr="0093238A">
        <w:rPr>
          <w:rFonts w:ascii="Times New Roman" w:hAnsi="Times New Roman"/>
          <w:b/>
          <w:sz w:val="24"/>
          <w:szCs w:val="24"/>
        </w:rPr>
        <w:t xml:space="preserve">, J.H. </w:t>
      </w:r>
      <w:proofErr w:type="spellStart"/>
      <w:r w:rsidR="0093238A" w:rsidRPr="0093238A">
        <w:rPr>
          <w:rFonts w:ascii="Times New Roman" w:hAnsi="Times New Roman"/>
          <w:b/>
          <w:sz w:val="24"/>
          <w:szCs w:val="24"/>
        </w:rPr>
        <w:t>Kinzell</w:t>
      </w:r>
      <w:proofErr w:type="spellEnd"/>
      <w:r w:rsidR="0093238A" w:rsidRPr="0093238A">
        <w:rPr>
          <w:rFonts w:ascii="Times New Roman" w:hAnsi="Times New Roman"/>
          <w:b/>
          <w:sz w:val="24"/>
          <w:szCs w:val="24"/>
        </w:rPr>
        <w:t xml:space="preserve">: Development of a physiologically based pharmacokinetic (PBPK) model for methyl iodide in rats, rabbits, and humans. </w:t>
      </w:r>
      <w:proofErr w:type="spellStart"/>
      <w:proofErr w:type="gramStart"/>
      <w:r w:rsidR="0093238A" w:rsidRPr="0093238A">
        <w:rPr>
          <w:rFonts w:ascii="Times New Roman" w:hAnsi="Times New Roman"/>
          <w:b/>
          <w:sz w:val="24"/>
          <w:szCs w:val="24"/>
        </w:rPr>
        <w:t>Inhal</w:t>
      </w:r>
      <w:proofErr w:type="spellEnd"/>
      <w:r w:rsidR="0093238A" w:rsidRPr="0093238A">
        <w:rPr>
          <w:rFonts w:ascii="Times New Roman" w:hAnsi="Times New Roman"/>
          <w:b/>
          <w:sz w:val="24"/>
          <w:szCs w:val="24"/>
        </w:rPr>
        <w:t xml:space="preserve"> </w:t>
      </w:r>
      <w:proofErr w:type="spellStart"/>
      <w:r w:rsidR="0093238A" w:rsidRPr="0093238A">
        <w:rPr>
          <w:rFonts w:ascii="Times New Roman" w:hAnsi="Times New Roman"/>
          <w:b/>
          <w:sz w:val="24"/>
          <w:szCs w:val="24"/>
        </w:rPr>
        <w:t>Toxicol</w:t>
      </w:r>
      <w:proofErr w:type="spellEnd"/>
      <w:r w:rsidR="0093238A" w:rsidRPr="0093238A">
        <w:rPr>
          <w:rFonts w:ascii="Times New Roman" w:hAnsi="Times New Roman"/>
          <w:b/>
          <w:sz w:val="24"/>
          <w:szCs w:val="24"/>
        </w:rPr>
        <w:t>.</w:t>
      </w:r>
      <w:proofErr w:type="gramEnd"/>
      <w:r w:rsidR="0093238A" w:rsidRPr="0093238A">
        <w:rPr>
          <w:rFonts w:ascii="Times New Roman" w:hAnsi="Times New Roman"/>
          <w:b/>
          <w:sz w:val="24"/>
          <w:szCs w:val="24"/>
        </w:rPr>
        <w:t xml:space="preserve"> </w:t>
      </w:r>
      <w:proofErr w:type="gramStart"/>
      <w:r w:rsidR="0093238A" w:rsidRPr="0093238A">
        <w:rPr>
          <w:rFonts w:ascii="Times New Roman" w:hAnsi="Times New Roman"/>
          <w:b/>
          <w:sz w:val="24"/>
          <w:szCs w:val="24"/>
        </w:rPr>
        <w:t xml:space="preserve">21(6):552-582, copyright © (2009) </w:t>
      </w:r>
      <w:proofErr w:type="spellStart"/>
      <w:r w:rsidR="0093238A" w:rsidRPr="0093238A">
        <w:rPr>
          <w:rFonts w:ascii="Times New Roman" w:hAnsi="Times New Roman"/>
          <w:b/>
          <w:sz w:val="24"/>
          <w:szCs w:val="24"/>
        </w:rPr>
        <w:t>Informa</w:t>
      </w:r>
      <w:proofErr w:type="spellEnd"/>
      <w:r w:rsidR="0093238A" w:rsidRPr="0093238A">
        <w:rPr>
          <w:rFonts w:ascii="Times New Roman" w:hAnsi="Times New Roman"/>
          <w:b/>
          <w:sz w:val="24"/>
          <w:szCs w:val="24"/>
        </w:rPr>
        <w:t xml:space="preserve"> Healthcare].</w:t>
      </w:r>
      <w:proofErr w:type="gramEnd"/>
      <w:r w:rsidR="0093238A" w:rsidRPr="0093238A">
        <w:rPr>
          <w:rFonts w:ascii="Times New Roman" w:hAnsi="Times New Roman"/>
          <w:b/>
          <w:sz w:val="24"/>
          <w:szCs w:val="24"/>
        </w:rPr>
        <w:t xml:space="preserve">  </w:t>
      </w:r>
      <w:proofErr w:type="gramStart"/>
      <w:r w:rsidR="0093238A" w:rsidRPr="0093238A">
        <w:rPr>
          <w:rFonts w:ascii="Times New Roman" w:hAnsi="Times New Roman"/>
          <w:b/>
          <w:sz w:val="24"/>
          <w:szCs w:val="24"/>
        </w:rPr>
        <w:t xml:space="preserve">Reproduced with permission of </w:t>
      </w:r>
      <w:proofErr w:type="spellStart"/>
      <w:r w:rsidR="0093238A" w:rsidRPr="0093238A">
        <w:rPr>
          <w:rFonts w:ascii="Times New Roman" w:hAnsi="Times New Roman"/>
          <w:b/>
          <w:sz w:val="24"/>
          <w:szCs w:val="24"/>
        </w:rPr>
        <w:t>Informa</w:t>
      </w:r>
      <w:proofErr w:type="spellEnd"/>
      <w:r w:rsidR="0093238A" w:rsidRPr="0093238A">
        <w:rPr>
          <w:rFonts w:ascii="Times New Roman" w:hAnsi="Times New Roman"/>
          <w:b/>
          <w:sz w:val="24"/>
          <w:szCs w:val="24"/>
        </w:rPr>
        <w:t xml:space="preserve"> Healthcare.</w:t>
      </w:r>
      <w:proofErr w:type="gramEnd"/>
    </w:p>
    <w:p w:rsidR="0093238A" w:rsidRDefault="0093238A" w:rsidP="0093238A">
      <w:pPr>
        <w:pStyle w:val="CommentText"/>
        <w:spacing w:after="0"/>
        <w:rPr>
          <w:rFonts w:asciiTheme="minorHAnsi" w:hAnsiTheme="minorHAnsi"/>
          <w:noProof/>
          <w:sz w:val="22"/>
          <w:szCs w:val="22"/>
        </w:rPr>
      </w:pPr>
    </w:p>
    <w:p w:rsidR="00DF7C9F" w:rsidRPr="00A159EF" w:rsidRDefault="00DF7C9F" w:rsidP="00DF7C9F">
      <w:pPr>
        <w:pStyle w:val="Caption"/>
        <w:keepNext/>
        <w:spacing w:after="0" w:line="480" w:lineRule="auto"/>
        <w:rPr>
          <w:rFonts w:ascii="Times New Roman" w:hAnsi="Times New Roman"/>
          <w:color w:val="auto"/>
          <w:sz w:val="24"/>
          <w:szCs w:val="24"/>
        </w:rPr>
      </w:pPr>
    </w:p>
    <w:tbl>
      <w:tblPr>
        <w:tblW w:w="0" w:type="auto"/>
        <w:tblBorders>
          <w:top w:val="single" w:sz="4" w:space="0" w:color="auto"/>
          <w:bottom w:val="single" w:sz="4" w:space="0" w:color="auto"/>
          <w:insideH w:val="single" w:sz="4" w:space="0" w:color="auto"/>
        </w:tblBorders>
        <w:tblLook w:val="00A0"/>
      </w:tblPr>
      <w:tblGrid>
        <w:gridCol w:w="2476"/>
        <w:gridCol w:w="1890"/>
        <w:gridCol w:w="1675"/>
        <w:gridCol w:w="1980"/>
      </w:tblGrid>
      <w:tr w:rsidR="00DF7C9F" w:rsidRPr="00A159EF" w:rsidTr="00DF7C9F">
        <w:tc>
          <w:tcPr>
            <w:tcW w:w="0" w:type="auto"/>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b/>
                <w:sz w:val="24"/>
                <w:szCs w:val="24"/>
              </w:rPr>
            </w:pPr>
            <w:r w:rsidRPr="00A159EF">
              <w:rPr>
                <w:rFonts w:ascii="Times New Roman" w:hAnsi="Times New Roman"/>
                <w:b/>
                <w:sz w:val="24"/>
                <w:szCs w:val="24"/>
              </w:rPr>
              <w:t>Endpoint</w:t>
            </w:r>
          </w:p>
        </w:tc>
        <w:tc>
          <w:tcPr>
            <w:tcW w:w="0" w:type="auto"/>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b/>
                <w:sz w:val="24"/>
                <w:szCs w:val="24"/>
              </w:rPr>
            </w:pPr>
            <w:r w:rsidRPr="00A159EF">
              <w:rPr>
                <w:rFonts w:ascii="Times New Roman" w:hAnsi="Times New Roman"/>
                <w:b/>
                <w:sz w:val="24"/>
                <w:szCs w:val="24"/>
              </w:rPr>
              <w:t>Animal NOAEL</w:t>
            </w:r>
          </w:p>
        </w:tc>
        <w:tc>
          <w:tcPr>
            <w:tcW w:w="1675" w:type="dxa"/>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b/>
                <w:sz w:val="24"/>
                <w:szCs w:val="24"/>
              </w:rPr>
            </w:pPr>
            <w:r w:rsidRPr="00A159EF">
              <w:rPr>
                <w:rFonts w:ascii="Times New Roman" w:hAnsi="Times New Roman"/>
                <w:b/>
                <w:sz w:val="24"/>
                <w:szCs w:val="24"/>
              </w:rPr>
              <w:t>Bystander HEC</w:t>
            </w:r>
          </w:p>
        </w:tc>
        <w:tc>
          <w:tcPr>
            <w:tcW w:w="1980" w:type="dxa"/>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b/>
                <w:sz w:val="24"/>
                <w:szCs w:val="24"/>
              </w:rPr>
            </w:pPr>
            <w:r w:rsidRPr="00A159EF">
              <w:rPr>
                <w:rFonts w:ascii="Times New Roman" w:hAnsi="Times New Roman"/>
                <w:b/>
                <w:sz w:val="24"/>
                <w:szCs w:val="24"/>
              </w:rPr>
              <w:t>Occupational HEC</w:t>
            </w:r>
          </w:p>
        </w:tc>
      </w:tr>
      <w:tr w:rsidR="00DF7C9F" w:rsidRPr="00A159EF" w:rsidTr="00DF7C9F">
        <w:tc>
          <w:tcPr>
            <w:tcW w:w="0" w:type="auto"/>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Transient neurotoxicity</w:t>
            </w:r>
          </w:p>
        </w:tc>
        <w:tc>
          <w:tcPr>
            <w:tcW w:w="0" w:type="auto"/>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 xml:space="preserve">27 </w:t>
            </w:r>
            <w:proofErr w:type="spellStart"/>
            <w:r w:rsidRPr="00A159EF">
              <w:rPr>
                <w:rFonts w:ascii="Times New Roman" w:hAnsi="Times New Roman"/>
                <w:sz w:val="24"/>
                <w:szCs w:val="24"/>
              </w:rPr>
              <w:t>ppm</w:t>
            </w:r>
            <w:proofErr w:type="spellEnd"/>
          </w:p>
        </w:tc>
        <w:tc>
          <w:tcPr>
            <w:tcW w:w="1675" w:type="dxa"/>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 xml:space="preserve">10 </w:t>
            </w:r>
            <w:proofErr w:type="spellStart"/>
            <w:r w:rsidRPr="00A159EF">
              <w:rPr>
                <w:rFonts w:ascii="Times New Roman" w:hAnsi="Times New Roman"/>
                <w:sz w:val="24"/>
                <w:szCs w:val="24"/>
              </w:rPr>
              <w:t>ppm</w:t>
            </w:r>
            <w:proofErr w:type="spellEnd"/>
          </w:p>
        </w:tc>
        <w:tc>
          <w:tcPr>
            <w:tcW w:w="1980" w:type="dxa"/>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 xml:space="preserve">10 </w:t>
            </w:r>
            <w:proofErr w:type="spellStart"/>
            <w:r w:rsidRPr="00A159EF">
              <w:rPr>
                <w:rFonts w:ascii="Times New Roman" w:hAnsi="Times New Roman"/>
                <w:sz w:val="24"/>
                <w:szCs w:val="24"/>
              </w:rPr>
              <w:t>ppm</w:t>
            </w:r>
            <w:proofErr w:type="spellEnd"/>
          </w:p>
        </w:tc>
      </w:tr>
      <w:tr w:rsidR="00DF7C9F" w:rsidRPr="00A159EF" w:rsidTr="00DF7C9F">
        <w:tc>
          <w:tcPr>
            <w:tcW w:w="0" w:type="auto"/>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Nasal toxicity</w:t>
            </w:r>
          </w:p>
        </w:tc>
        <w:tc>
          <w:tcPr>
            <w:tcW w:w="0" w:type="auto"/>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 xml:space="preserve">21 </w:t>
            </w:r>
            <w:proofErr w:type="spellStart"/>
            <w:r w:rsidRPr="00A159EF">
              <w:rPr>
                <w:rFonts w:ascii="Times New Roman" w:hAnsi="Times New Roman"/>
                <w:sz w:val="24"/>
                <w:szCs w:val="24"/>
              </w:rPr>
              <w:t>ppm</w:t>
            </w:r>
            <w:proofErr w:type="spellEnd"/>
          </w:p>
        </w:tc>
        <w:tc>
          <w:tcPr>
            <w:tcW w:w="1675" w:type="dxa"/>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 xml:space="preserve">36 </w:t>
            </w:r>
            <w:proofErr w:type="spellStart"/>
            <w:r w:rsidRPr="00A159EF">
              <w:rPr>
                <w:rFonts w:ascii="Times New Roman" w:hAnsi="Times New Roman"/>
                <w:sz w:val="24"/>
                <w:szCs w:val="24"/>
              </w:rPr>
              <w:t>ppm</w:t>
            </w:r>
            <w:proofErr w:type="spellEnd"/>
          </w:p>
        </w:tc>
        <w:tc>
          <w:tcPr>
            <w:tcW w:w="1980" w:type="dxa"/>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 xml:space="preserve">50 </w:t>
            </w:r>
            <w:proofErr w:type="spellStart"/>
            <w:r w:rsidRPr="00A159EF">
              <w:rPr>
                <w:rFonts w:ascii="Times New Roman" w:hAnsi="Times New Roman"/>
                <w:sz w:val="24"/>
                <w:szCs w:val="24"/>
              </w:rPr>
              <w:t>ppm</w:t>
            </w:r>
            <w:proofErr w:type="spellEnd"/>
          </w:p>
        </w:tc>
      </w:tr>
      <w:tr w:rsidR="00DF7C9F" w:rsidRPr="00A159EF" w:rsidTr="00DF7C9F">
        <w:tc>
          <w:tcPr>
            <w:tcW w:w="0" w:type="auto"/>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Developmental toxicity</w:t>
            </w:r>
          </w:p>
        </w:tc>
        <w:tc>
          <w:tcPr>
            <w:tcW w:w="0" w:type="auto"/>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 xml:space="preserve">10 </w:t>
            </w:r>
            <w:proofErr w:type="spellStart"/>
            <w:r w:rsidRPr="00A159EF">
              <w:rPr>
                <w:rFonts w:ascii="Times New Roman" w:hAnsi="Times New Roman"/>
                <w:sz w:val="24"/>
                <w:szCs w:val="24"/>
              </w:rPr>
              <w:t>ppm</w:t>
            </w:r>
            <w:proofErr w:type="spellEnd"/>
          </w:p>
        </w:tc>
        <w:tc>
          <w:tcPr>
            <w:tcW w:w="1675" w:type="dxa"/>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 xml:space="preserve">7.4 </w:t>
            </w:r>
            <w:proofErr w:type="spellStart"/>
            <w:r w:rsidRPr="00A159EF">
              <w:rPr>
                <w:rFonts w:ascii="Times New Roman" w:hAnsi="Times New Roman"/>
                <w:sz w:val="24"/>
                <w:szCs w:val="24"/>
              </w:rPr>
              <w:t>ppm</w:t>
            </w:r>
            <w:proofErr w:type="spellEnd"/>
          </w:p>
        </w:tc>
        <w:tc>
          <w:tcPr>
            <w:tcW w:w="1980" w:type="dxa"/>
            <w:tcBorders>
              <w:top w:val="single" w:sz="4" w:space="0" w:color="auto"/>
              <w:left w:val="nil"/>
              <w:bottom w:val="single" w:sz="4" w:space="0" w:color="auto"/>
              <w:right w:val="nil"/>
            </w:tcBorders>
            <w:hideMark/>
          </w:tcPr>
          <w:p w:rsidR="00DF7C9F" w:rsidRPr="00A159EF" w:rsidRDefault="00DF7C9F">
            <w:pPr>
              <w:spacing w:after="0" w:line="480" w:lineRule="auto"/>
              <w:rPr>
                <w:rFonts w:ascii="Times New Roman" w:hAnsi="Times New Roman"/>
                <w:sz w:val="24"/>
                <w:szCs w:val="24"/>
              </w:rPr>
            </w:pPr>
            <w:r w:rsidRPr="00A159EF">
              <w:rPr>
                <w:rFonts w:ascii="Times New Roman" w:hAnsi="Times New Roman"/>
                <w:sz w:val="24"/>
                <w:szCs w:val="24"/>
              </w:rPr>
              <w:t xml:space="preserve">23 </w:t>
            </w:r>
            <w:proofErr w:type="spellStart"/>
            <w:r w:rsidRPr="00A159EF">
              <w:rPr>
                <w:rFonts w:ascii="Times New Roman" w:hAnsi="Times New Roman"/>
                <w:sz w:val="24"/>
                <w:szCs w:val="24"/>
              </w:rPr>
              <w:t>ppm</w:t>
            </w:r>
            <w:proofErr w:type="spellEnd"/>
          </w:p>
        </w:tc>
      </w:tr>
    </w:tbl>
    <w:p w:rsidR="00DF7C9F" w:rsidRDefault="00DF7C9F" w:rsidP="00DF7C9F">
      <w:pPr>
        <w:spacing w:after="0" w:line="480" w:lineRule="auto"/>
        <w:rPr>
          <w:rFonts w:ascii="Times New Roman" w:hAnsi="Times New Roman"/>
          <w:b/>
          <w:sz w:val="24"/>
          <w:szCs w:val="24"/>
        </w:rPr>
      </w:pPr>
    </w:p>
    <w:p w:rsidR="00DF7C9F" w:rsidRDefault="00DF7C9F" w:rsidP="00DF7C9F">
      <w:pPr>
        <w:spacing w:after="0" w:line="480" w:lineRule="auto"/>
        <w:rPr>
          <w:rFonts w:ascii="Times New Roman" w:hAnsi="Times New Roman"/>
          <w:b/>
          <w:sz w:val="24"/>
          <w:szCs w:val="24"/>
        </w:rPr>
      </w:pPr>
      <w:r>
        <w:rPr>
          <w:rFonts w:ascii="Times New Roman" w:hAnsi="Times New Roman"/>
          <w:b/>
          <w:sz w:val="24"/>
          <w:szCs w:val="24"/>
        </w:rPr>
        <w:t>S-</w:t>
      </w:r>
      <w:r w:rsidR="0080024A">
        <w:rPr>
          <w:rFonts w:ascii="Times New Roman" w:hAnsi="Times New Roman"/>
          <w:b/>
          <w:sz w:val="24"/>
          <w:szCs w:val="24"/>
        </w:rPr>
        <w:t>2</w:t>
      </w:r>
      <w:r>
        <w:rPr>
          <w:rFonts w:ascii="Times New Roman" w:hAnsi="Times New Roman"/>
          <w:b/>
          <w:sz w:val="24"/>
          <w:szCs w:val="24"/>
        </w:rPr>
        <w:t xml:space="preserve"> Route-to-Route Extrapolation</w:t>
      </w:r>
      <w:r w:rsidR="00F47C34">
        <w:rPr>
          <w:rFonts w:ascii="Times New Roman" w:hAnsi="Times New Roman"/>
          <w:b/>
          <w:sz w:val="24"/>
          <w:szCs w:val="24"/>
        </w:rPr>
        <w:t>:  PBPK Modeling A</w:t>
      </w:r>
      <w:r>
        <w:rPr>
          <w:rFonts w:ascii="Times New Roman" w:hAnsi="Times New Roman"/>
          <w:b/>
          <w:sz w:val="24"/>
          <w:szCs w:val="24"/>
        </w:rPr>
        <w:t>pproaches</w:t>
      </w:r>
    </w:p>
    <w:p w:rsidR="00DF7C9F" w:rsidRDefault="00F47C34" w:rsidP="00DF7C9F">
      <w:pPr>
        <w:spacing w:after="0" w:line="480" w:lineRule="auto"/>
        <w:rPr>
          <w:rFonts w:ascii="Times New Roman" w:hAnsi="Times New Roman"/>
          <w:sz w:val="24"/>
          <w:szCs w:val="24"/>
        </w:rPr>
      </w:pPr>
      <w:r>
        <w:rPr>
          <w:rFonts w:ascii="Times New Roman" w:hAnsi="Times New Roman"/>
          <w:sz w:val="24"/>
          <w:szCs w:val="24"/>
        </w:rPr>
        <w:t xml:space="preserve">Guidance for deciding when to use route-to-route-extrapolation for OEL derivation was provided in the main part of the manuscript along with (“Route-to-Route Extrapolation (to Derive OELs for Inhaled Substances)”).   </w:t>
      </w:r>
      <w:r w:rsidR="00DF7C9F">
        <w:rPr>
          <w:rFonts w:ascii="Times New Roman" w:hAnsi="Times New Roman"/>
          <w:sz w:val="24"/>
          <w:szCs w:val="24"/>
        </w:rPr>
        <w:t>In a PBPK modeling based approach</w:t>
      </w:r>
      <w:r>
        <w:rPr>
          <w:rFonts w:ascii="Times New Roman" w:hAnsi="Times New Roman"/>
          <w:sz w:val="24"/>
          <w:szCs w:val="24"/>
        </w:rPr>
        <w:t xml:space="preserve"> to route-to-route extrapolation</w:t>
      </w:r>
      <w:r w:rsidR="00DF7C9F">
        <w:rPr>
          <w:rFonts w:ascii="Times New Roman" w:hAnsi="Times New Roman"/>
          <w:sz w:val="24"/>
          <w:szCs w:val="24"/>
        </w:rPr>
        <w:t xml:space="preserve">, a NOAEL, LOAEL, or BMDL exposure level by the test route will typically be simulated using a validated model and the corresponding dose metric will be calculated.  If applicable, uncertainty factors may be applied to the internal dose prior to or after extrapolations.  The adjusted or unadjusted internal dose for the test route will then serve as the target value for further </w:t>
      </w:r>
      <w:proofErr w:type="spellStart"/>
      <w:r w:rsidR="00DF7C9F">
        <w:rPr>
          <w:rFonts w:ascii="Times New Roman" w:hAnsi="Times New Roman"/>
          <w:sz w:val="24"/>
          <w:szCs w:val="24"/>
        </w:rPr>
        <w:t>dosimetry</w:t>
      </w:r>
      <w:proofErr w:type="spellEnd"/>
      <w:r w:rsidR="00DF7C9F">
        <w:rPr>
          <w:rFonts w:ascii="Times New Roman" w:hAnsi="Times New Roman"/>
          <w:sz w:val="24"/>
          <w:szCs w:val="24"/>
        </w:rPr>
        <w:t xml:space="preserve"> simulations corresponding to the inhalation route.  The inhalation simulations can either be done using a model for human workers (preferred) or for the test species.  In the </w:t>
      </w:r>
      <w:r w:rsidR="00DF7C9F">
        <w:rPr>
          <w:rFonts w:ascii="Times New Roman" w:hAnsi="Times New Roman"/>
          <w:sz w:val="24"/>
          <w:szCs w:val="24"/>
        </w:rPr>
        <w:lastRenderedPageBreak/>
        <w:t>lat</w:t>
      </w:r>
      <w:r w:rsidR="001D041F">
        <w:rPr>
          <w:rFonts w:ascii="Times New Roman" w:hAnsi="Times New Roman"/>
          <w:sz w:val="24"/>
          <w:szCs w:val="24"/>
        </w:rPr>
        <w:t>t</w:t>
      </w:r>
      <w:r w:rsidR="00DF7C9F">
        <w:rPr>
          <w:rFonts w:ascii="Times New Roman" w:hAnsi="Times New Roman"/>
          <w:sz w:val="24"/>
          <w:szCs w:val="24"/>
        </w:rPr>
        <w:t xml:space="preserve">er case, adjustment factors for interspecies extrapolations, including interspecies kinetic differences, will need to be applied.  </w:t>
      </w:r>
    </w:p>
    <w:p w:rsidR="00DF7C9F" w:rsidRDefault="00DF7C9F" w:rsidP="00DF7C9F">
      <w:pPr>
        <w:spacing w:after="0" w:line="480" w:lineRule="auto"/>
        <w:rPr>
          <w:rFonts w:ascii="Times New Roman" w:hAnsi="Times New Roman"/>
          <w:sz w:val="24"/>
          <w:szCs w:val="24"/>
        </w:rPr>
      </w:pPr>
      <w:r>
        <w:rPr>
          <w:rFonts w:ascii="Times New Roman" w:hAnsi="Times New Roman"/>
          <w:sz w:val="24"/>
          <w:szCs w:val="24"/>
        </w:rPr>
        <w:t xml:space="preserve"> </w:t>
      </w:r>
    </w:p>
    <w:p w:rsidR="00DF7C9F" w:rsidRDefault="00DF7C9F" w:rsidP="00DF7C9F">
      <w:pPr>
        <w:spacing w:after="0" w:line="480" w:lineRule="auto"/>
        <w:rPr>
          <w:rFonts w:ascii="Times New Roman" w:hAnsi="Times New Roman"/>
          <w:b/>
          <w:sz w:val="24"/>
          <w:szCs w:val="24"/>
        </w:rPr>
      </w:pPr>
      <w:r>
        <w:rPr>
          <w:rFonts w:ascii="Times New Roman" w:hAnsi="Times New Roman"/>
          <w:b/>
          <w:sz w:val="24"/>
          <w:szCs w:val="24"/>
        </w:rPr>
        <w:t>S-</w:t>
      </w:r>
      <w:r w:rsidR="0080024A">
        <w:rPr>
          <w:rFonts w:ascii="Times New Roman" w:hAnsi="Times New Roman"/>
          <w:b/>
          <w:sz w:val="24"/>
          <w:szCs w:val="24"/>
        </w:rPr>
        <w:t>2</w:t>
      </w:r>
      <w:r>
        <w:rPr>
          <w:rFonts w:ascii="Times New Roman" w:hAnsi="Times New Roman"/>
          <w:b/>
          <w:sz w:val="24"/>
          <w:szCs w:val="24"/>
        </w:rPr>
        <w:t>.</w:t>
      </w:r>
      <w:r w:rsidR="00F47C34">
        <w:rPr>
          <w:rFonts w:ascii="Times New Roman" w:hAnsi="Times New Roman"/>
          <w:b/>
          <w:sz w:val="24"/>
          <w:szCs w:val="24"/>
        </w:rPr>
        <w:t>1</w:t>
      </w:r>
      <w:r>
        <w:rPr>
          <w:rFonts w:ascii="Times New Roman" w:hAnsi="Times New Roman"/>
          <w:b/>
          <w:sz w:val="24"/>
          <w:szCs w:val="24"/>
        </w:rPr>
        <w:t xml:space="preserve"> Example of route-to-route extrapolation in OELs derived for pharmaceuticals</w:t>
      </w:r>
    </w:p>
    <w:p w:rsidR="00DF7C9F" w:rsidRDefault="00DF7C9F" w:rsidP="00DF7C9F">
      <w:pPr>
        <w:spacing w:after="0" w:line="480" w:lineRule="auto"/>
        <w:rPr>
          <w:rFonts w:ascii="Times New Roman" w:hAnsi="Times New Roman"/>
          <w:sz w:val="24"/>
          <w:szCs w:val="24"/>
        </w:rPr>
      </w:pPr>
      <w:r>
        <w:rPr>
          <w:rFonts w:ascii="Times New Roman" w:hAnsi="Times New Roman"/>
          <w:sz w:val="24"/>
          <w:szCs w:val="24"/>
        </w:rPr>
        <w:t xml:space="preserve">To develop worker inhalation OELs for active pharmaceutical ingredients, manufacturers may extrapolate from effect s evaluated by more commonly tested clinical routes (e.g., oral) to routes of greater occupational concern, e.g., inhalation.  However, rather than conduct additional kinetic or toxicity studies by the inhalation route, it is typically easier and less expensive to conduct studies by </w:t>
      </w:r>
      <w:proofErr w:type="spellStart"/>
      <w:r>
        <w:rPr>
          <w:rFonts w:ascii="Times New Roman" w:hAnsi="Times New Roman"/>
          <w:sz w:val="24"/>
          <w:szCs w:val="24"/>
        </w:rPr>
        <w:t>intratracheal</w:t>
      </w:r>
      <w:proofErr w:type="spellEnd"/>
      <w:r>
        <w:rPr>
          <w:rFonts w:ascii="Times New Roman" w:hAnsi="Times New Roman"/>
          <w:sz w:val="24"/>
          <w:szCs w:val="24"/>
        </w:rPr>
        <w:t xml:space="preserve"> or intranasal instillation (</w:t>
      </w:r>
      <w:proofErr w:type="spellStart"/>
      <w:r>
        <w:rPr>
          <w:rFonts w:ascii="Times New Roman" w:hAnsi="Times New Roman"/>
          <w:sz w:val="24"/>
          <w:szCs w:val="24"/>
        </w:rPr>
        <w:t>Naumann</w:t>
      </w:r>
      <w:proofErr w:type="spellEnd"/>
      <w:r>
        <w:rPr>
          <w:rFonts w:ascii="Times New Roman" w:hAnsi="Times New Roman"/>
          <w:sz w:val="24"/>
          <w:szCs w:val="24"/>
        </w:rPr>
        <w:t xml:space="preserve"> et al., 2009).  In order to account for distribution differences between inhalation studies and studies conducted by intranasal or </w:t>
      </w:r>
      <w:proofErr w:type="spellStart"/>
      <w:r>
        <w:rPr>
          <w:rFonts w:ascii="Times New Roman" w:hAnsi="Times New Roman"/>
          <w:sz w:val="24"/>
          <w:szCs w:val="24"/>
        </w:rPr>
        <w:t>intratracheal</w:t>
      </w:r>
      <w:proofErr w:type="spellEnd"/>
      <w:r>
        <w:rPr>
          <w:rFonts w:ascii="Times New Roman" w:hAnsi="Times New Roman"/>
          <w:sz w:val="24"/>
          <w:szCs w:val="24"/>
        </w:rPr>
        <w:t xml:space="preserve"> instillation, </w:t>
      </w:r>
      <w:proofErr w:type="spellStart"/>
      <w:r>
        <w:rPr>
          <w:rFonts w:ascii="Times New Roman" w:hAnsi="Times New Roman"/>
          <w:sz w:val="24"/>
          <w:szCs w:val="24"/>
        </w:rPr>
        <w:t>Naumann</w:t>
      </w:r>
      <w:proofErr w:type="spellEnd"/>
      <w:r>
        <w:rPr>
          <w:rFonts w:ascii="Times New Roman" w:hAnsi="Times New Roman"/>
          <w:sz w:val="24"/>
          <w:szCs w:val="24"/>
        </w:rPr>
        <w:t xml:space="preserve"> et al. (2009) incorporated inhalation deposition fractions in the upper airway and lower respiratory tract for aerosols of differing particle sizes into the calculation of data-derived bioavailability correction factors.  They also used a preliminary pharmacokinetic model for disposition after intravenous, </w:t>
      </w:r>
      <w:proofErr w:type="spellStart"/>
      <w:r>
        <w:rPr>
          <w:rFonts w:ascii="Times New Roman" w:hAnsi="Times New Roman"/>
          <w:sz w:val="24"/>
          <w:szCs w:val="24"/>
        </w:rPr>
        <w:t>intratracheal</w:t>
      </w:r>
      <w:proofErr w:type="spellEnd"/>
      <w:r>
        <w:rPr>
          <w:rFonts w:ascii="Times New Roman" w:hAnsi="Times New Roman"/>
          <w:sz w:val="24"/>
          <w:szCs w:val="24"/>
        </w:rPr>
        <w:t xml:space="preserve">, intranasal and oral dosing and extrapolated to inhalation </w:t>
      </w:r>
      <w:proofErr w:type="spellStart"/>
      <w:r>
        <w:rPr>
          <w:rFonts w:ascii="Times New Roman" w:hAnsi="Times New Roman"/>
          <w:sz w:val="24"/>
          <w:szCs w:val="24"/>
        </w:rPr>
        <w:t>dosimetry</w:t>
      </w:r>
      <w:proofErr w:type="spellEnd"/>
      <w:r>
        <w:rPr>
          <w:rFonts w:ascii="Times New Roman" w:hAnsi="Times New Roman"/>
          <w:sz w:val="24"/>
          <w:szCs w:val="24"/>
        </w:rPr>
        <w:t xml:space="preserve">, which also could be used to predict inhalation uptake. </w:t>
      </w:r>
    </w:p>
    <w:p w:rsidR="00DF7C9F" w:rsidRDefault="00DF7C9F" w:rsidP="00DF7C9F">
      <w:pPr>
        <w:spacing w:after="0" w:line="480" w:lineRule="auto"/>
        <w:rPr>
          <w:rFonts w:ascii="Times New Roman" w:hAnsi="Times New Roman"/>
          <w:b/>
          <w:sz w:val="24"/>
          <w:szCs w:val="24"/>
        </w:rPr>
      </w:pPr>
    </w:p>
    <w:p w:rsidR="00DF7C9F" w:rsidRDefault="00DF7C9F" w:rsidP="00DF7C9F">
      <w:pPr>
        <w:spacing w:after="0" w:line="480" w:lineRule="auto"/>
        <w:rPr>
          <w:rFonts w:ascii="Times New Roman" w:hAnsi="Times New Roman"/>
          <w:b/>
          <w:sz w:val="24"/>
          <w:szCs w:val="24"/>
        </w:rPr>
      </w:pPr>
      <w:r>
        <w:rPr>
          <w:rFonts w:ascii="Times New Roman" w:hAnsi="Times New Roman"/>
          <w:b/>
          <w:sz w:val="24"/>
          <w:szCs w:val="24"/>
        </w:rPr>
        <w:t>S-</w:t>
      </w:r>
      <w:r w:rsidR="0080024A">
        <w:rPr>
          <w:rFonts w:ascii="Times New Roman" w:hAnsi="Times New Roman"/>
          <w:b/>
          <w:sz w:val="24"/>
          <w:szCs w:val="24"/>
        </w:rPr>
        <w:t>2</w:t>
      </w:r>
      <w:r>
        <w:rPr>
          <w:rFonts w:ascii="Times New Roman" w:hAnsi="Times New Roman"/>
          <w:b/>
          <w:sz w:val="24"/>
          <w:szCs w:val="24"/>
        </w:rPr>
        <w:t>.</w:t>
      </w:r>
      <w:r w:rsidR="00F47C34">
        <w:rPr>
          <w:rFonts w:ascii="Times New Roman" w:hAnsi="Times New Roman"/>
          <w:b/>
          <w:sz w:val="24"/>
          <w:szCs w:val="24"/>
        </w:rPr>
        <w:t>2</w:t>
      </w:r>
      <w:r>
        <w:rPr>
          <w:rFonts w:ascii="Times New Roman" w:hAnsi="Times New Roman"/>
          <w:b/>
          <w:sz w:val="24"/>
          <w:szCs w:val="24"/>
        </w:rPr>
        <w:t xml:space="preserve"> Example of route-to-route extrapolation for OEL n-methyl </w:t>
      </w:r>
      <w:proofErr w:type="spellStart"/>
      <w:r>
        <w:rPr>
          <w:rFonts w:ascii="Times New Roman" w:hAnsi="Times New Roman"/>
          <w:b/>
          <w:sz w:val="24"/>
          <w:szCs w:val="24"/>
        </w:rPr>
        <w:t>pyrroliodone</w:t>
      </w:r>
      <w:proofErr w:type="spellEnd"/>
    </w:p>
    <w:p w:rsidR="00DF7C9F" w:rsidRDefault="00DF7C9F" w:rsidP="00DF7C9F">
      <w:pPr>
        <w:spacing w:after="0" w:line="480" w:lineRule="auto"/>
        <w:rPr>
          <w:rFonts w:ascii="Times New Roman" w:hAnsi="Times New Roman"/>
          <w:sz w:val="24"/>
          <w:szCs w:val="24"/>
        </w:rPr>
      </w:pPr>
      <w:r>
        <w:rPr>
          <w:rFonts w:ascii="Times New Roman" w:hAnsi="Times New Roman"/>
          <w:sz w:val="24"/>
          <w:szCs w:val="24"/>
        </w:rPr>
        <w:t xml:space="preserve">An illustration of how internal </w:t>
      </w:r>
      <w:proofErr w:type="spellStart"/>
      <w:r>
        <w:rPr>
          <w:rFonts w:ascii="Times New Roman" w:hAnsi="Times New Roman"/>
          <w:sz w:val="24"/>
          <w:szCs w:val="24"/>
        </w:rPr>
        <w:t>dosimetry</w:t>
      </w:r>
      <w:proofErr w:type="spellEnd"/>
      <w:r>
        <w:rPr>
          <w:rFonts w:ascii="Times New Roman" w:hAnsi="Times New Roman"/>
          <w:sz w:val="24"/>
          <w:szCs w:val="24"/>
        </w:rPr>
        <w:t xml:space="preserve"> from exposure by the dermal and oral routes was considered in the context of a worker OEL may be found in the quantitative assessment of n-methyl </w:t>
      </w:r>
      <w:proofErr w:type="spellStart"/>
      <w:r>
        <w:rPr>
          <w:rFonts w:ascii="Times New Roman" w:hAnsi="Times New Roman"/>
          <w:sz w:val="24"/>
          <w:szCs w:val="24"/>
        </w:rPr>
        <w:t>pyrrolidone</w:t>
      </w:r>
      <w:proofErr w:type="spellEnd"/>
      <w:r>
        <w:rPr>
          <w:rFonts w:ascii="Times New Roman" w:hAnsi="Times New Roman"/>
          <w:sz w:val="24"/>
          <w:szCs w:val="24"/>
        </w:rPr>
        <w:t xml:space="preserve"> (NMP) of Poet et al. (2010).  In their evaluation, Poet et al. (2010) developed PBPK models for rats and humans exposed to NMP via the oral route (rats only), dermal exposure, or inhalation.  The 24 hr AUC and peak blood concentrations of NMP at the NOAELs and LOAELs of in five rat developmental toxicity studies (one by </w:t>
      </w:r>
      <w:proofErr w:type="spellStart"/>
      <w:r>
        <w:rPr>
          <w:rFonts w:ascii="Times New Roman" w:hAnsi="Times New Roman"/>
          <w:sz w:val="24"/>
          <w:szCs w:val="24"/>
        </w:rPr>
        <w:t>gavage</w:t>
      </w:r>
      <w:proofErr w:type="spellEnd"/>
      <w:r>
        <w:rPr>
          <w:rFonts w:ascii="Times New Roman" w:hAnsi="Times New Roman"/>
          <w:sz w:val="24"/>
          <w:szCs w:val="24"/>
        </w:rPr>
        <w:t xml:space="preserve">, one in feed, one by </w:t>
      </w:r>
      <w:r>
        <w:rPr>
          <w:rFonts w:ascii="Times New Roman" w:hAnsi="Times New Roman"/>
          <w:sz w:val="24"/>
          <w:szCs w:val="24"/>
        </w:rPr>
        <w:lastRenderedPageBreak/>
        <w:t>dermal exposure, and two by inhalation) were compared.  The two studies with the lowest AUCs were further evaluated using benchmark dose modeling to identify a rodent internal dose point of departure, which was then converted to a HEC for human dermal and inhalation (combined) exposure for workers (8 hrs/day, 5 days/week).  This HEC was then compared to existing OELs, and the margin of exposure noted, but no specific OEL was recommended by the authors.</w:t>
      </w:r>
    </w:p>
    <w:p w:rsidR="00A159EF" w:rsidRDefault="00A159EF" w:rsidP="00DF7C9F">
      <w:pPr>
        <w:spacing w:after="0" w:line="480" w:lineRule="auto"/>
        <w:rPr>
          <w:rFonts w:ascii="Times New Roman" w:hAnsi="Times New Roman"/>
          <w:b/>
          <w:sz w:val="24"/>
          <w:szCs w:val="24"/>
        </w:rPr>
      </w:pPr>
    </w:p>
    <w:p w:rsidR="0080024A" w:rsidRPr="0080024A" w:rsidRDefault="0080024A" w:rsidP="00DF7C9F">
      <w:pPr>
        <w:spacing w:after="0" w:line="480" w:lineRule="auto"/>
        <w:rPr>
          <w:rFonts w:ascii="Times New Roman" w:hAnsi="Times New Roman"/>
          <w:b/>
          <w:sz w:val="24"/>
          <w:szCs w:val="24"/>
        </w:rPr>
      </w:pPr>
      <w:r w:rsidRPr="0080024A">
        <w:rPr>
          <w:rFonts w:ascii="Times New Roman" w:hAnsi="Times New Roman"/>
          <w:b/>
          <w:sz w:val="24"/>
          <w:szCs w:val="24"/>
        </w:rPr>
        <w:t>REFERENCES</w:t>
      </w:r>
    </w:p>
    <w:p w:rsidR="00955A03" w:rsidRDefault="00955A03" w:rsidP="00777552">
      <w:pPr>
        <w:spacing w:after="240"/>
        <w:rPr>
          <w:rFonts w:ascii="Times New Roman" w:hAnsi="Times New Roman"/>
          <w:sz w:val="24"/>
          <w:szCs w:val="24"/>
        </w:rPr>
      </w:pPr>
      <w:proofErr w:type="spellStart"/>
      <w:proofErr w:type="gramStart"/>
      <w:r w:rsidRPr="00A438EE">
        <w:rPr>
          <w:rFonts w:ascii="Times New Roman" w:hAnsi="Times New Roman"/>
          <w:sz w:val="24"/>
          <w:szCs w:val="24"/>
        </w:rPr>
        <w:t>Clewell</w:t>
      </w:r>
      <w:proofErr w:type="spellEnd"/>
      <w:r w:rsidRPr="00A438EE">
        <w:rPr>
          <w:rFonts w:ascii="Times New Roman" w:hAnsi="Times New Roman"/>
          <w:sz w:val="24"/>
          <w:szCs w:val="24"/>
        </w:rPr>
        <w:t>, HJ, Gentry, PR, Gearhart, JM, Allen, BC, Covington, TR, and Andersen, ME.</w:t>
      </w:r>
      <w:proofErr w:type="gramEnd"/>
      <w:r w:rsidRPr="00A438EE">
        <w:rPr>
          <w:rFonts w:ascii="Times New Roman" w:hAnsi="Times New Roman"/>
          <w:sz w:val="24"/>
          <w:szCs w:val="24"/>
        </w:rPr>
        <w:t xml:space="preserve">    Applying mechanistic information, pharmacokinetic modeling and margin of exposure evaluations in a novel risk assessment for trichloroethylene and its active carcinogenic metabolites:  chloral hydrate, </w:t>
      </w:r>
      <w:proofErr w:type="spellStart"/>
      <w:r w:rsidRPr="00A438EE">
        <w:rPr>
          <w:rFonts w:ascii="Times New Roman" w:hAnsi="Times New Roman"/>
          <w:sz w:val="24"/>
          <w:szCs w:val="24"/>
        </w:rPr>
        <w:t>trichloroacetic</w:t>
      </w:r>
      <w:proofErr w:type="spellEnd"/>
      <w:r w:rsidRPr="00A438EE">
        <w:rPr>
          <w:rFonts w:ascii="Times New Roman" w:hAnsi="Times New Roman"/>
          <w:sz w:val="24"/>
          <w:szCs w:val="24"/>
        </w:rPr>
        <w:t xml:space="preserve"> acid, </w:t>
      </w:r>
      <w:proofErr w:type="spellStart"/>
      <w:r w:rsidRPr="00A438EE">
        <w:rPr>
          <w:rFonts w:ascii="Times New Roman" w:hAnsi="Times New Roman"/>
          <w:sz w:val="24"/>
          <w:szCs w:val="24"/>
        </w:rPr>
        <w:t>dichloroacetic</w:t>
      </w:r>
      <w:proofErr w:type="spellEnd"/>
      <w:r w:rsidRPr="00A438EE">
        <w:rPr>
          <w:rFonts w:ascii="Times New Roman" w:hAnsi="Times New Roman"/>
          <w:sz w:val="24"/>
          <w:szCs w:val="24"/>
        </w:rPr>
        <w:t xml:space="preserve"> acid, and </w:t>
      </w:r>
      <w:proofErr w:type="spellStart"/>
      <w:r w:rsidRPr="00A438EE">
        <w:rPr>
          <w:rFonts w:ascii="Times New Roman" w:hAnsi="Times New Roman"/>
          <w:sz w:val="24"/>
          <w:szCs w:val="24"/>
        </w:rPr>
        <w:t>dichlorovinylcysteine</w:t>
      </w:r>
      <w:proofErr w:type="spellEnd"/>
      <w:r w:rsidRPr="00A438EE">
        <w:rPr>
          <w:rFonts w:ascii="Times New Roman" w:hAnsi="Times New Roman"/>
          <w:sz w:val="24"/>
          <w:szCs w:val="24"/>
        </w:rPr>
        <w:t>.  K.S. Crump division, ICF Kaiser Int’l, prepared for OSHA Directorate of Health Standards Program and EPA Office of heal</w:t>
      </w:r>
      <w:r w:rsidR="00A159EF">
        <w:rPr>
          <w:rFonts w:ascii="Times New Roman" w:hAnsi="Times New Roman"/>
          <w:sz w:val="24"/>
          <w:szCs w:val="24"/>
        </w:rPr>
        <w:t>th and Environmental Assessment (1995)</w:t>
      </w:r>
      <w:r w:rsidR="00777552">
        <w:rPr>
          <w:rFonts w:ascii="Times New Roman" w:hAnsi="Times New Roman"/>
          <w:sz w:val="24"/>
          <w:szCs w:val="24"/>
        </w:rPr>
        <w:t>.</w:t>
      </w:r>
    </w:p>
    <w:p w:rsidR="00955A03" w:rsidRDefault="00955A03" w:rsidP="00777552">
      <w:pPr>
        <w:spacing w:after="240"/>
        <w:rPr>
          <w:rFonts w:ascii="Times New Roman" w:hAnsi="Times New Roman"/>
          <w:sz w:val="24"/>
          <w:szCs w:val="24"/>
        </w:rPr>
      </w:pPr>
      <w:r w:rsidRPr="00A438EE">
        <w:rPr>
          <w:rFonts w:ascii="Times New Roman" w:hAnsi="Times New Roman"/>
          <w:sz w:val="24"/>
          <w:szCs w:val="24"/>
        </w:rPr>
        <w:t>Fisher JW, Allen BC. Evaluating the risk of liver cancer in humans exposed to trichloroethylene using physio</w:t>
      </w:r>
      <w:r w:rsidR="00A159EF">
        <w:rPr>
          <w:rFonts w:ascii="Times New Roman" w:hAnsi="Times New Roman"/>
          <w:sz w:val="24"/>
          <w:szCs w:val="24"/>
        </w:rPr>
        <w:t xml:space="preserve">logical models. Risk Anal. </w:t>
      </w:r>
      <w:r w:rsidRPr="00A438EE">
        <w:rPr>
          <w:rFonts w:ascii="Times New Roman" w:hAnsi="Times New Roman"/>
          <w:sz w:val="24"/>
          <w:szCs w:val="24"/>
        </w:rPr>
        <w:t>13(1):87-95</w:t>
      </w:r>
      <w:r w:rsidR="00A159EF">
        <w:rPr>
          <w:rFonts w:ascii="Times New Roman" w:hAnsi="Times New Roman"/>
          <w:sz w:val="24"/>
          <w:szCs w:val="24"/>
        </w:rPr>
        <w:t xml:space="preserve"> (1993)</w:t>
      </w:r>
      <w:r w:rsidRPr="00A438EE">
        <w:rPr>
          <w:rFonts w:ascii="Times New Roman" w:hAnsi="Times New Roman"/>
          <w:sz w:val="24"/>
          <w:szCs w:val="24"/>
        </w:rPr>
        <w:t xml:space="preserve">. </w:t>
      </w:r>
    </w:p>
    <w:p w:rsidR="00955A03" w:rsidRPr="00A438EE" w:rsidRDefault="00955A03" w:rsidP="00777552">
      <w:pPr>
        <w:spacing w:after="240"/>
        <w:rPr>
          <w:rFonts w:ascii="Times New Roman" w:hAnsi="Times New Roman"/>
          <w:sz w:val="24"/>
          <w:szCs w:val="24"/>
        </w:rPr>
      </w:pPr>
      <w:proofErr w:type="spellStart"/>
      <w:r w:rsidRPr="00A438EE">
        <w:rPr>
          <w:rFonts w:ascii="Times New Roman" w:hAnsi="Times New Roman"/>
          <w:sz w:val="24"/>
          <w:szCs w:val="24"/>
        </w:rPr>
        <w:t>Gargas</w:t>
      </w:r>
      <w:proofErr w:type="spellEnd"/>
      <w:r w:rsidRPr="00A438EE">
        <w:rPr>
          <w:rFonts w:ascii="Times New Roman" w:hAnsi="Times New Roman"/>
          <w:sz w:val="24"/>
          <w:szCs w:val="24"/>
        </w:rPr>
        <w:t xml:space="preserve"> ML, Tyler TR, Sweeney LM, Corley RA, </w:t>
      </w:r>
      <w:proofErr w:type="spellStart"/>
      <w:r w:rsidRPr="00A438EE">
        <w:rPr>
          <w:rFonts w:ascii="Times New Roman" w:hAnsi="Times New Roman"/>
          <w:sz w:val="24"/>
          <w:szCs w:val="24"/>
        </w:rPr>
        <w:t>Weitz</w:t>
      </w:r>
      <w:proofErr w:type="spellEnd"/>
      <w:r w:rsidRPr="00A438EE">
        <w:rPr>
          <w:rFonts w:ascii="Times New Roman" w:hAnsi="Times New Roman"/>
          <w:sz w:val="24"/>
          <w:szCs w:val="24"/>
        </w:rPr>
        <w:t xml:space="preserve"> KK, Mast TJ, </w:t>
      </w:r>
      <w:proofErr w:type="spellStart"/>
      <w:r w:rsidRPr="00A438EE">
        <w:rPr>
          <w:rFonts w:ascii="Times New Roman" w:hAnsi="Times New Roman"/>
          <w:sz w:val="24"/>
          <w:szCs w:val="24"/>
        </w:rPr>
        <w:t>Paustenbach</w:t>
      </w:r>
      <w:proofErr w:type="spellEnd"/>
      <w:r w:rsidRPr="00A438EE">
        <w:rPr>
          <w:rFonts w:ascii="Times New Roman" w:hAnsi="Times New Roman"/>
          <w:sz w:val="24"/>
          <w:szCs w:val="24"/>
        </w:rPr>
        <w:t xml:space="preserve"> DJ, Hays SM. </w:t>
      </w:r>
      <w:proofErr w:type="gramStart"/>
      <w:r w:rsidRPr="00A438EE">
        <w:rPr>
          <w:rFonts w:ascii="Times New Roman" w:hAnsi="Times New Roman"/>
          <w:sz w:val="24"/>
          <w:szCs w:val="24"/>
        </w:rPr>
        <w:t xml:space="preserve">A </w:t>
      </w:r>
      <w:proofErr w:type="spellStart"/>
      <w:r w:rsidRPr="00A438EE">
        <w:rPr>
          <w:rFonts w:ascii="Times New Roman" w:hAnsi="Times New Roman"/>
          <w:sz w:val="24"/>
          <w:szCs w:val="24"/>
        </w:rPr>
        <w:t>toxicokinetic</w:t>
      </w:r>
      <w:proofErr w:type="spellEnd"/>
      <w:r w:rsidRPr="00A438EE">
        <w:rPr>
          <w:rFonts w:ascii="Times New Roman" w:hAnsi="Times New Roman"/>
          <w:sz w:val="24"/>
          <w:szCs w:val="24"/>
        </w:rPr>
        <w:t xml:space="preserve"> study of inhaled ethylene glycol ethyl ether acetate and validation of a physiologically based pharmacokinetic model for rat and huma</w:t>
      </w:r>
      <w:r w:rsidR="00A159EF">
        <w:rPr>
          <w:rFonts w:ascii="Times New Roman" w:hAnsi="Times New Roman"/>
          <w:sz w:val="24"/>
          <w:szCs w:val="24"/>
        </w:rPr>
        <w:t>n.</w:t>
      </w:r>
      <w:proofErr w:type="gramEnd"/>
      <w:r w:rsidR="00A159EF">
        <w:rPr>
          <w:rFonts w:ascii="Times New Roman" w:hAnsi="Times New Roman"/>
          <w:sz w:val="24"/>
          <w:szCs w:val="24"/>
        </w:rPr>
        <w:t xml:space="preserve"> </w:t>
      </w:r>
      <w:proofErr w:type="spellStart"/>
      <w:r w:rsidR="00A159EF">
        <w:rPr>
          <w:rFonts w:ascii="Times New Roman" w:hAnsi="Times New Roman"/>
          <w:sz w:val="24"/>
          <w:szCs w:val="24"/>
        </w:rPr>
        <w:t>Toxicol</w:t>
      </w:r>
      <w:proofErr w:type="spellEnd"/>
      <w:r w:rsidR="00A159EF">
        <w:rPr>
          <w:rFonts w:ascii="Times New Roman" w:hAnsi="Times New Roman"/>
          <w:sz w:val="24"/>
          <w:szCs w:val="24"/>
        </w:rPr>
        <w:t xml:space="preserve"> </w:t>
      </w:r>
      <w:proofErr w:type="spellStart"/>
      <w:r w:rsidR="00A159EF">
        <w:rPr>
          <w:rFonts w:ascii="Times New Roman" w:hAnsi="Times New Roman"/>
          <w:sz w:val="24"/>
          <w:szCs w:val="24"/>
        </w:rPr>
        <w:t>Appl</w:t>
      </w:r>
      <w:proofErr w:type="spellEnd"/>
      <w:r w:rsidR="00A159EF">
        <w:rPr>
          <w:rFonts w:ascii="Times New Roman" w:hAnsi="Times New Roman"/>
          <w:sz w:val="24"/>
          <w:szCs w:val="24"/>
        </w:rPr>
        <w:t xml:space="preserve"> </w:t>
      </w:r>
      <w:proofErr w:type="spellStart"/>
      <w:r w:rsidR="00A159EF">
        <w:rPr>
          <w:rFonts w:ascii="Times New Roman" w:hAnsi="Times New Roman"/>
          <w:sz w:val="24"/>
          <w:szCs w:val="24"/>
        </w:rPr>
        <w:t>Pharmacol</w:t>
      </w:r>
      <w:proofErr w:type="spellEnd"/>
      <w:r w:rsidR="00A159EF">
        <w:rPr>
          <w:rFonts w:ascii="Times New Roman" w:hAnsi="Times New Roman"/>
          <w:sz w:val="24"/>
          <w:szCs w:val="24"/>
        </w:rPr>
        <w:t>.</w:t>
      </w:r>
      <w:r w:rsidRPr="00A438EE">
        <w:rPr>
          <w:rFonts w:ascii="Times New Roman" w:hAnsi="Times New Roman"/>
          <w:sz w:val="24"/>
          <w:szCs w:val="24"/>
        </w:rPr>
        <w:t xml:space="preserve"> 165(1):63-73</w:t>
      </w:r>
      <w:r w:rsidR="00A159EF">
        <w:rPr>
          <w:rFonts w:ascii="Times New Roman" w:hAnsi="Times New Roman"/>
          <w:sz w:val="24"/>
          <w:szCs w:val="24"/>
        </w:rPr>
        <w:t xml:space="preserve"> (2000a)</w:t>
      </w:r>
      <w:r w:rsidRPr="00A438EE">
        <w:rPr>
          <w:rFonts w:ascii="Times New Roman" w:hAnsi="Times New Roman"/>
          <w:sz w:val="24"/>
          <w:szCs w:val="24"/>
        </w:rPr>
        <w:t xml:space="preserve">. </w:t>
      </w:r>
    </w:p>
    <w:p w:rsidR="00955A03" w:rsidRPr="00A438EE" w:rsidRDefault="00955A03" w:rsidP="00777552">
      <w:pPr>
        <w:spacing w:after="240"/>
        <w:rPr>
          <w:rFonts w:ascii="Times New Roman" w:hAnsi="Times New Roman"/>
          <w:sz w:val="24"/>
          <w:szCs w:val="24"/>
        </w:rPr>
      </w:pPr>
      <w:proofErr w:type="spellStart"/>
      <w:r w:rsidRPr="00A438EE">
        <w:rPr>
          <w:rFonts w:ascii="Times New Roman" w:hAnsi="Times New Roman"/>
          <w:sz w:val="24"/>
          <w:szCs w:val="24"/>
        </w:rPr>
        <w:t>Gargas</w:t>
      </w:r>
      <w:proofErr w:type="spellEnd"/>
      <w:r w:rsidRPr="00A438EE">
        <w:rPr>
          <w:rFonts w:ascii="Times New Roman" w:hAnsi="Times New Roman"/>
          <w:sz w:val="24"/>
          <w:szCs w:val="24"/>
        </w:rPr>
        <w:t xml:space="preserve"> ML, Tyler TR, Sweeney LM, Corley RA, </w:t>
      </w:r>
      <w:proofErr w:type="spellStart"/>
      <w:r w:rsidRPr="00A438EE">
        <w:rPr>
          <w:rFonts w:ascii="Times New Roman" w:hAnsi="Times New Roman"/>
          <w:sz w:val="24"/>
          <w:szCs w:val="24"/>
        </w:rPr>
        <w:t>Weitz</w:t>
      </w:r>
      <w:proofErr w:type="spellEnd"/>
      <w:r w:rsidRPr="00A438EE">
        <w:rPr>
          <w:rFonts w:ascii="Times New Roman" w:hAnsi="Times New Roman"/>
          <w:sz w:val="24"/>
          <w:szCs w:val="24"/>
        </w:rPr>
        <w:t xml:space="preserve"> KK, Mast TJ, </w:t>
      </w:r>
      <w:proofErr w:type="spellStart"/>
      <w:r w:rsidRPr="00A438EE">
        <w:rPr>
          <w:rFonts w:ascii="Times New Roman" w:hAnsi="Times New Roman"/>
          <w:sz w:val="24"/>
          <w:szCs w:val="24"/>
        </w:rPr>
        <w:t>Paustenbach</w:t>
      </w:r>
      <w:proofErr w:type="spellEnd"/>
      <w:r w:rsidRPr="00A438EE">
        <w:rPr>
          <w:rFonts w:ascii="Times New Roman" w:hAnsi="Times New Roman"/>
          <w:sz w:val="24"/>
          <w:szCs w:val="24"/>
        </w:rPr>
        <w:t xml:space="preserve"> DJ, Hays SM. </w:t>
      </w:r>
      <w:proofErr w:type="gramStart"/>
      <w:r w:rsidRPr="00A438EE">
        <w:rPr>
          <w:rFonts w:ascii="Times New Roman" w:hAnsi="Times New Roman"/>
          <w:sz w:val="24"/>
          <w:szCs w:val="24"/>
        </w:rPr>
        <w:t xml:space="preserve">A </w:t>
      </w:r>
      <w:proofErr w:type="spellStart"/>
      <w:r w:rsidRPr="00A438EE">
        <w:rPr>
          <w:rFonts w:ascii="Times New Roman" w:hAnsi="Times New Roman"/>
          <w:sz w:val="24"/>
          <w:szCs w:val="24"/>
        </w:rPr>
        <w:t>toxicokinetic</w:t>
      </w:r>
      <w:proofErr w:type="spellEnd"/>
      <w:r w:rsidRPr="00A438EE">
        <w:rPr>
          <w:rFonts w:ascii="Times New Roman" w:hAnsi="Times New Roman"/>
          <w:sz w:val="24"/>
          <w:szCs w:val="24"/>
        </w:rPr>
        <w:t xml:space="preserve"> study of inhaled ethylene glycol </w:t>
      </w:r>
      <w:proofErr w:type="spellStart"/>
      <w:r w:rsidRPr="00A438EE">
        <w:rPr>
          <w:rFonts w:ascii="Times New Roman" w:hAnsi="Times New Roman"/>
          <w:sz w:val="24"/>
          <w:szCs w:val="24"/>
        </w:rPr>
        <w:t>monomethyl</w:t>
      </w:r>
      <w:proofErr w:type="spellEnd"/>
      <w:r w:rsidRPr="00A438EE">
        <w:rPr>
          <w:rFonts w:ascii="Times New Roman" w:hAnsi="Times New Roman"/>
          <w:sz w:val="24"/>
          <w:szCs w:val="24"/>
        </w:rPr>
        <w:t xml:space="preserve"> ether (2-ME) and validation of a physiologically based pharmacokinetic model for the pregnant rat and human.</w:t>
      </w:r>
      <w:proofErr w:type="gramEnd"/>
      <w:r w:rsidRPr="00A438EE">
        <w:rPr>
          <w:rFonts w:ascii="Times New Roman" w:hAnsi="Times New Roman"/>
          <w:sz w:val="24"/>
          <w:szCs w:val="24"/>
        </w:rPr>
        <w:t xml:space="preserve"> </w:t>
      </w:r>
      <w:proofErr w:type="spellStart"/>
      <w:r w:rsidRPr="00A438EE">
        <w:rPr>
          <w:rFonts w:ascii="Times New Roman" w:hAnsi="Times New Roman"/>
          <w:sz w:val="24"/>
          <w:szCs w:val="24"/>
        </w:rPr>
        <w:t>Toxicol</w:t>
      </w:r>
      <w:proofErr w:type="spellEnd"/>
      <w:r w:rsidRPr="00A438EE">
        <w:rPr>
          <w:rFonts w:ascii="Times New Roman" w:hAnsi="Times New Roman"/>
          <w:sz w:val="24"/>
          <w:szCs w:val="24"/>
        </w:rPr>
        <w:t xml:space="preserve"> </w:t>
      </w:r>
      <w:proofErr w:type="spellStart"/>
      <w:r w:rsidRPr="00A438EE">
        <w:rPr>
          <w:rFonts w:ascii="Times New Roman" w:hAnsi="Times New Roman"/>
          <w:sz w:val="24"/>
          <w:szCs w:val="24"/>
        </w:rPr>
        <w:t>Appl</w:t>
      </w:r>
      <w:proofErr w:type="spellEnd"/>
      <w:r w:rsidRPr="00A438EE">
        <w:rPr>
          <w:rFonts w:ascii="Times New Roman" w:hAnsi="Times New Roman"/>
          <w:sz w:val="24"/>
          <w:szCs w:val="24"/>
        </w:rPr>
        <w:t xml:space="preserve"> </w:t>
      </w:r>
      <w:proofErr w:type="spellStart"/>
      <w:r w:rsidRPr="00A438EE">
        <w:rPr>
          <w:rFonts w:ascii="Times New Roman" w:hAnsi="Times New Roman"/>
          <w:sz w:val="24"/>
          <w:szCs w:val="24"/>
        </w:rPr>
        <w:t>Pharmacol</w:t>
      </w:r>
      <w:proofErr w:type="spellEnd"/>
      <w:r w:rsidRPr="00A438EE">
        <w:rPr>
          <w:rFonts w:ascii="Times New Roman" w:hAnsi="Times New Roman"/>
          <w:sz w:val="24"/>
          <w:szCs w:val="24"/>
        </w:rPr>
        <w:t>. 165(1):53-62</w:t>
      </w:r>
      <w:r w:rsidR="00A159EF">
        <w:rPr>
          <w:rFonts w:ascii="Times New Roman" w:hAnsi="Times New Roman"/>
          <w:sz w:val="24"/>
          <w:szCs w:val="24"/>
        </w:rPr>
        <w:t xml:space="preserve"> (2000b)</w:t>
      </w:r>
      <w:r w:rsidRPr="00A438EE">
        <w:rPr>
          <w:rFonts w:ascii="Times New Roman" w:hAnsi="Times New Roman"/>
          <w:sz w:val="24"/>
          <w:szCs w:val="24"/>
        </w:rPr>
        <w:t>.</w:t>
      </w:r>
    </w:p>
    <w:p w:rsidR="00A159EF" w:rsidRDefault="00A159EF" w:rsidP="00777552">
      <w:pPr>
        <w:spacing w:after="240"/>
        <w:rPr>
          <w:rFonts w:ascii="Times New Roman" w:hAnsi="Times New Roman"/>
          <w:sz w:val="24"/>
          <w:szCs w:val="24"/>
        </w:rPr>
      </w:pPr>
      <w:proofErr w:type="spellStart"/>
      <w:r w:rsidRPr="00A438EE">
        <w:rPr>
          <w:rFonts w:ascii="Times New Roman" w:hAnsi="Times New Roman"/>
          <w:sz w:val="24"/>
          <w:szCs w:val="24"/>
        </w:rPr>
        <w:t>Kirman</w:t>
      </w:r>
      <w:proofErr w:type="spellEnd"/>
      <w:r w:rsidRPr="00A438EE">
        <w:rPr>
          <w:rFonts w:ascii="Times New Roman" w:hAnsi="Times New Roman"/>
          <w:sz w:val="24"/>
          <w:szCs w:val="24"/>
        </w:rPr>
        <w:t xml:space="preserve"> CR, Sweeney LM, </w:t>
      </w:r>
      <w:proofErr w:type="spellStart"/>
      <w:r w:rsidRPr="00A438EE">
        <w:rPr>
          <w:rFonts w:ascii="Times New Roman" w:hAnsi="Times New Roman"/>
          <w:sz w:val="24"/>
          <w:szCs w:val="24"/>
        </w:rPr>
        <w:t>Gargas</w:t>
      </w:r>
      <w:proofErr w:type="spellEnd"/>
      <w:r w:rsidRPr="00A438EE">
        <w:rPr>
          <w:rFonts w:ascii="Times New Roman" w:hAnsi="Times New Roman"/>
          <w:sz w:val="24"/>
          <w:szCs w:val="24"/>
        </w:rPr>
        <w:t xml:space="preserve"> ML, </w:t>
      </w:r>
      <w:proofErr w:type="spellStart"/>
      <w:r w:rsidRPr="00A438EE">
        <w:rPr>
          <w:rFonts w:ascii="Times New Roman" w:hAnsi="Times New Roman"/>
          <w:sz w:val="24"/>
          <w:szCs w:val="24"/>
        </w:rPr>
        <w:t>Kinzell</w:t>
      </w:r>
      <w:proofErr w:type="spellEnd"/>
      <w:r w:rsidRPr="00A438EE">
        <w:rPr>
          <w:rFonts w:ascii="Times New Roman" w:hAnsi="Times New Roman"/>
          <w:sz w:val="24"/>
          <w:szCs w:val="24"/>
        </w:rPr>
        <w:t xml:space="preserve"> JH. </w:t>
      </w:r>
      <w:proofErr w:type="gramStart"/>
      <w:r w:rsidRPr="00A438EE">
        <w:rPr>
          <w:rFonts w:ascii="Times New Roman" w:hAnsi="Times New Roman"/>
          <w:sz w:val="24"/>
          <w:szCs w:val="24"/>
        </w:rPr>
        <w:t>Evaluation of possible modes of action for acute effects of methyl iodide in laboratory animals.</w:t>
      </w:r>
      <w:proofErr w:type="gramEnd"/>
      <w:r w:rsidRPr="00A438EE">
        <w:rPr>
          <w:rFonts w:ascii="Times New Roman" w:hAnsi="Times New Roman"/>
          <w:sz w:val="24"/>
          <w:szCs w:val="24"/>
        </w:rPr>
        <w:t xml:space="preserve"> </w:t>
      </w:r>
      <w:proofErr w:type="spellStart"/>
      <w:proofErr w:type="gramStart"/>
      <w:r w:rsidRPr="00A438EE">
        <w:rPr>
          <w:rFonts w:ascii="Times New Roman" w:hAnsi="Times New Roman"/>
          <w:sz w:val="24"/>
          <w:szCs w:val="24"/>
        </w:rPr>
        <w:t>Inhal</w:t>
      </w:r>
      <w:proofErr w:type="spellEnd"/>
      <w:r w:rsidRPr="00A438EE">
        <w:rPr>
          <w:rFonts w:ascii="Times New Roman" w:hAnsi="Times New Roman"/>
          <w:sz w:val="24"/>
          <w:szCs w:val="24"/>
        </w:rPr>
        <w:t xml:space="preserve"> </w:t>
      </w:r>
      <w:proofErr w:type="spellStart"/>
      <w:r w:rsidRPr="00A438EE">
        <w:rPr>
          <w:rFonts w:ascii="Times New Roman" w:hAnsi="Times New Roman"/>
          <w:sz w:val="24"/>
          <w:szCs w:val="24"/>
        </w:rPr>
        <w:t>Toxicol</w:t>
      </w:r>
      <w:proofErr w:type="spellEnd"/>
      <w:r w:rsidRPr="00A438EE">
        <w:rPr>
          <w:rFonts w:ascii="Times New Roman" w:hAnsi="Times New Roman"/>
          <w:sz w:val="24"/>
          <w:szCs w:val="24"/>
        </w:rPr>
        <w:t>.</w:t>
      </w:r>
      <w:proofErr w:type="gramEnd"/>
      <w:r w:rsidRPr="00A438EE">
        <w:rPr>
          <w:rFonts w:ascii="Times New Roman" w:hAnsi="Times New Roman"/>
          <w:sz w:val="24"/>
          <w:szCs w:val="24"/>
        </w:rPr>
        <w:t xml:space="preserve"> 21(6):537-51</w:t>
      </w:r>
      <w:r>
        <w:rPr>
          <w:rFonts w:ascii="Times New Roman" w:hAnsi="Times New Roman"/>
          <w:sz w:val="24"/>
          <w:szCs w:val="24"/>
        </w:rPr>
        <w:t xml:space="preserve"> (2009)</w:t>
      </w:r>
      <w:r w:rsidRPr="00A438EE">
        <w:rPr>
          <w:rFonts w:ascii="Times New Roman" w:hAnsi="Times New Roman"/>
          <w:sz w:val="24"/>
          <w:szCs w:val="24"/>
        </w:rPr>
        <w:t>.</w:t>
      </w:r>
    </w:p>
    <w:p w:rsidR="00955A03" w:rsidRPr="00A438EE" w:rsidRDefault="00955A03" w:rsidP="00777552">
      <w:pPr>
        <w:spacing w:after="240"/>
        <w:rPr>
          <w:rFonts w:ascii="Times New Roman" w:hAnsi="Times New Roman"/>
          <w:sz w:val="24"/>
          <w:szCs w:val="24"/>
        </w:rPr>
      </w:pPr>
      <w:proofErr w:type="spellStart"/>
      <w:r w:rsidRPr="00A438EE">
        <w:rPr>
          <w:rFonts w:ascii="Times New Roman" w:hAnsi="Times New Roman"/>
          <w:sz w:val="24"/>
          <w:szCs w:val="24"/>
        </w:rPr>
        <w:t>Mileson</w:t>
      </w:r>
      <w:proofErr w:type="spellEnd"/>
      <w:r w:rsidRPr="00A438EE">
        <w:rPr>
          <w:rFonts w:ascii="Times New Roman" w:hAnsi="Times New Roman"/>
          <w:sz w:val="24"/>
          <w:szCs w:val="24"/>
        </w:rPr>
        <w:t xml:space="preserve"> BE, Sweeney LM, </w:t>
      </w:r>
      <w:proofErr w:type="spellStart"/>
      <w:r w:rsidRPr="00A438EE">
        <w:rPr>
          <w:rFonts w:ascii="Times New Roman" w:hAnsi="Times New Roman"/>
          <w:sz w:val="24"/>
          <w:szCs w:val="24"/>
        </w:rPr>
        <w:t>Gargas</w:t>
      </w:r>
      <w:proofErr w:type="spellEnd"/>
      <w:r w:rsidRPr="00A438EE">
        <w:rPr>
          <w:rFonts w:ascii="Times New Roman" w:hAnsi="Times New Roman"/>
          <w:sz w:val="24"/>
          <w:szCs w:val="24"/>
        </w:rPr>
        <w:t xml:space="preserve"> ML, </w:t>
      </w:r>
      <w:proofErr w:type="spellStart"/>
      <w:proofErr w:type="gramStart"/>
      <w:r w:rsidRPr="00A438EE">
        <w:rPr>
          <w:rFonts w:ascii="Times New Roman" w:hAnsi="Times New Roman"/>
          <w:sz w:val="24"/>
          <w:szCs w:val="24"/>
        </w:rPr>
        <w:t>Kinzell</w:t>
      </w:r>
      <w:proofErr w:type="spellEnd"/>
      <w:proofErr w:type="gramEnd"/>
      <w:r w:rsidRPr="00A438EE">
        <w:rPr>
          <w:rFonts w:ascii="Times New Roman" w:hAnsi="Times New Roman"/>
          <w:sz w:val="24"/>
          <w:szCs w:val="24"/>
        </w:rPr>
        <w:t xml:space="preserve"> J. </w:t>
      </w:r>
      <w:proofErr w:type="spellStart"/>
      <w:r w:rsidRPr="00A438EE">
        <w:rPr>
          <w:rFonts w:ascii="Times New Roman" w:hAnsi="Times New Roman"/>
          <w:sz w:val="24"/>
          <w:szCs w:val="24"/>
        </w:rPr>
        <w:t>Iodomethane</w:t>
      </w:r>
      <w:proofErr w:type="spellEnd"/>
      <w:r w:rsidRPr="00A438EE">
        <w:rPr>
          <w:rFonts w:ascii="Times New Roman" w:hAnsi="Times New Roman"/>
          <w:sz w:val="24"/>
          <w:szCs w:val="24"/>
        </w:rPr>
        <w:t xml:space="preserve"> human health risk characterization. </w:t>
      </w:r>
      <w:proofErr w:type="spellStart"/>
      <w:proofErr w:type="gramStart"/>
      <w:r w:rsidRPr="00A438EE">
        <w:rPr>
          <w:rFonts w:ascii="Times New Roman" w:hAnsi="Times New Roman"/>
          <w:sz w:val="24"/>
          <w:szCs w:val="24"/>
        </w:rPr>
        <w:t>Inhal</w:t>
      </w:r>
      <w:proofErr w:type="spellEnd"/>
      <w:r w:rsidRPr="00A438EE">
        <w:rPr>
          <w:rFonts w:ascii="Times New Roman" w:hAnsi="Times New Roman"/>
          <w:sz w:val="24"/>
          <w:szCs w:val="24"/>
        </w:rPr>
        <w:t xml:space="preserve"> </w:t>
      </w:r>
      <w:proofErr w:type="spellStart"/>
      <w:r w:rsidRPr="00A438EE">
        <w:rPr>
          <w:rFonts w:ascii="Times New Roman" w:hAnsi="Times New Roman"/>
          <w:sz w:val="24"/>
          <w:szCs w:val="24"/>
        </w:rPr>
        <w:t>Toxicol</w:t>
      </w:r>
      <w:proofErr w:type="spellEnd"/>
      <w:r w:rsidRPr="00A438EE">
        <w:rPr>
          <w:rFonts w:ascii="Times New Roman" w:hAnsi="Times New Roman"/>
          <w:sz w:val="24"/>
          <w:szCs w:val="24"/>
        </w:rPr>
        <w:t>.</w:t>
      </w:r>
      <w:proofErr w:type="gramEnd"/>
      <w:r w:rsidRPr="00A438EE">
        <w:rPr>
          <w:rFonts w:ascii="Times New Roman" w:hAnsi="Times New Roman"/>
          <w:sz w:val="24"/>
          <w:szCs w:val="24"/>
        </w:rPr>
        <w:t xml:space="preserve"> 21(6):583-605</w:t>
      </w:r>
      <w:r w:rsidR="00A159EF">
        <w:rPr>
          <w:rFonts w:ascii="Times New Roman" w:hAnsi="Times New Roman"/>
          <w:sz w:val="24"/>
          <w:szCs w:val="24"/>
        </w:rPr>
        <w:t xml:space="preserve"> (2009)</w:t>
      </w:r>
      <w:r w:rsidRPr="00A438EE">
        <w:rPr>
          <w:rFonts w:ascii="Times New Roman" w:hAnsi="Times New Roman"/>
          <w:sz w:val="24"/>
          <w:szCs w:val="24"/>
        </w:rPr>
        <w:t xml:space="preserve">. </w:t>
      </w:r>
    </w:p>
    <w:p w:rsidR="00955A03" w:rsidRDefault="00955A03" w:rsidP="00777552">
      <w:pPr>
        <w:spacing w:after="240"/>
        <w:rPr>
          <w:rFonts w:ascii="Times New Roman" w:hAnsi="Times New Roman"/>
          <w:sz w:val="24"/>
          <w:szCs w:val="24"/>
        </w:rPr>
      </w:pPr>
      <w:r w:rsidRPr="00955A03">
        <w:rPr>
          <w:rFonts w:ascii="Times New Roman" w:hAnsi="Times New Roman"/>
          <w:sz w:val="24"/>
          <w:szCs w:val="24"/>
        </w:rPr>
        <w:t xml:space="preserve">Poet TS, </w:t>
      </w:r>
      <w:proofErr w:type="spellStart"/>
      <w:r w:rsidRPr="00955A03">
        <w:rPr>
          <w:rFonts w:ascii="Times New Roman" w:hAnsi="Times New Roman"/>
          <w:sz w:val="24"/>
          <w:szCs w:val="24"/>
        </w:rPr>
        <w:t>Kirman</w:t>
      </w:r>
      <w:proofErr w:type="spellEnd"/>
      <w:r w:rsidRPr="00955A03">
        <w:rPr>
          <w:rFonts w:ascii="Times New Roman" w:hAnsi="Times New Roman"/>
          <w:sz w:val="24"/>
          <w:szCs w:val="24"/>
        </w:rPr>
        <w:t xml:space="preserve"> CR, Bader M, van </w:t>
      </w:r>
      <w:proofErr w:type="spellStart"/>
      <w:r w:rsidRPr="00955A03">
        <w:rPr>
          <w:rFonts w:ascii="Times New Roman" w:hAnsi="Times New Roman"/>
          <w:sz w:val="24"/>
          <w:szCs w:val="24"/>
        </w:rPr>
        <w:t>Thriel</w:t>
      </w:r>
      <w:proofErr w:type="spellEnd"/>
      <w:r w:rsidRPr="00955A03">
        <w:rPr>
          <w:rFonts w:ascii="Times New Roman" w:hAnsi="Times New Roman"/>
          <w:sz w:val="24"/>
          <w:szCs w:val="24"/>
        </w:rPr>
        <w:t xml:space="preserve"> C, </w:t>
      </w:r>
      <w:proofErr w:type="spellStart"/>
      <w:r w:rsidRPr="00955A03">
        <w:rPr>
          <w:rFonts w:ascii="Times New Roman" w:hAnsi="Times New Roman"/>
          <w:sz w:val="24"/>
          <w:szCs w:val="24"/>
        </w:rPr>
        <w:t>Gargas</w:t>
      </w:r>
      <w:proofErr w:type="spellEnd"/>
      <w:r w:rsidRPr="00955A03">
        <w:rPr>
          <w:rFonts w:ascii="Times New Roman" w:hAnsi="Times New Roman"/>
          <w:sz w:val="24"/>
          <w:szCs w:val="24"/>
        </w:rPr>
        <w:t xml:space="preserve"> ML, </w:t>
      </w:r>
      <w:proofErr w:type="spellStart"/>
      <w:r w:rsidRPr="00955A03">
        <w:rPr>
          <w:rFonts w:ascii="Times New Roman" w:hAnsi="Times New Roman"/>
          <w:sz w:val="24"/>
          <w:szCs w:val="24"/>
        </w:rPr>
        <w:t>Hinderliter</w:t>
      </w:r>
      <w:proofErr w:type="spellEnd"/>
      <w:r w:rsidRPr="00955A03">
        <w:rPr>
          <w:rFonts w:ascii="Times New Roman" w:hAnsi="Times New Roman"/>
          <w:sz w:val="24"/>
          <w:szCs w:val="24"/>
        </w:rPr>
        <w:t xml:space="preserve"> PM.</w:t>
      </w:r>
      <w:r w:rsidR="00A159EF">
        <w:rPr>
          <w:rFonts w:ascii="Times New Roman" w:hAnsi="Times New Roman"/>
          <w:sz w:val="24"/>
          <w:szCs w:val="24"/>
        </w:rPr>
        <w:t xml:space="preserve">  </w:t>
      </w:r>
      <w:r w:rsidRPr="00955A03">
        <w:rPr>
          <w:rFonts w:ascii="Times New Roman" w:hAnsi="Times New Roman"/>
          <w:sz w:val="24"/>
          <w:szCs w:val="24"/>
        </w:rPr>
        <w:t xml:space="preserve">Quantitative risk analysis for N-methyl </w:t>
      </w:r>
      <w:proofErr w:type="spellStart"/>
      <w:r w:rsidRPr="00955A03">
        <w:rPr>
          <w:rFonts w:ascii="Times New Roman" w:hAnsi="Times New Roman"/>
          <w:sz w:val="24"/>
          <w:szCs w:val="24"/>
        </w:rPr>
        <w:t>pyrrolidone</w:t>
      </w:r>
      <w:proofErr w:type="spellEnd"/>
      <w:r w:rsidRPr="00955A03">
        <w:rPr>
          <w:rFonts w:ascii="Times New Roman" w:hAnsi="Times New Roman"/>
          <w:sz w:val="24"/>
          <w:szCs w:val="24"/>
        </w:rPr>
        <w:t xml:space="preserve"> using physiologically based</w:t>
      </w:r>
      <w:r w:rsidR="00A159EF">
        <w:rPr>
          <w:rFonts w:ascii="Times New Roman" w:hAnsi="Times New Roman"/>
          <w:sz w:val="24"/>
          <w:szCs w:val="24"/>
        </w:rPr>
        <w:t xml:space="preserve"> </w:t>
      </w:r>
      <w:r w:rsidRPr="00955A03">
        <w:rPr>
          <w:rFonts w:ascii="Times New Roman" w:hAnsi="Times New Roman"/>
          <w:sz w:val="24"/>
          <w:szCs w:val="24"/>
        </w:rPr>
        <w:t xml:space="preserve">pharmacokinetic and benchmark dose modeling. </w:t>
      </w:r>
      <w:proofErr w:type="spellStart"/>
      <w:r w:rsidRPr="00955A03">
        <w:rPr>
          <w:rFonts w:ascii="Times New Roman" w:hAnsi="Times New Roman"/>
          <w:sz w:val="24"/>
          <w:szCs w:val="24"/>
        </w:rPr>
        <w:t>Toxicol</w:t>
      </w:r>
      <w:proofErr w:type="spellEnd"/>
      <w:r w:rsidRPr="00955A03">
        <w:rPr>
          <w:rFonts w:ascii="Times New Roman" w:hAnsi="Times New Roman"/>
          <w:sz w:val="24"/>
          <w:szCs w:val="24"/>
        </w:rPr>
        <w:t xml:space="preserve"> Sci. 113(2):468-82</w:t>
      </w:r>
      <w:r w:rsidR="00A159EF">
        <w:rPr>
          <w:rFonts w:ascii="Times New Roman" w:hAnsi="Times New Roman"/>
          <w:sz w:val="24"/>
          <w:szCs w:val="24"/>
        </w:rPr>
        <w:t xml:space="preserve"> (2010)</w:t>
      </w:r>
      <w:r w:rsidRPr="00955A03">
        <w:rPr>
          <w:rFonts w:ascii="Times New Roman" w:hAnsi="Times New Roman"/>
          <w:sz w:val="24"/>
          <w:szCs w:val="24"/>
        </w:rPr>
        <w:t>.</w:t>
      </w:r>
    </w:p>
    <w:p w:rsidR="00955A03" w:rsidRDefault="00955A03" w:rsidP="00777552">
      <w:pPr>
        <w:spacing w:after="240"/>
        <w:rPr>
          <w:rFonts w:ascii="Times New Roman" w:hAnsi="Times New Roman"/>
          <w:sz w:val="24"/>
          <w:szCs w:val="24"/>
        </w:rPr>
      </w:pPr>
      <w:r w:rsidRPr="00A438EE">
        <w:rPr>
          <w:rFonts w:ascii="Times New Roman" w:hAnsi="Times New Roman"/>
          <w:sz w:val="24"/>
          <w:szCs w:val="24"/>
        </w:rPr>
        <w:lastRenderedPageBreak/>
        <w:t xml:space="preserve">Simon TW. Combining physiologically based pharmacokinetic modeling with Monte Carlo simulation to derive an acute inhalation guidance value for trichloroethylene. </w:t>
      </w:r>
      <w:proofErr w:type="spellStart"/>
      <w:r w:rsidRPr="00A438EE">
        <w:rPr>
          <w:rFonts w:ascii="Times New Roman" w:hAnsi="Times New Roman"/>
          <w:sz w:val="24"/>
          <w:szCs w:val="24"/>
        </w:rPr>
        <w:t>Regul</w:t>
      </w:r>
      <w:proofErr w:type="spellEnd"/>
      <w:r w:rsidRPr="00A438EE">
        <w:rPr>
          <w:rFonts w:ascii="Times New Roman" w:hAnsi="Times New Roman"/>
          <w:sz w:val="24"/>
          <w:szCs w:val="24"/>
        </w:rPr>
        <w:t xml:space="preserve"> </w:t>
      </w:r>
      <w:proofErr w:type="spellStart"/>
      <w:r w:rsidRPr="00A438EE">
        <w:rPr>
          <w:rFonts w:ascii="Times New Roman" w:hAnsi="Times New Roman"/>
          <w:sz w:val="24"/>
          <w:szCs w:val="24"/>
        </w:rPr>
        <w:t>Toxicol</w:t>
      </w:r>
      <w:proofErr w:type="spellEnd"/>
      <w:r w:rsidRPr="00A438EE">
        <w:rPr>
          <w:rFonts w:ascii="Times New Roman" w:hAnsi="Times New Roman"/>
          <w:sz w:val="24"/>
          <w:szCs w:val="24"/>
        </w:rPr>
        <w:t xml:space="preserve"> </w:t>
      </w:r>
      <w:proofErr w:type="spellStart"/>
      <w:r w:rsidRPr="00A438EE">
        <w:rPr>
          <w:rFonts w:ascii="Times New Roman" w:hAnsi="Times New Roman"/>
          <w:sz w:val="24"/>
          <w:szCs w:val="24"/>
        </w:rPr>
        <w:t>Pharmacol</w:t>
      </w:r>
      <w:proofErr w:type="spellEnd"/>
      <w:r w:rsidRPr="00A438EE">
        <w:rPr>
          <w:rFonts w:ascii="Times New Roman" w:hAnsi="Times New Roman"/>
          <w:sz w:val="24"/>
          <w:szCs w:val="24"/>
        </w:rPr>
        <w:t>. 26(3):257-</w:t>
      </w:r>
      <w:r>
        <w:rPr>
          <w:rFonts w:ascii="Times New Roman" w:hAnsi="Times New Roman"/>
          <w:sz w:val="24"/>
          <w:szCs w:val="24"/>
        </w:rPr>
        <w:t>2</w:t>
      </w:r>
      <w:r w:rsidRPr="00A438EE">
        <w:rPr>
          <w:rFonts w:ascii="Times New Roman" w:hAnsi="Times New Roman"/>
          <w:sz w:val="24"/>
          <w:szCs w:val="24"/>
        </w:rPr>
        <w:t>70</w:t>
      </w:r>
      <w:r w:rsidR="00A159EF">
        <w:rPr>
          <w:rFonts w:ascii="Times New Roman" w:hAnsi="Times New Roman"/>
          <w:sz w:val="24"/>
          <w:szCs w:val="24"/>
        </w:rPr>
        <w:t xml:space="preserve"> (1997)</w:t>
      </w:r>
      <w:r w:rsidRPr="00A438EE">
        <w:rPr>
          <w:rFonts w:ascii="Times New Roman" w:hAnsi="Times New Roman"/>
          <w:sz w:val="24"/>
          <w:szCs w:val="24"/>
        </w:rPr>
        <w:t>.</w:t>
      </w:r>
    </w:p>
    <w:p w:rsidR="00955A03" w:rsidRPr="00A438EE" w:rsidRDefault="00955A03" w:rsidP="00777552">
      <w:pPr>
        <w:spacing w:after="240"/>
        <w:rPr>
          <w:rFonts w:ascii="Times New Roman" w:hAnsi="Times New Roman"/>
          <w:sz w:val="24"/>
          <w:szCs w:val="24"/>
        </w:rPr>
      </w:pPr>
      <w:r w:rsidRPr="00A438EE">
        <w:rPr>
          <w:rFonts w:ascii="Times New Roman" w:hAnsi="Times New Roman"/>
          <w:sz w:val="24"/>
          <w:szCs w:val="24"/>
        </w:rPr>
        <w:t xml:space="preserve">Sweeney LM, Tyler TR, </w:t>
      </w:r>
      <w:proofErr w:type="spellStart"/>
      <w:r w:rsidRPr="00A438EE">
        <w:rPr>
          <w:rFonts w:ascii="Times New Roman" w:hAnsi="Times New Roman"/>
          <w:sz w:val="24"/>
          <w:szCs w:val="24"/>
        </w:rPr>
        <w:t>Kirman</w:t>
      </w:r>
      <w:proofErr w:type="spellEnd"/>
      <w:r w:rsidRPr="00A438EE">
        <w:rPr>
          <w:rFonts w:ascii="Times New Roman" w:hAnsi="Times New Roman"/>
          <w:sz w:val="24"/>
          <w:szCs w:val="24"/>
        </w:rPr>
        <w:t xml:space="preserve"> CR, Corley RA, Reitz RH, </w:t>
      </w:r>
      <w:proofErr w:type="spellStart"/>
      <w:r w:rsidRPr="00A438EE">
        <w:rPr>
          <w:rFonts w:ascii="Times New Roman" w:hAnsi="Times New Roman"/>
          <w:sz w:val="24"/>
          <w:szCs w:val="24"/>
        </w:rPr>
        <w:t>Paustenbach</w:t>
      </w:r>
      <w:proofErr w:type="spellEnd"/>
      <w:r w:rsidRPr="00A438EE">
        <w:rPr>
          <w:rFonts w:ascii="Times New Roman" w:hAnsi="Times New Roman"/>
          <w:sz w:val="24"/>
          <w:szCs w:val="24"/>
        </w:rPr>
        <w:t xml:space="preserve"> DJ, </w:t>
      </w:r>
      <w:proofErr w:type="spellStart"/>
      <w:r w:rsidRPr="00A438EE">
        <w:rPr>
          <w:rFonts w:ascii="Times New Roman" w:hAnsi="Times New Roman"/>
          <w:sz w:val="24"/>
          <w:szCs w:val="24"/>
        </w:rPr>
        <w:t>Holson</w:t>
      </w:r>
      <w:proofErr w:type="spellEnd"/>
      <w:r w:rsidRPr="00A438EE">
        <w:rPr>
          <w:rFonts w:ascii="Times New Roman" w:hAnsi="Times New Roman"/>
          <w:sz w:val="24"/>
          <w:szCs w:val="24"/>
        </w:rPr>
        <w:t xml:space="preserve"> JF, </w:t>
      </w:r>
      <w:proofErr w:type="spellStart"/>
      <w:r w:rsidRPr="00A438EE">
        <w:rPr>
          <w:rFonts w:ascii="Times New Roman" w:hAnsi="Times New Roman"/>
          <w:sz w:val="24"/>
          <w:szCs w:val="24"/>
        </w:rPr>
        <w:t>Whorton</w:t>
      </w:r>
      <w:proofErr w:type="spellEnd"/>
      <w:r w:rsidRPr="00A438EE">
        <w:rPr>
          <w:rFonts w:ascii="Times New Roman" w:hAnsi="Times New Roman"/>
          <w:sz w:val="24"/>
          <w:szCs w:val="24"/>
        </w:rPr>
        <w:t xml:space="preserve"> MD, Thompson KM, </w:t>
      </w:r>
      <w:proofErr w:type="spellStart"/>
      <w:r w:rsidRPr="00A438EE">
        <w:rPr>
          <w:rFonts w:ascii="Times New Roman" w:hAnsi="Times New Roman"/>
          <w:sz w:val="24"/>
          <w:szCs w:val="24"/>
        </w:rPr>
        <w:t>Gargas</w:t>
      </w:r>
      <w:proofErr w:type="spellEnd"/>
      <w:r w:rsidRPr="00A438EE">
        <w:rPr>
          <w:rFonts w:ascii="Times New Roman" w:hAnsi="Times New Roman"/>
          <w:sz w:val="24"/>
          <w:szCs w:val="24"/>
        </w:rPr>
        <w:t xml:space="preserve"> ML. Proposed occupational exposure limits for select ethylene glycol ethers using PBPK models and Monte Carlo simulations. </w:t>
      </w:r>
      <w:proofErr w:type="spellStart"/>
      <w:r w:rsidRPr="00A438EE">
        <w:rPr>
          <w:rFonts w:ascii="Times New Roman" w:hAnsi="Times New Roman"/>
          <w:sz w:val="24"/>
          <w:szCs w:val="24"/>
        </w:rPr>
        <w:t>Toxicol</w:t>
      </w:r>
      <w:proofErr w:type="spellEnd"/>
      <w:r w:rsidRPr="00A438EE">
        <w:rPr>
          <w:rFonts w:ascii="Times New Roman" w:hAnsi="Times New Roman"/>
          <w:sz w:val="24"/>
          <w:szCs w:val="24"/>
        </w:rPr>
        <w:t xml:space="preserve"> Sci. 62(1):124-39</w:t>
      </w:r>
      <w:r w:rsidR="00A159EF">
        <w:rPr>
          <w:rFonts w:ascii="Times New Roman" w:hAnsi="Times New Roman"/>
          <w:sz w:val="24"/>
          <w:szCs w:val="24"/>
        </w:rPr>
        <w:t xml:space="preserve"> (2001)</w:t>
      </w:r>
      <w:r w:rsidRPr="00A438EE">
        <w:rPr>
          <w:rFonts w:ascii="Times New Roman" w:hAnsi="Times New Roman"/>
          <w:sz w:val="24"/>
          <w:szCs w:val="24"/>
        </w:rPr>
        <w:t>.</w:t>
      </w:r>
    </w:p>
    <w:p w:rsidR="00955A03" w:rsidRPr="00A438EE" w:rsidRDefault="00955A03" w:rsidP="00777552">
      <w:pPr>
        <w:spacing w:after="240"/>
        <w:rPr>
          <w:rFonts w:ascii="Times New Roman" w:hAnsi="Times New Roman"/>
          <w:sz w:val="24"/>
          <w:szCs w:val="24"/>
        </w:rPr>
      </w:pPr>
      <w:r w:rsidRPr="00A438EE">
        <w:rPr>
          <w:rFonts w:ascii="Times New Roman" w:hAnsi="Times New Roman"/>
          <w:sz w:val="24"/>
          <w:szCs w:val="24"/>
        </w:rPr>
        <w:t xml:space="preserve">Sweeney LM, </w:t>
      </w:r>
      <w:proofErr w:type="spellStart"/>
      <w:r w:rsidRPr="00A438EE">
        <w:rPr>
          <w:rFonts w:ascii="Times New Roman" w:hAnsi="Times New Roman"/>
          <w:sz w:val="24"/>
          <w:szCs w:val="24"/>
        </w:rPr>
        <w:t>Kirman</w:t>
      </w:r>
      <w:proofErr w:type="spellEnd"/>
      <w:r w:rsidRPr="00A438EE">
        <w:rPr>
          <w:rFonts w:ascii="Times New Roman" w:hAnsi="Times New Roman"/>
          <w:sz w:val="24"/>
          <w:szCs w:val="24"/>
        </w:rPr>
        <w:t xml:space="preserve"> CR, Gannon SA, Thrall KD, </w:t>
      </w:r>
      <w:proofErr w:type="spellStart"/>
      <w:r w:rsidRPr="00A438EE">
        <w:rPr>
          <w:rFonts w:ascii="Times New Roman" w:hAnsi="Times New Roman"/>
          <w:sz w:val="24"/>
          <w:szCs w:val="24"/>
        </w:rPr>
        <w:t>Gargas</w:t>
      </w:r>
      <w:proofErr w:type="spellEnd"/>
      <w:r w:rsidRPr="00A438EE">
        <w:rPr>
          <w:rFonts w:ascii="Times New Roman" w:hAnsi="Times New Roman"/>
          <w:sz w:val="24"/>
          <w:szCs w:val="24"/>
        </w:rPr>
        <w:t xml:space="preserve"> ML, </w:t>
      </w:r>
      <w:proofErr w:type="spellStart"/>
      <w:r w:rsidRPr="00A438EE">
        <w:rPr>
          <w:rFonts w:ascii="Times New Roman" w:hAnsi="Times New Roman"/>
          <w:sz w:val="24"/>
          <w:szCs w:val="24"/>
        </w:rPr>
        <w:t>Kinzell</w:t>
      </w:r>
      <w:proofErr w:type="spellEnd"/>
      <w:r w:rsidRPr="00A438EE">
        <w:rPr>
          <w:rFonts w:ascii="Times New Roman" w:hAnsi="Times New Roman"/>
          <w:sz w:val="24"/>
          <w:szCs w:val="24"/>
        </w:rPr>
        <w:t xml:space="preserve"> JH. </w:t>
      </w:r>
      <w:proofErr w:type="gramStart"/>
      <w:r w:rsidRPr="00A438EE">
        <w:rPr>
          <w:rFonts w:ascii="Times New Roman" w:hAnsi="Times New Roman"/>
          <w:sz w:val="24"/>
          <w:szCs w:val="24"/>
        </w:rPr>
        <w:t>Development of a physiologically based pharmacokinetic (PBPK) model for methyl</w:t>
      </w:r>
      <w:r w:rsidR="00A159EF">
        <w:rPr>
          <w:rFonts w:ascii="Times New Roman" w:hAnsi="Times New Roman"/>
          <w:sz w:val="24"/>
          <w:szCs w:val="24"/>
        </w:rPr>
        <w:t xml:space="preserve"> </w:t>
      </w:r>
      <w:r w:rsidRPr="00A438EE">
        <w:rPr>
          <w:rFonts w:ascii="Times New Roman" w:hAnsi="Times New Roman"/>
          <w:sz w:val="24"/>
          <w:szCs w:val="24"/>
        </w:rPr>
        <w:t>iodide in rats, rabbits, and humans.</w:t>
      </w:r>
      <w:proofErr w:type="gramEnd"/>
      <w:r w:rsidRPr="00A438EE">
        <w:rPr>
          <w:rFonts w:ascii="Times New Roman" w:hAnsi="Times New Roman"/>
          <w:sz w:val="24"/>
          <w:szCs w:val="24"/>
        </w:rPr>
        <w:t xml:space="preserve"> </w:t>
      </w:r>
      <w:proofErr w:type="spellStart"/>
      <w:proofErr w:type="gramStart"/>
      <w:r w:rsidRPr="00A438EE">
        <w:rPr>
          <w:rFonts w:ascii="Times New Roman" w:hAnsi="Times New Roman"/>
          <w:sz w:val="24"/>
          <w:szCs w:val="24"/>
        </w:rPr>
        <w:t>Inhal</w:t>
      </w:r>
      <w:proofErr w:type="spellEnd"/>
      <w:r w:rsidRPr="00A438EE">
        <w:rPr>
          <w:rFonts w:ascii="Times New Roman" w:hAnsi="Times New Roman"/>
          <w:sz w:val="24"/>
          <w:szCs w:val="24"/>
        </w:rPr>
        <w:t xml:space="preserve"> </w:t>
      </w:r>
      <w:proofErr w:type="spellStart"/>
      <w:r w:rsidRPr="00A438EE">
        <w:rPr>
          <w:rFonts w:ascii="Times New Roman" w:hAnsi="Times New Roman"/>
          <w:sz w:val="24"/>
          <w:szCs w:val="24"/>
        </w:rPr>
        <w:t>Toxicol</w:t>
      </w:r>
      <w:proofErr w:type="spellEnd"/>
      <w:r w:rsidRPr="00A438EE">
        <w:rPr>
          <w:rFonts w:ascii="Times New Roman" w:hAnsi="Times New Roman"/>
          <w:sz w:val="24"/>
          <w:szCs w:val="24"/>
        </w:rPr>
        <w:t>.</w:t>
      </w:r>
      <w:proofErr w:type="gramEnd"/>
      <w:r w:rsidRPr="00A438EE">
        <w:rPr>
          <w:rFonts w:ascii="Times New Roman" w:hAnsi="Times New Roman"/>
          <w:sz w:val="24"/>
          <w:szCs w:val="24"/>
        </w:rPr>
        <w:t xml:space="preserve"> 21(6):552-82</w:t>
      </w:r>
      <w:r w:rsidR="00A159EF">
        <w:rPr>
          <w:rFonts w:ascii="Times New Roman" w:hAnsi="Times New Roman"/>
          <w:sz w:val="24"/>
          <w:szCs w:val="24"/>
        </w:rPr>
        <w:t xml:space="preserve"> (2009)</w:t>
      </w:r>
      <w:r w:rsidRPr="00A438EE">
        <w:rPr>
          <w:rFonts w:ascii="Times New Roman" w:hAnsi="Times New Roman"/>
          <w:sz w:val="24"/>
          <w:szCs w:val="24"/>
        </w:rPr>
        <w:t>.</w:t>
      </w:r>
    </w:p>
    <w:sectPr w:rsidR="00955A03" w:rsidRPr="00A438EE" w:rsidSect="007E0E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7C9F"/>
    <w:rsid w:val="000D0B4D"/>
    <w:rsid w:val="001D041F"/>
    <w:rsid w:val="004039FA"/>
    <w:rsid w:val="004663EB"/>
    <w:rsid w:val="005D186A"/>
    <w:rsid w:val="00634B8E"/>
    <w:rsid w:val="006F5277"/>
    <w:rsid w:val="00777552"/>
    <w:rsid w:val="007E0E50"/>
    <w:rsid w:val="0080024A"/>
    <w:rsid w:val="0093238A"/>
    <w:rsid w:val="00955A03"/>
    <w:rsid w:val="00A159EF"/>
    <w:rsid w:val="00BF47DE"/>
    <w:rsid w:val="00DF7C9F"/>
    <w:rsid w:val="00ED18DD"/>
    <w:rsid w:val="00F47C34"/>
    <w:rsid w:val="00FE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9F"/>
    <w:rPr>
      <w:rFonts w:ascii="Calibri" w:eastAsia="Calibri" w:hAnsi="Calibri" w:cs="Times New Roman"/>
    </w:rPr>
  </w:style>
  <w:style w:type="paragraph" w:styleId="Heading1">
    <w:name w:val="heading 1"/>
    <w:basedOn w:val="Normal"/>
    <w:next w:val="Normal"/>
    <w:link w:val="Heading1Char"/>
    <w:autoRedefine/>
    <w:uiPriority w:val="9"/>
    <w:qFormat/>
    <w:rsid w:val="00ED18DD"/>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8DD"/>
    <w:rPr>
      <w:rFonts w:ascii="Times New Roman" w:eastAsiaTheme="majorEastAsia" w:hAnsi="Times New Roman" w:cstheme="majorBidi"/>
      <w:b/>
      <w:bCs/>
      <w:sz w:val="28"/>
      <w:szCs w:val="28"/>
    </w:rPr>
  </w:style>
  <w:style w:type="paragraph" w:styleId="Caption">
    <w:name w:val="caption"/>
    <w:basedOn w:val="Normal"/>
    <w:next w:val="Normal"/>
    <w:uiPriority w:val="99"/>
    <w:semiHidden/>
    <w:unhideWhenUsed/>
    <w:qFormat/>
    <w:rsid w:val="00DF7C9F"/>
    <w:pPr>
      <w:spacing w:line="240" w:lineRule="auto"/>
    </w:pPr>
    <w:rPr>
      <w:b/>
      <w:bCs/>
      <w:color w:val="4F81BD"/>
      <w:sz w:val="18"/>
      <w:szCs w:val="18"/>
    </w:rPr>
  </w:style>
  <w:style w:type="paragraph" w:styleId="ListParagraph">
    <w:name w:val="List Paragraph"/>
    <w:basedOn w:val="Normal"/>
    <w:uiPriority w:val="99"/>
    <w:qFormat/>
    <w:rsid w:val="00DF7C9F"/>
    <w:pPr>
      <w:ind w:left="720"/>
      <w:contextualSpacing/>
    </w:pPr>
  </w:style>
  <w:style w:type="character" w:styleId="Hyperlink">
    <w:name w:val="Hyperlink"/>
    <w:uiPriority w:val="99"/>
    <w:rsid w:val="00955A03"/>
    <w:rPr>
      <w:rFonts w:cs="Times New Roman"/>
      <w:color w:val="0000FF"/>
      <w:u w:val="single"/>
    </w:rPr>
  </w:style>
  <w:style w:type="paragraph" w:styleId="CommentText">
    <w:name w:val="annotation text"/>
    <w:basedOn w:val="Normal"/>
    <w:link w:val="CommentTextChar1"/>
    <w:uiPriority w:val="99"/>
    <w:semiHidden/>
    <w:rsid w:val="0093238A"/>
    <w:pPr>
      <w:spacing w:line="240" w:lineRule="auto"/>
    </w:pPr>
    <w:rPr>
      <w:sz w:val="20"/>
      <w:szCs w:val="20"/>
    </w:rPr>
  </w:style>
  <w:style w:type="character" w:customStyle="1" w:styleId="CommentTextChar">
    <w:name w:val="Comment Text Char"/>
    <w:basedOn w:val="DefaultParagraphFont"/>
    <w:link w:val="CommentText"/>
    <w:uiPriority w:val="99"/>
    <w:semiHidden/>
    <w:rsid w:val="0093238A"/>
    <w:rPr>
      <w:rFonts w:ascii="Calibri" w:eastAsia="Calibri" w:hAnsi="Calibri" w:cs="Times New Roman"/>
      <w:sz w:val="20"/>
      <w:szCs w:val="20"/>
    </w:rPr>
  </w:style>
  <w:style w:type="character" w:customStyle="1" w:styleId="CommentTextChar1">
    <w:name w:val="Comment Text Char1"/>
    <w:link w:val="CommentText"/>
    <w:uiPriority w:val="99"/>
    <w:semiHidden/>
    <w:locked/>
    <w:rsid w:val="0093238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9F"/>
    <w:rPr>
      <w:rFonts w:ascii="Calibri" w:eastAsia="Calibri" w:hAnsi="Calibri" w:cs="Times New Roman"/>
    </w:rPr>
  </w:style>
  <w:style w:type="paragraph" w:styleId="Heading1">
    <w:name w:val="heading 1"/>
    <w:basedOn w:val="Normal"/>
    <w:next w:val="Normal"/>
    <w:link w:val="Heading1Char"/>
    <w:autoRedefine/>
    <w:uiPriority w:val="9"/>
    <w:qFormat/>
    <w:rsid w:val="00ED18DD"/>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8DD"/>
    <w:rPr>
      <w:rFonts w:ascii="Times New Roman" w:eastAsiaTheme="majorEastAsia" w:hAnsi="Times New Roman" w:cstheme="majorBidi"/>
      <w:b/>
      <w:bCs/>
      <w:sz w:val="28"/>
      <w:szCs w:val="28"/>
    </w:rPr>
  </w:style>
  <w:style w:type="paragraph" w:styleId="Caption">
    <w:name w:val="caption"/>
    <w:basedOn w:val="Normal"/>
    <w:next w:val="Normal"/>
    <w:uiPriority w:val="99"/>
    <w:semiHidden/>
    <w:unhideWhenUsed/>
    <w:qFormat/>
    <w:rsid w:val="00DF7C9F"/>
    <w:pPr>
      <w:spacing w:line="240" w:lineRule="auto"/>
    </w:pPr>
    <w:rPr>
      <w:b/>
      <w:bCs/>
      <w:color w:val="4F81BD"/>
      <w:sz w:val="18"/>
      <w:szCs w:val="18"/>
    </w:rPr>
  </w:style>
  <w:style w:type="paragraph" w:styleId="ListParagraph">
    <w:name w:val="List Paragraph"/>
    <w:basedOn w:val="Normal"/>
    <w:uiPriority w:val="99"/>
    <w:qFormat/>
    <w:rsid w:val="00DF7C9F"/>
    <w:pPr>
      <w:ind w:left="720"/>
      <w:contextualSpacing/>
    </w:pPr>
  </w:style>
  <w:style w:type="character" w:styleId="Hyperlink">
    <w:name w:val="Hyperlink"/>
    <w:uiPriority w:val="99"/>
    <w:rsid w:val="00955A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5863434">
      <w:bodyDiv w:val="1"/>
      <w:marLeft w:val="0"/>
      <w:marRight w:val="0"/>
      <w:marTop w:val="0"/>
      <w:marBottom w:val="0"/>
      <w:divBdr>
        <w:top w:val="none" w:sz="0" w:space="0" w:color="auto"/>
        <w:left w:val="none" w:sz="0" w:space="0" w:color="auto"/>
        <w:bottom w:val="none" w:sz="0" w:space="0" w:color="auto"/>
        <w:right w:val="none" w:sz="0" w:space="0" w:color="auto"/>
      </w:divBdr>
    </w:div>
    <w:div w:id="402878885">
      <w:bodyDiv w:val="1"/>
      <w:marLeft w:val="0"/>
      <w:marRight w:val="0"/>
      <w:marTop w:val="0"/>
      <w:marBottom w:val="0"/>
      <w:divBdr>
        <w:top w:val="none" w:sz="0" w:space="0" w:color="auto"/>
        <w:left w:val="none" w:sz="0" w:space="0" w:color="auto"/>
        <w:bottom w:val="none" w:sz="0" w:space="0" w:color="auto"/>
        <w:right w:val="none" w:sz="0" w:space="0" w:color="auto"/>
      </w:divBdr>
    </w:div>
    <w:div w:id="489177792">
      <w:bodyDiv w:val="1"/>
      <w:marLeft w:val="0"/>
      <w:marRight w:val="0"/>
      <w:marTop w:val="0"/>
      <w:marBottom w:val="0"/>
      <w:divBdr>
        <w:top w:val="none" w:sz="0" w:space="0" w:color="auto"/>
        <w:left w:val="none" w:sz="0" w:space="0" w:color="auto"/>
        <w:bottom w:val="none" w:sz="0" w:space="0" w:color="auto"/>
        <w:right w:val="none" w:sz="0" w:space="0" w:color="auto"/>
      </w:divBdr>
    </w:div>
    <w:div w:id="1029113023">
      <w:bodyDiv w:val="1"/>
      <w:marLeft w:val="0"/>
      <w:marRight w:val="0"/>
      <w:marTop w:val="0"/>
      <w:marBottom w:val="0"/>
      <w:divBdr>
        <w:top w:val="none" w:sz="0" w:space="0" w:color="auto"/>
        <w:left w:val="none" w:sz="0" w:space="0" w:color="auto"/>
        <w:bottom w:val="none" w:sz="0" w:space="0" w:color="auto"/>
        <w:right w:val="none" w:sz="0" w:space="0" w:color="auto"/>
      </w:divBdr>
    </w:div>
    <w:div w:id="1299383706">
      <w:bodyDiv w:val="1"/>
      <w:marLeft w:val="0"/>
      <w:marRight w:val="0"/>
      <w:marTop w:val="0"/>
      <w:marBottom w:val="0"/>
      <w:divBdr>
        <w:top w:val="none" w:sz="0" w:space="0" w:color="auto"/>
        <w:left w:val="none" w:sz="0" w:space="0" w:color="auto"/>
        <w:bottom w:val="none" w:sz="0" w:space="0" w:color="auto"/>
        <w:right w:val="none" w:sz="0" w:space="0" w:color="auto"/>
      </w:divBdr>
    </w:div>
    <w:div w:id="14587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Sweeney</dc:creator>
  <cp:lastModifiedBy>Rosemary Darigo</cp:lastModifiedBy>
  <cp:revision>3</cp:revision>
  <dcterms:created xsi:type="dcterms:W3CDTF">2015-07-02T22:35:00Z</dcterms:created>
  <dcterms:modified xsi:type="dcterms:W3CDTF">2015-07-02T22:37:00Z</dcterms:modified>
</cp:coreProperties>
</file>