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AF" w:rsidRPr="00EF6245" w:rsidRDefault="00FD76AF" w:rsidP="00FD76AF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b/>
          <w:bCs/>
        </w:rPr>
      </w:pPr>
      <w:r w:rsidRPr="00EF6245">
        <w:rPr>
          <w:rFonts w:ascii="Arial" w:hAnsi="Arial" w:cs="Arial"/>
          <w:b/>
          <w:bCs/>
        </w:rPr>
        <w:t>Supplement:</w:t>
      </w:r>
    </w:p>
    <w:p w:rsidR="00FD76AF" w:rsidRPr="00EF6245" w:rsidRDefault="00FD76AF" w:rsidP="00FD76A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="MyriadPro-Regular" w:hAnsi="Arial" w:cs="Arial"/>
        </w:rPr>
      </w:pPr>
      <w:r w:rsidRPr="00EF6245">
        <w:rPr>
          <w:rFonts w:ascii="Arial" w:hAnsi="Arial" w:cs="Arial"/>
          <w:b/>
          <w:bCs/>
        </w:rPr>
        <w:t xml:space="preserve">Table 1S. </w:t>
      </w:r>
      <w:r w:rsidRPr="00EF6245">
        <w:rPr>
          <w:rFonts w:ascii="Arial" w:eastAsia="MyriadPro-Regular" w:hAnsi="Arial" w:cs="Arial"/>
        </w:rPr>
        <w:t xml:space="preserve">Estimated gradient of serum </w:t>
      </w:r>
      <w:proofErr w:type="spellStart"/>
      <w:r w:rsidRPr="00EF6245">
        <w:rPr>
          <w:rFonts w:ascii="Arial" w:eastAsia="MyriadPro-Regular" w:hAnsi="Arial" w:cs="Arial"/>
        </w:rPr>
        <w:t>IgG</w:t>
      </w:r>
      <w:proofErr w:type="spellEnd"/>
      <w:r w:rsidRPr="00EF6245">
        <w:rPr>
          <w:rFonts w:ascii="Arial" w:eastAsia="MyriadPro-Regular" w:hAnsi="Arial" w:cs="Arial"/>
        </w:rPr>
        <w:t xml:space="preserve"> increase against the age in healthy children</w:t>
      </w:r>
    </w:p>
    <w:tbl>
      <w:tblPr>
        <w:tblpPr w:leftFromText="180" w:rightFromText="180" w:vertAnchor="text" w:horzAnchor="margin" w:tblpX="90" w:tblpY="71"/>
        <w:tblW w:w="9448" w:type="dxa"/>
        <w:tblLook w:val="04A0" w:firstRow="1" w:lastRow="0" w:firstColumn="1" w:lastColumn="0" w:noHBand="0" w:noVBand="1"/>
      </w:tblPr>
      <w:tblGrid>
        <w:gridCol w:w="1188"/>
        <w:gridCol w:w="1080"/>
        <w:gridCol w:w="1890"/>
        <w:gridCol w:w="1710"/>
        <w:gridCol w:w="2430"/>
        <w:gridCol w:w="1150"/>
      </w:tblGrid>
      <w:tr w:rsidR="00FD76AF" w:rsidRPr="00EF6245" w:rsidTr="00C7567B">
        <w:trPr>
          <w:trHeight w:val="350"/>
        </w:trPr>
        <w:tc>
          <w:tcPr>
            <w:tcW w:w="1188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6AF" w:rsidRPr="00EF6245" w:rsidRDefault="00FD76AF" w:rsidP="00C75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Antigen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Age (</w:t>
            </w:r>
            <w:proofErr w:type="spellStart"/>
            <w:r w:rsidRPr="00EF6245">
              <w:rPr>
                <w:rFonts w:ascii="Arial" w:eastAsia="Times New Roman" w:hAnsi="Arial" w:cs="Arial"/>
                <w:sz w:val="20"/>
                <w:szCs w:val="20"/>
              </w:rPr>
              <w:t>mo</w:t>
            </w:r>
            <w:proofErr w:type="spellEnd"/>
            <w:r w:rsidRPr="00EF624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 xml:space="preserve">Gradient of serum </w:t>
            </w:r>
            <w:proofErr w:type="spellStart"/>
            <w:r w:rsidRPr="00EF6245">
              <w:rPr>
                <w:rFonts w:ascii="Arial" w:eastAsia="Times New Roman" w:hAnsi="Arial" w:cs="Arial"/>
                <w:sz w:val="20"/>
                <w:szCs w:val="20"/>
              </w:rPr>
              <w:t>IgG</w:t>
            </w:r>
            <w:proofErr w:type="spellEnd"/>
            <w:r w:rsidRPr="00EF6245">
              <w:rPr>
                <w:rFonts w:ascii="Arial" w:eastAsia="Times New Roman" w:hAnsi="Arial" w:cs="Arial"/>
                <w:sz w:val="20"/>
                <w:szCs w:val="20"/>
              </w:rPr>
              <w:t xml:space="preserve"> increase (Log2 </w:t>
            </w:r>
            <w:proofErr w:type="spellStart"/>
            <w:r w:rsidRPr="00EF6245">
              <w:rPr>
                <w:rFonts w:ascii="Arial" w:eastAsia="Times New Roman" w:hAnsi="Arial" w:cs="Arial"/>
                <w:sz w:val="20"/>
                <w:szCs w:val="20"/>
              </w:rPr>
              <w:t>IgG</w:t>
            </w:r>
            <w:proofErr w:type="spellEnd"/>
            <w:r w:rsidRPr="00EF6245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EF6245">
              <w:rPr>
                <w:rFonts w:ascii="Arial" w:eastAsia="Times New Roman" w:hAnsi="Arial" w:cs="Arial"/>
                <w:sz w:val="20"/>
                <w:szCs w:val="20"/>
              </w:rPr>
              <w:t>ng</w:t>
            </w:r>
            <w:proofErr w:type="spellEnd"/>
            <w:r w:rsidRPr="00EF6245">
              <w:rPr>
                <w:rFonts w:ascii="Arial" w:eastAsia="Times New Roman" w:hAnsi="Arial" w:cs="Arial"/>
                <w:sz w:val="20"/>
                <w:szCs w:val="20"/>
              </w:rPr>
              <w:t>/ml) / Age (</w:t>
            </w:r>
            <w:proofErr w:type="spellStart"/>
            <w:r w:rsidRPr="00EF6245">
              <w:rPr>
                <w:rFonts w:ascii="Arial" w:eastAsia="Times New Roman" w:hAnsi="Arial" w:cs="Arial"/>
                <w:sz w:val="20"/>
                <w:szCs w:val="20"/>
              </w:rPr>
              <w:t>mo</w:t>
            </w:r>
            <w:proofErr w:type="spellEnd"/>
            <w:r w:rsidRPr="00EF6245">
              <w:rPr>
                <w:rFonts w:ascii="Arial" w:eastAsia="Times New Roman" w:hAnsi="Arial" w:cs="Arial"/>
                <w:sz w:val="20"/>
                <w:szCs w:val="20"/>
              </w:rPr>
              <w:t>))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i/>
                <w:sz w:val="20"/>
                <w:szCs w:val="20"/>
              </w:rPr>
              <w:t>P</w:t>
            </w:r>
          </w:p>
        </w:tc>
      </w:tr>
      <w:tr w:rsidR="00FD76AF" w:rsidRPr="00EF6245" w:rsidTr="00C7567B">
        <w:trPr>
          <w:trHeight w:val="260"/>
        </w:trPr>
        <w:tc>
          <w:tcPr>
            <w:tcW w:w="118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6AF" w:rsidRPr="00EF6245" w:rsidRDefault="00FD76AF" w:rsidP="00C7567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Estimated gradient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Standard error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95% Confidence interval</w:t>
            </w: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50"/>
        </w:trPr>
        <w:tc>
          <w:tcPr>
            <w:tcW w:w="1188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OMP CD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0.303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0.060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0.189 - 0.416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0.167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0.119 - 0.216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0.105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0.081 - 0.129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0.051 - 0.088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0.028 - 0.069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-0.001 - 0.048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-0.014 - 0.038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5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F6245">
              <w:rPr>
                <w:rFonts w:ascii="Arial" w:eastAsia="Times New Roman" w:hAnsi="Arial" w:cs="Arial"/>
                <w:sz w:val="20"/>
                <w:szCs w:val="20"/>
              </w:rPr>
              <w:t>OppA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0.255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0.054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0.152 - 0.361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0.145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0.102 - 0.190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0.075 - 0.113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0.052 - 0.078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0.033 - 0.063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0.007 - 0.048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0.016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-0.005 - 0.038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5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Msp22NL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0.264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0.055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0.162 - 0.374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0.134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0.021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0.094 - 0.177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0.059 - 0.097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0.034 - 0.062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0.014 - 0.047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-0.009 - 0.031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-0.019 - 0.023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5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Hag5-9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0.216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0.039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0.141 - 0.292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0.135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0.101 - 0.173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0.077 - 0.115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0.056 - 0.086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0.039 - 0.071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0.016 - 0.056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0.002 - 0.048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50"/>
        </w:trPr>
        <w:tc>
          <w:tcPr>
            <w:tcW w:w="118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PilA2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0.057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-0.002 - 0.213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0.042 - 0.129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0.053 - 0.095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0.047 - 0.083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0.037 - 0.079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0.051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0.024 - 0.074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6AF" w:rsidRPr="00EF6245" w:rsidTr="00C7567B">
        <w:trPr>
          <w:trHeight w:val="270"/>
        </w:trPr>
        <w:tc>
          <w:tcPr>
            <w:tcW w:w="11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245">
              <w:rPr>
                <w:rFonts w:ascii="Arial" w:hAnsi="Arial" w:cs="Arial"/>
                <w:sz w:val="20"/>
                <w:szCs w:val="20"/>
              </w:rPr>
              <w:t>0.016 - 0.071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F" w:rsidRPr="00EF6245" w:rsidRDefault="00FD76AF" w:rsidP="00C7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6066D" w:rsidRDefault="00FD76AF" w:rsidP="00FD76AF">
      <w:pPr>
        <w:spacing w:line="480" w:lineRule="auto"/>
        <w:rPr>
          <w:rFonts w:ascii="Arial" w:eastAsia="MyriadPro-Regular" w:hAnsi="Arial" w:cs="Arial"/>
        </w:rPr>
      </w:pPr>
      <w:r w:rsidRPr="00EF6245">
        <w:rPr>
          <w:rFonts w:ascii="Arial" w:eastAsia="MyriadPro-Regular" w:hAnsi="Arial" w:cs="Arial"/>
        </w:rPr>
        <w:t>Serum anti-</w:t>
      </w:r>
      <w:proofErr w:type="spellStart"/>
      <w:r w:rsidRPr="00EF6245">
        <w:rPr>
          <w:rFonts w:ascii="Arial" w:eastAsia="MyriadPro-Regular" w:hAnsi="Arial" w:cs="Arial"/>
          <w:i/>
        </w:rPr>
        <w:t>Mcat</w:t>
      </w:r>
      <w:proofErr w:type="spellEnd"/>
      <w:r w:rsidRPr="00EF6245">
        <w:rPr>
          <w:rFonts w:ascii="Arial" w:eastAsia="MyriadPro-Regular" w:hAnsi="Arial" w:cs="Arial"/>
        </w:rPr>
        <w:t xml:space="preserve"> protein specific </w:t>
      </w:r>
      <w:proofErr w:type="spellStart"/>
      <w:r w:rsidRPr="00EF6245">
        <w:rPr>
          <w:rFonts w:ascii="Arial" w:eastAsia="MyriadPro-Regular" w:hAnsi="Arial" w:cs="Arial"/>
        </w:rPr>
        <w:t>IgG</w:t>
      </w:r>
      <w:proofErr w:type="spellEnd"/>
      <w:r w:rsidRPr="00EF6245">
        <w:rPr>
          <w:rFonts w:ascii="Arial" w:eastAsia="MyriadPro-Regular" w:hAnsi="Arial" w:cs="Arial"/>
        </w:rPr>
        <w:t xml:space="preserve"> antibody concentrations </w:t>
      </w:r>
      <w:r w:rsidRPr="00AB6B60">
        <w:rPr>
          <w:rFonts w:ascii="Arial" w:eastAsia="MyriadPro-Regular" w:hAnsi="Arial" w:cs="Arial"/>
        </w:rPr>
        <w:t>(</w:t>
      </w:r>
      <w:proofErr w:type="spellStart"/>
      <w:r w:rsidRPr="00AB6B60">
        <w:rPr>
          <w:rFonts w:ascii="Arial" w:eastAsia="MyriadPro-Regular" w:hAnsi="Arial" w:cs="Arial"/>
        </w:rPr>
        <w:t>ng</w:t>
      </w:r>
      <w:proofErr w:type="spellEnd"/>
      <w:r w:rsidRPr="00AB6B60">
        <w:rPr>
          <w:rFonts w:ascii="Arial" w:eastAsia="MyriadPro-Regular" w:hAnsi="Arial" w:cs="Arial"/>
        </w:rPr>
        <w:t xml:space="preserve">/ml) </w:t>
      </w:r>
      <w:r w:rsidRPr="00EF6245">
        <w:rPr>
          <w:rFonts w:ascii="Arial" w:eastAsia="MyriadPro-Regular" w:hAnsi="Arial" w:cs="Arial"/>
        </w:rPr>
        <w:t>were determined with a quantitative ELISA and then power transformed using the Box-Cox method.</w:t>
      </w:r>
      <w:r>
        <w:rPr>
          <w:rFonts w:ascii="Arial" w:eastAsia="MyriadPro-Regular" w:hAnsi="Arial" w:cs="Arial"/>
        </w:rPr>
        <w:t xml:space="preserve"> </w:t>
      </w:r>
      <w:r w:rsidRPr="00EF6245">
        <w:rPr>
          <w:rFonts w:ascii="Arial" w:hAnsi="Arial" w:cs="Arial"/>
        </w:rPr>
        <w:t>Linear models including transformed antibody concentrations</w:t>
      </w:r>
      <w:r>
        <w:rPr>
          <w:rFonts w:ascii="Arial" w:hAnsi="Arial" w:cs="Arial"/>
        </w:rPr>
        <w:t xml:space="preserve"> </w:t>
      </w:r>
      <w:r w:rsidRPr="00B626F2">
        <w:rPr>
          <w:rFonts w:ascii="Arial" w:eastAsia="MyriadPro-Regular" w:hAnsi="Arial" w:cs="Arial"/>
        </w:rPr>
        <w:t xml:space="preserve">(Log2 </w:t>
      </w:r>
      <w:proofErr w:type="spellStart"/>
      <w:r w:rsidRPr="00B626F2">
        <w:rPr>
          <w:rFonts w:ascii="Arial" w:eastAsia="MyriadPro-Regular" w:hAnsi="Arial" w:cs="Arial"/>
        </w:rPr>
        <w:t>IgG</w:t>
      </w:r>
      <w:proofErr w:type="spellEnd"/>
      <w:r w:rsidRPr="00B626F2">
        <w:rPr>
          <w:rFonts w:ascii="Arial" w:eastAsia="MyriadPro-Regular" w:hAnsi="Arial" w:cs="Arial"/>
        </w:rPr>
        <w:t xml:space="preserve"> (</w:t>
      </w:r>
      <w:proofErr w:type="spellStart"/>
      <w:r w:rsidRPr="00B626F2">
        <w:rPr>
          <w:rFonts w:ascii="Arial" w:eastAsia="MyriadPro-Regular" w:hAnsi="Arial" w:cs="Arial"/>
        </w:rPr>
        <w:t>ng</w:t>
      </w:r>
      <w:proofErr w:type="spellEnd"/>
      <w:r w:rsidRPr="00B626F2">
        <w:rPr>
          <w:rFonts w:ascii="Arial" w:eastAsia="MyriadPro-Regular" w:hAnsi="Arial" w:cs="Arial"/>
        </w:rPr>
        <w:t>/ml))</w:t>
      </w:r>
      <w:r w:rsidRPr="00EF6245">
        <w:rPr>
          <w:rFonts w:ascii="Arial" w:hAnsi="Arial" w:cs="Arial"/>
          <w:sz w:val="20"/>
          <w:szCs w:val="20"/>
        </w:rPr>
        <w:t xml:space="preserve"> </w:t>
      </w:r>
      <w:r w:rsidRPr="00EF6245">
        <w:rPr>
          <w:rFonts w:ascii="Arial" w:hAnsi="Arial" w:cs="Arial"/>
        </w:rPr>
        <w:t xml:space="preserve">as response and age </w:t>
      </w:r>
      <w:r>
        <w:rPr>
          <w:rFonts w:ascii="Arial" w:hAnsi="Arial" w:cs="Arial"/>
        </w:rPr>
        <w:t>number (</w:t>
      </w:r>
      <w:proofErr w:type="spellStart"/>
      <w:r>
        <w:rPr>
          <w:rFonts w:ascii="Arial" w:hAnsi="Arial" w:cs="Arial"/>
        </w:rPr>
        <w:t>mo</w:t>
      </w:r>
      <w:proofErr w:type="spellEnd"/>
      <w:r>
        <w:rPr>
          <w:rFonts w:ascii="Arial" w:hAnsi="Arial" w:cs="Arial"/>
        </w:rPr>
        <w:t xml:space="preserve">) </w:t>
      </w:r>
      <w:r w:rsidRPr="00EF6245">
        <w:rPr>
          <w:rFonts w:ascii="Arial" w:hAnsi="Arial" w:cs="Arial"/>
        </w:rPr>
        <w:t xml:space="preserve">as predictors were used for analyzing the slope of age-dependent change of serum </w:t>
      </w:r>
      <w:proofErr w:type="spellStart"/>
      <w:r w:rsidRPr="00EF6245">
        <w:rPr>
          <w:rFonts w:ascii="Arial" w:hAnsi="Arial" w:cs="Arial"/>
        </w:rPr>
        <w:t>IgG</w:t>
      </w:r>
      <w:proofErr w:type="spellEnd"/>
      <w:r w:rsidRPr="00EF6245">
        <w:rPr>
          <w:rFonts w:ascii="Arial" w:hAnsi="Arial" w:cs="Arial"/>
        </w:rPr>
        <w:t xml:space="preserve"> </w:t>
      </w:r>
      <w:r w:rsidRPr="00EF6245">
        <w:rPr>
          <w:rFonts w:ascii="Arial" w:hAnsi="Arial" w:cs="Arial"/>
        </w:rPr>
        <w:lastRenderedPageBreak/>
        <w:t xml:space="preserve">concentrations. </w:t>
      </w:r>
      <w:r>
        <w:rPr>
          <w:rFonts w:ascii="Arial" w:hAnsi="Arial" w:cs="Arial"/>
        </w:rPr>
        <w:t>Age</w:t>
      </w:r>
      <w:r w:rsidRPr="00EF6245">
        <w:rPr>
          <w:rFonts w:ascii="Arial" w:hAnsi="Arial" w:cs="Arial"/>
        </w:rPr>
        <w:t xml:space="preserve"> number</w:t>
      </w:r>
      <w:r>
        <w:rPr>
          <w:rFonts w:ascii="Arial" w:hAnsi="Arial" w:cs="Arial"/>
        </w:rPr>
        <w:t>s</w:t>
      </w:r>
      <w:r w:rsidRPr="00EF6245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ere</w:t>
      </w:r>
      <w:r w:rsidRPr="00EF6245">
        <w:rPr>
          <w:rFonts w:ascii="Arial" w:hAnsi="Arial" w:cs="Arial"/>
        </w:rPr>
        <w:t xml:space="preserve"> log-transformed and </w:t>
      </w:r>
      <w:proofErr w:type="gramStart"/>
      <w:r w:rsidRPr="00EF6245">
        <w:rPr>
          <w:rFonts w:ascii="Arial" w:hAnsi="Arial" w:cs="Arial"/>
        </w:rPr>
        <w:t>nonlinear relationships were captured by including a quadratic age term</w:t>
      </w:r>
      <w:proofErr w:type="gramEnd"/>
      <w:r w:rsidRPr="00EF6245">
        <w:rPr>
          <w:rFonts w:ascii="Arial" w:hAnsi="Arial" w:cs="Arial"/>
        </w:rPr>
        <w:t xml:space="preserve">. In order to control for subject-level dependence induced by repeated measures, a bootstrap procedure was used to estimate statistical significance, </w:t>
      </w:r>
      <w:r>
        <w:rPr>
          <w:rFonts w:ascii="Arial" w:hAnsi="Arial" w:cs="Arial"/>
        </w:rPr>
        <w:t xml:space="preserve">using subject-level resampling. </w:t>
      </w:r>
      <w:r w:rsidRPr="00EF6245">
        <w:rPr>
          <w:rFonts w:ascii="Arial" w:eastAsia="MyriadPro-Regular" w:hAnsi="Arial" w:cs="Arial"/>
        </w:rPr>
        <w:t xml:space="preserve">The </w:t>
      </w:r>
      <w:r w:rsidRPr="00EF6245">
        <w:rPr>
          <w:rFonts w:ascii="Arial" w:eastAsia="MyriadPro-Regular" w:hAnsi="Arial" w:cs="Arial"/>
          <w:i/>
        </w:rPr>
        <w:t>P</w:t>
      </w:r>
      <w:r w:rsidRPr="00EF6245">
        <w:rPr>
          <w:rFonts w:ascii="Arial" w:eastAsia="MyriadPro-Regular" w:hAnsi="Arial" w:cs="Arial"/>
        </w:rPr>
        <w:t xml:space="preserve">-values correspond to the regression coefficient (beta not equal to 0) associated with the age factor. The numbers of sera analyzed at </w:t>
      </w:r>
      <w:r>
        <w:rPr>
          <w:rFonts w:ascii="Arial" w:eastAsia="MyriadPro-Regular" w:hAnsi="Arial" w:cs="Arial"/>
        </w:rPr>
        <w:t xml:space="preserve">age </w:t>
      </w:r>
      <w:r w:rsidRPr="00EF6245">
        <w:rPr>
          <w:rFonts w:ascii="Arial" w:eastAsia="MyriadPro-Regular" w:hAnsi="Arial" w:cs="Arial"/>
        </w:rPr>
        <w:t xml:space="preserve">6, 9, 12, 15, 18, 24, 30 </w:t>
      </w:r>
      <w:proofErr w:type="spellStart"/>
      <w:proofErr w:type="gramStart"/>
      <w:r w:rsidRPr="00EF6245">
        <w:rPr>
          <w:rFonts w:ascii="Arial" w:eastAsia="MyriadPro-Regular" w:hAnsi="Arial" w:cs="Arial"/>
        </w:rPr>
        <w:t>mo</w:t>
      </w:r>
      <w:proofErr w:type="spellEnd"/>
      <w:proofErr w:type="gramEnd"/>
      <w:r w:rsidRPr="00EF6245">
        <w:rPr>
          <w:rFonts w:ascii="Arial" w:eastAsia="MyriadPro-Regular" w:hAnsi="Arial" w:cs="Arial"/>
        </w:rPr>
        <w:t xml:space="preserve"> were 56, 67, 76, 75, 71, 73, 58, respectively. </w:t>
      </w:r>
      <w:r w:rsidRPr="00EF6245">
        <w:rPr>
          <w:rFonts w:ascii="Arial" w:eastAsia="MyriadPro-Regular" w:hAnsi="Arial" w:cs="Arial"/>
          <w:i/>
        </w:rPr>
        <w:t>P</w:t>
      </w:r>
      <w:r w:rsidRPr="00EF6245">
        <w:rPr>
          <w:rFonts w:ascii="Arial" w:eastAsia="MyriadPro-Regular" w:hAnsi="Arial" w:cs="Arial"/>
        </w:rPr>
        <w:t xml:space="preserve"> &lt; 0.05 was considered significant.</w:t>
      </w:r>
    </w:p>
    <w:p w:rsidR="00143001" w:rsidRDefault="00143001" w:rsidP="00FD76AF">
      <w:pPr>
        <w:spacing w:line="480" w:lineRule="auto"/>
        <w:rPr>
          <w:rFonts w:ascii="Arial" w:eastAsia="MyriadPro-Regular" w:hAnsi="Arial" w:cs="Arial"/>
        </w:rPr>
      </w:pPr>
    </w:p>
    <w:p w:rsidR="00143001" w:rsidRPr="00143001" w:rsidRDefault="00143001" w:rsidP="00143001">
      <w:pPr>
        <w:spacing w:after="0" w:line="360" w:lineRule="auto"/>
        <w:jc w:val="center"/>
        <w:rPr>
          <w:rFonts w:ascii="Arial" w:eastAsia="MyriadPro-Regular" w:hAnsi="Arial" w:cs="Arial"/>
          <w:sz w:val="24"/>
          <w:szCs w:val="24"/>
        </w:rPr>
      </w:pPr>
      <w:r w:rsidRPr="00143001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2S</w:t>
      </w:r>
      <w:r w:rsidRPr="00143001">
        <w:rPr>
          <w:rFonts w:ascii="Arial" w:hAnsi="Arial" w:cs="Arial"/>
          <w:b/>
          <w:bCs/>
        </w:rPr>
        <w:t>.</w:t>
      </w:r>
      <w:r w:rsidRPr="00143001">
        <w:rPr>
          <w:rFonts w:ascii="Arial" w:eastAsia="MyriadPro-Regular" w:hAnsi="Arial" w:cs="Arial"/>
        </w:rPr>
        <w:t xml:space="preserve"> </w:t>
      </w:r>
      <w:r w:rsidRPr="00143001">
        <w:rPr>
          <w:rFonts w:ascii="Arial" w:eastAsia="MyriadPro-Regular" w:hAnsi="Arial" w:cs="Arial"/>
          <w:sz w:val="24"/>
          <w:szCs w:val="24"/>
        </w:rPr>
        <w:t xml:space="preserve">Comparison of serum </w:t>
      </w:r>
      <w:proofErr w:type="spellStart"/>
      <w:r w:rsidRPr="00143001">
        <w:rPr>
          <w:rFonts w:ascii="Arial" w:eastAsia="MyriadPro-Regular" w:hAnsi="Arial" w:cs="Arial"/>
          <w:sz w:val="24"/>
          <w:szCs w:val="24"/>
        </w:rPr>
        <w:t>IgG</w:t>
      </w:r>
      <w:proofErr w:type="spellEnd"/>
      <w:r w:rsidRPr="00143001">
        <w:rPr>
          <w:rFonts w:ascii="Arial" w:eastAsia="MyriadPro-Regular" w:hAnsi="Arial" w:cs="Arial"/>
          <w:sz w:val="24"/>
          <w:szCs w:val="24"/>
        </w:rPr>
        <w:t xml:space="preserve"> antibody to </w:t>
      </w:r>
      <w:proofErr w:type="spellStart"/>
      <w:r w:rsidRPr="00143001">
        <w:rPr>
          <w:rFonts w:ascii="Arial" w:hAnsi="Arial" w:cs="Arial"/>
          <w:i/>
          <w:iCs/>
          <w:sz w:val="24"/>
          <w:szCs w:val="24"/>
        </w:rPr>
        <w:t>Mcat</w:t>
      </w:r>
      <w:proofErr w:type="spellEnd"/>
      <w:r w:rsidRPr="00143001">
        <w:rPr>
          <w:rFonts w:ascii="Arial" w:hAnsi="Arial" w:cs="Arial"/>
          <w:i/>
          <w:iCs/>
          <w:sz w:val="24"/>
          <w:szCs w:val="24"/>
        </w:rPr>
        <w:t xml:space="preserve"> </w:t>
      </w:r>
      <w:r w:rsidRPr="00143001">
        <w:rPr>
          <w:rFonts w:ascii="Arial" w:eastAsia="MyriadPro-Regular" w:hAnsi="Arial" w:cs="Arial"/>
          <w:sz w:val="24"/>
          <w:szCs w:val="24"/>
        </w:rPr>
        <w:t xml:space="preserve">proteins OMP CD, </w:t>
      </w:r>
      <w:proofErr w:type="spellStart"/>
      <w:r w:rsidRPr="00143001">
        <w:rPr>
          <w:rFonts w:ascii="Arial" w:eastAsia="MyriadPro-Regular" w:hAnsi="Arial" w:cs="Arial"/>
          <w:sz w:val="24"/>
          <w:szCs w:val="24"/>
        </w:rPr>
        <w:t>OppA</w:t>
      </w:r>
      <w:proofErr w:type="spellEnd"/>
      <w:r w:rsidRPr="00143001">
        <w:rPr>
          <w:rFonts w:ascii="Arial" w:eastAsia="MyriadPro-Regular" w:hAnsi="Arial" w:cs="Arial"/>
          <w:sz w:val="24"/>
          <w:szCs w:val="24"/>
        </w:rPr>
        <w:t xml:space="preserve">, Msp22NL, Hag5-9 and PilA2 in the acute and convalescence stage of </w:t>
      </w:r>
      <w:proofErr w:type="spellStart"/>
      <w:r w:rsidRPr="00143001">
        <w:rPr>
          <w:rFonts w:ascii="Arial" w:eastAsia="MyriadPro-Regular" w:hAnsi="Arial" w:cs="Arial"/>
          <w:i/>
          <w:sz w:val="24"/>
          <w:szCs w:val="24"/>
        </w:rPr>
        <w:t>Mcat</w:t>
      </w:r>
      <w:proofErr w:type="spellEnd"/>
      <w:r w:rsidRPr="00143001">
        <w:rPr>
          <w:rFonts w:ascii="Arial" w:eastAsia="MyriadPro-Regular" w:hAnsi="Arial" w:cs="Arial"/>
          <w:i/>
          <w:sz w:val="24"/>
          <w:szCs w:val="24"/>
        </w:rPr>
        <w:t xml:space="preserve"> </w:t>
      </w:r>
      <w:r w:rsidRPr="00143001">
        <w:rPr>
          <w:rFonts w:ascii="Arial" w:eastAsia="MyriadPro-Regular" w:hAnsi="Arial" w:cs="Arial"/>
          <w:sz w:val="24"/>
          <w:szCs w:val="24"/>
        </w:rPr>
        <w:t>AOM</w:t>
      </w:r>
    </w:p>
    <w:tbl>
      <w:tblPr>
        <w:tblStyle w:val="TableGrid"/>
        <w:tblW w:w="93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569"/>
        <w:gridCol w:w="1264"/>
        <w:gridCol w:w="2410"/>
        <w:gridCol w:w="1134"/>
        <w:gridCol w:w="2693"/>
      </w:tblGrid>
      <w:tr w:rsidR="00143001" w:rsidRPr="00143001" w:rsidTr="00217C00">
        <w:trPr>
          <w:trHeight w:val="305"/>
        </w:trPr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01" w:rsidRPr="00143001" w:rsidRDefault="00143001" w:rsidP="001430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001">
              <w:rPr>
                <w:rFonts w:ascii="Arial" w:eastAsia="Times New Roman" w:hAnsi="Arial" w:cs="Arial"/>
                <w:sz w:val="20"/>
                <w:szCs w:val="20"/>
              </w:rPr>
              <w:t>Antigen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01" w:rsidRPr="00143001" w:rsidRDefault="00143001" w:rsidP="001430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001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001" w:rsidRPr="00143001" w:rsidRDefault="00143001" w:rsidP="0014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bCs/>
                <w:sz w:val="20"/>
                <w:szCs w:val="20"/>
              </w:rPr>
              <w:t>Acute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001" w:rsidRPr="00143001" w:rsidRDefault="00143001" w:rsidP="0014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bCs/>
                <w:sz w:val="20"/>
                <w:szCs w:val="20"/>
              </w:rPr>
              <w:t>Convalescence</w:t>
            </w:r>
          </w:p>
        </w:tc>
      </w:tr>
      <w:tr w:rsidR="00143001" w:rsidRPr="00143001" w:rsidTr="00217C00">
        <w:trPr>
          <w:trHeight w:val="557"/>
        </w:trPr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001" w:rsidRPr="00143001" w:rsidRDefault="00143001" w:rsidP="00143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001" w:rsidRPr="00143001" w:rsidRDefault="00143001" w:rsidP="00143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43001" w:rsidRPr="00143001" w:rsidRDefault="00143001" w:rsidP="001430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001">
              <w:rPr>
                <w:rFonts w:ascii="Arial" w:hAnsi="Arial" w:cs="Arial"/>
                <w:bCs/>
                <w:sz w:val="20"/>
                <w:szCs w:val="20"/>
              </w:rPr>
              <w:t>Mean (</w:t>
            </w:r>
            <w:proofErr w:type="spellStart"/>
            <w:r w:rsidRPr="00143001">
              <w:rPr>
                <w:rFonts w:ascii="Arial" w:hAnsi="Arial" w:cs="Arial"/>
                <w:bCs/>
                <w:sz w:val="20"/>
                <w:szCs w:val="20"/>
              </w:rPr>
              <w:t>ng</w:t>
            </w:r>
            <w:proofErr w:type="spellEnd"/>
            <w:r w:rsidRPr="00143001">
              <w:rPr>
                <w:rFonts w:ascii="Arial" w:hAnsi="Arial" w:cs="Arial"/>
                <w:bCs/>
                <w:sz w:val="20"/>
                <w:szCs w:val="20"/>
              </w:rPr>
              <w:t>/ml)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43001" w:rsidRPr="00143001" w:rsidRDefault="00143001" w:rsidP="001430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001">
              <w:rPr>
                <w:rFonts w:ascii="Arial" w:hAnsi="Arial" w:cs="Arial"/>
                <w:bCs/>
                <w:sz w:val="20"/>
                <w:szCs w:val="20"/>
              </w:rPr>
              <w:t>95% Confidence interval (</w:t>
            </w:r>
            <w:proofErr w:type="spellStart"/>
            <w:r w:rsidRPr="00143001">
              <w:rPr>
                <w:rFonts w:ascii="Arial" w:hAnsi="Arial" w:cs="Arial"/>
                <w:bCs/>
                <w:sz w:val="20"/>
                <w:szCs w:val="20"/>
              </w:rPr>
              <w:t>ng</w:t>
            </w:r>
            <w:proofErr w:type="spellEnd"/>
            <w:r w:rsidRPr="00143001">
              <w:rPr>
                <w:rFonts w:ascii="Arial" w:hAnsi="Arial" w:cs="Arial"/>
                <w:bCs/>
                <w:sz w:val="20"/>
                <w:szCs w:val="20"/>
              </w:rPr>
              <w:t>/ml)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3001" w:rsidRPr="00143001" w:rsidRDefault="00143001" w:rsidP="001430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001">
              <w:rPr>
                <w:rFonts w:ascii="Arial" w:hAnsi="Arial" w:cs="Arial"/>
                <w:bCs/>
                <w:sz w:val="20"/>
                <w:szCs w:val="20"/>
              </w:rPr>
              <w:t>Mean (</w:t>
            </w:r>
            <w:proofErr w:type="spellStart"/>
            <w:r w:rsidRPr="00143001">
              <w:rPr>
                <w:rFonts w:ascii="Arial" w:hAnsi="Arial" w:cs="Arial"/>
                <w:bCs/>
                <w:sz w:val="20"/>
                <w:szCs w:val="20"/>
              </w:rPr>
              <w:t>ng</w:t>
            </w:r>
            <w:proofErr w:type="spellEnd"/>
            <w:r w:rsidRPr="00143001">
              <w:rPr>
                <w:rFonts w:ascii="Arial" w:hAnsi="Arial" w:cs="Arial"/>
                <w:bCs/>
                <w:sz w:val="20"/>
                <w:szCs w:val="20"/>
              </w:rPr>
              <w:t>/ml)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43001" w:rsidRPr="00143001" w:rsidRDefault="00143001" w:rsidP="001430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001">
              <w:rPr>
                <w:rFonts w:ascii="Arial" w:hAnsi="Arial" w:cs="Arial"/>
                <w:bCs/>
                <w:sz w:val="20"/>
                <w:szCs w:val="20"/>
              </w:rPr>
              <w:t>95% Confidence interval (</w:t>
            </w:r>
            <w:proofErr w:type="spellStart"/>
            <w:r w:rsidRPr="00143001">
              <w:rPr>
                <w:rFonts w:ascii="Arial" w:hAnsi="Arial" w:cs="Arial"/>
                <w:bCs/>
                <w:sz w:val="20"/>
                <w:szCs w:val="20"/>
              </w:rPr>
              <w:t>ng</w:t>
            </w:r>
            <w:proofErr w:type="spellEnd"/>
            <w:r w:rsidRPr="00143001">
              <w:rPr>
                <w:rFonts w:ascii="Arial" w:hAnsi="Arial" w:cs="Arial"/>
                <w:bCs/>
                <w:sz w:val="20"/>
                <w:szCs w:val="20"/>
              </w:rPr>
              <w:t>/ml)</w:t>
            </w:r>
          </w:p>
        </w:tc>
      </w:tr>
      <w:tr w:rsidR="00143001" w:rsidRPr="00143001" w:rsidTr="00217C00">
        <w:trPr>
          <w:trHeight w:val="352"/>
        </w:trPr>
        <w:tc>
          <w:tcPr>
            <w:tcW w:w="1274" w:type="dxa"/>
            <w:tcBorders>
              <w:top w:val="single" w:sz="4" w:space="0" w:color="auto"/>
            </w:tcBorders>
          </w:tcPr>
          <w:p w:rsidR="00143001" w:rsidRPr="00143001" w:rsidRDefault="00143001" w:rsidP="0014300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OMP CD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143001" w:rsidRPr="00143001" w:rsidRDefault="00143001" w:rsidP="0014300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43001" w:rsidRPr="00143001" w:rsidRDefault="00143001" w:rsidP="001430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eastAsia="Times New Roman" w:hAnsi="Arial" w:cs="Arial"/>
                <w:sz w:val="20"/>
                <w:szCs w:val="20"/>
              </w:rPr>
              <w:t>2446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43001" w:rsidRPr="00143001" w:rsidRDefault="00143001" w:rsidP="001430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1597 - 3295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3001" w:rsidRPr="00143001" w:rsidRDefault="00143001" w:rsidP="001430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eastAsia="Times New Roman" w:hAnsi="Arial" w:cs="Arial"/>
                <w:sz w:val="20"/>
                <w:szCs w:val="20"/>
              </w:rPr>
              <w:t>2712*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43001" w:rsidRPr="00143001" w:rsidRDefault="00143001" w:rsidP="001430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1818 - 3607</w:t>
            </w:r>
          </w:p>
        </w:tc>
      </w:tr>
      <w:tr w:rsidR="00143001" w:rsidRPr="00143001" w:rsidTr="00217C00">
        <w:trPr>
          <w:trHeight w:val="441"/>
        </w:trPr>
        <w:tc>
          <w:tcPr>
            <w:tcW w:w="1274" w:type="dxa"/>
          </w:tcPr>
          <w:p w:rsidR="00143001" w:rsidRPr="00143001" w:rsidRDefault="00143001" w:rsidP="0014300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3001">
              <w:rPr>
                <w:rFonts w:ascii="Arial" w:hAnsi="Arial" w:cs="Arial"/>
                <w:sz w:val="20"/>
                <w:szCs w:val="20"/>
              </w:rPr>
              <w:t>OppA</w:t>
            </w:r>
            <w:proofErr w:type="spellEnd"/>
          </w:p>
        </w:tc>
        <w:tc>
          <w:tcPr>
            <w:tcW w:w="569" w:type="dxa"/>
          </w:tcPr>
          <w:p w:rsidR="00143001" w:rsidRPr="00143001" w:rsidRDefault="00143001" w:rsidP="0014300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64" w:type="dxa"/>
          </w:tcPr>
          <w:p w:rsidR="00143001" w:rsidRPr="00143001" w:rsidRDefault="00143001" w:rsidP="001430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2434</w:t>
            </w:r>
          </w:p>
        </w:tc>
        <w:tc>
          <w:tcPr>
            <w:tcW w:w="2410" w:type="dxa"/>
          </w:tcPr>
          <w:p w:rsidR="00143001" w:rsidRPr="00143001" w:rsidRDefault="00143001" w:rsidP="001430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1751 - 3117</w:t>
            </w:r>
          </w:p>
        </w:tc>
        <w:tc>
          <w:tcPr>
            <w:tcW w:w="1134" w:type="dxa"/>
          </w:tcPr>
          <w:p w:rsidR="00143001" w:rsidRPr="00143001" w:rsidRDefault="00143001" w:rsidP="001430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2318</w:t>
            </w:r>
          </w:p>
        </w:tc>
        <w:tc>
          <w:tcPr>
            <w:tcW w:w="2693" w:type="dxa"/>
          </w:tcPr>
          <w:p w:rsidR="00143001" w:rsidRPr="00143001" w:rsidRDefault="00143001" w:rsidP="001430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1723 - 2913</w:t>
            </w:r>
          </w:p>
        </w:tc>
      </w:tr>
      <w:tr w:rsidR="00143001" w:rsidRPr="00143001" w:rsidTr="00217C00">
        <w:trPr>
          <w:trHeight w:val="431"/>
        </w:trPr>
        <w:tc>
          <w:tcPr>
            <w:tcW w:w="1274" w:type="dxa"/>
          </w:tcPr>
          <w:p w:rsidR="00143001" w:rsidRPr="00143001" w:rsidRDefault="00143001" w:rsidP="0014300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Msp22NL</w:t>
            </w:r>
          </w:p>
        </w:tc>
        <w:tc>
          <w:tcPr>
            <w:tcW w:w="569" w:type="dxa"/>
          </w:tcPr>
          <w:p w:rsidR="00143001" w:rsidRPr="00143001" w:rsidRDefault="00143001" w:rsidP="0014300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64" w:type="dxa"/>
          </w:tcPr>
          <w:p w:rsidR="00143001" w:rsidRPr="00143001" w:rsidRDefault="00143001" w:rsidP="001430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2808</w:t>
            </w:r>
          </w:p>
        </w:tc>
        <w:tc>
          <w:tcPr>
            <w:tcW w:w="2410" w:type="dxa"/>
          </w:tcPr>
          <w:p w:rsidR="00143001" w:rsidRPr="00143001" w:rsidRDefault="00143001" w:rsidP="001430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2038 - 3577</w:t>
            </w:r>
          </w:p>
        </w:tc>
        <w:tc>
          <w:tcPr>
            <w:tcW w:w="1134" w:type="dxa"/>
          </w:tcPr>
          <w:p w:rsidR="00143001" w:rsidRPr="00143001" w:rsidRDefault="00143001" w:rsidP="001430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2610</w:t>
            </w:r>
          </w:p>
        </w:tc>
        <w:tc>
          <w:tcPr>
            <w:tcW w:w="2693" w:type="dxa"/>
          </w:tcPr>
          <w:p w:rsidR="00143001" w:rsidRPr="00143001" w:rsidRDefault="00143001" w:rsidP="001430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1990 - 3229</w:t>
            </w:r>
          </w:p>
        </w:tc>
      </w:tr>
      <w:tr w:rsidR="00143001" w:rsidRPr="00143001" w:rsidTr="00217C00">
        <w:trPr>
          <w:trHeight w:val="421"/>
        </w:trPr>
        <w:tc>
          <w:tcPr>
            <w:tcW w:w="1274" w:type="dxa"/>
          </w:tcPr>
          <w:p w:rsidR="00143001" w:rsidRPr="00143001" w:rsidRDefault="00143001" w:rsidP="0014300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Hag5-9</w:t>
            </w:r>
          </w:p>
        </w:tc>
        <w:tc>
          <w:tcPr>
            <w:tcW w:w="569" w:type="dxa"/>
          </w:tcPr>
          <w:p w:rsidR="00143001" w:rsidRPr="00143001" w:rsidRDefault="00143001" w:rsidP="0014300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64" w:type="dxa"/>
          </w:tcPr>
          <w:p w:rsidR="00143001" w:rsidRPr="00143001" w:rsidRDefault="00143001" w:rsidP="001430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1565</w:t>
            </w:r>
          </w:p>
        </w:tc>
        <w:tc>
          <w:tcPr>
            <w:tcW w:w="2410" w:type="dxa"/>
          </w:tcPr>
          <w:p w:rsidR="00143001" w:rsidRPr="00143001" w:rsidRDefault="00143001" w:rsidP="001430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909 - 2221</w:t>
            </w:r>
          </w:p>
        </w:tc>
        <w:tc>
          <w:tcPr>
            <w:tcW w:w="1134" w:type="dxa"/>
          </w:tcPr>
          <w:p w:rsidR="00143001" w:rsidRPr="00143001" w:rsidRDefault="00143001" w:rsidP="001430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1494</w:t>
            </w:r>
          </w:p>
        </w:tc>
        <w:tc>
          <w:tcPr>
            <w:tcW w:w="2693" w:type="dxa"/>
          </w:tcPr>
          <w:p w:rsidR="00143001" w:rsidRPr="00143001" w:rsidRDefault="00143001" w:rsidP="001430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765 - 2222</w:t>
            </w:r>
          </w:p>
        </w:tc>
      </w:tr>
      <w:tr w:rsidR="00143001" w:rsidRPr="00143001" w:rsidTr="00217C00">
        <w:trPr>
          <w:trHeight w:val="289"/>
        </w:trPr>
        <w:tc>
          <w:tcPr>
            <w:tcW w:w="1274" w:type="dxa"/>
            <w:tcBorders>
              <w:bottom w:val="single" w:sz="4" w:space="0" w:color="auto"/>
            </w:tcBorders>
          </w:tcPr>
          <w:p w:rsidR="00143001" w:rsidRPr="00143001" w:rsidRDefault="00143001" w:rsidP="0014300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PilA2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143001" w:rsidRPr="00143001" w:rsidRDefault="00143001" w:rsidP="0014300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43001" w:rsidRPr="00143001" w:rsidRDefault="00143001" w:rsidP="001430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1441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3001" w:rsidRPr="00143001" w:rsidRDefault="00143001" w:rsidP="001430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931 - 1952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3001" w:rsidRPr="00143001" w:rsidRDefault="00143001" w:rsidP="001430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43001" w:rsidRPr="00143001" w:rsidRDefault="00143001" w:rsidP="001430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001">
              <w:rPr>
                <w:rFonts w:ascii="Arial" w:hAnsi="Arial" w:cs="Arial"/>
                <w:sz w:val="20"/>
                <w:szCs w:val="20"/>
              </w:rPr>
              <w:t>784 - 2081</w:t>
            </w:r>
          </w:p>
        </w:tc>
      </w:tr>
    </w:tbl>
    <w:p w:rsidR="00143001" w:rsidRDefault="00143001" w:rsidP="00FD76AF">
      <w:pPr>
        <w:spacing w:line="480" w:lineRule="auto"/>
        <w:rPr>
          <w:rFonts w:ascii="Arial" w:eastAsia="MyriadPro-Regular" w:hAnsi="Arial" w:cs="Arial"/>
        </w:rPr>
      </w:pPr>
      <w:r w:rsidRPr="00143001">
        <w:rPr>
          <w:rFonts w:ascii="Arial" w:eastAsia="MyriadPro-Regular" w:hAnsi="Arial" w:cs="Arial"/>
        </w:rPr>
        <w:t>The data are represented as mean concentration with lower and upper 95% confidence intervals. A non-parametric Wilcoxon matched-pairs test was employed to compare the difference of the means between acute and convalescence phases. *</w:t>
      </w:r>
      <w:r w:rsidRPr="00143001">
        <w:rPr>
          <w:rFonts w:ascii="Arial" w:eastAsia="MyriadPro-Regular" w:hAnsi="Arial" w:cs="Arial"/>
          <w:i/>
        </w:rPr>
        <w:t>P</w:t>
      </w:r>
      <w:r w:rsidRPr="00143001">
        <w:rPr>
          <w:rFonts w:ascii="Arial" w:eastAsia="MyriadPro-Regular" w:hAnsi="Arial" w:cs="Arial"/>
        </w:rPr>
        <w:t xml:space="preserve"> &lt; 0.05.</w:t>
      </w:r>
    </w:p>
    <w:p w:rsidR="007E429B" w:rsidRDefault="007E429B" w:rsidP="00FD76AF">
      <w:pPr>
        <w:spacing w:line="480" w:lineRule="auto"/>
        <w:rPr>
          <w:rFonts w:ascii="Arial" w:eastAsia="MyriadPro-Regular" w:hAnsi="Arial" w:cs="Arial"/>
        </w:rPr>
      </w:pPr>
    </w:p>
    <w:p w:rsidR="007E429B" w:rsidRDefault="007E429B" w:rsidP="00FD76AF">
      <w:pPr>
        <w:spacing w:line="480" w:lineRule="auto"/>
        <w:rPr>
          <w:rFonts w:ascii="Arial" w:eastAsia="MyriadPro-Regular" w:hAnsi="Arial" w:cs="Arial"/>
        </w:rPr>
      </w:pPr>
    </w:p>
    <w:p w:rsidR="007E429B" w:rsidRDefault="007E429B" w:rsidP="00FD76AF">
      <w:pPr>
        <w:spacing w:line="480" w:lineRule="auto"/>
        <w:rPr>
          <w:rFonts w:ascii="Arial" w:eastAsia="MyriadPro-Regular" w:hAnsi="Arial" w:cs="Arial"/>
        </w:rPr>
      </w:pPr>
    </w:p>
    <w:p w:rsidR="007E429B" w:rsidRDefault="007E429B" w:rsidP="00FD76AF">
      <w:pPr>
        <w:spacing w:line="480" w:lineRule="auto"/>
        <w:rPr>
          <w:rFonts w:ascii="Arial" w:eastAsia="MyriadPro-Regular" w:hAnsi="Arial" w:cs="Arial"/>
        </w:rPr>
      </w:pPr>
    </w:p>
    <w:p w:rsidR="007E429B" w:rsidRDefault="007E429B" w:rsidP="00FD76AF">
      <w:pPr>
        <w:spacing w:line="480" w:lineRule="auto"/>
        <w:rPr>
          <w:rFonts w:ascii="Arial" w:eastAsia="MyriadPro-Regular" w:hAnsi="Arial" w:cs="Arial"/>
        </w:rPr>
      </w:pPr>
    </w:p>
    <w:p w:rsidR="00526C1C" w:rsidRDefault="00F221D8" w:rsidP="00526C1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US"/>
        </w:rPr>
        <w:lastRenderedPageBreak/>
        <w:drawing>
          <wp:inline distT="0" distB="0" distL="0" distR="0">
            <wp:extent cx="5935345" cy="4038600"/>
            <wp:effectExtent l="0" t="0" r="8255" b="0"/>
            <wp:docPr id="2" name="Picture 2" descr="MOHIT:Users:td-59418:Desktop:mm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HIT:Users:td-59418:Desktop:mm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21D8" w:rsidRPr="00526C1C" w:rsidRDefault="00F221D8" w:rsidP="00526C1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</w:rPr>
      </w:pPr>
    </w:p>
    <w:p w:rsidR="0053653A" w:rsidRPr="007E429B" w:rsidRDefault="0053653A" w:rsidP="00946BC1">
      <w:pPr>
        <w:spacing w:line="480" w:lineRule="auto"/>
        <w:jc w:val="both"/>
        <w:rPr>
          <w:rFonts w:ascii="Arial" w:hAnsi="Arial" w:cs="Arial"/>
        </w:rPr>
      </w:pPr>
      <w:r w:rsidRPr="00526C1C">
        <w:rPr>
          <w:rFonts w:ascii="Arial" w:eastAsia="Times New Roman" w:hAnsi="Arial" w:cs="Arial"/>
          <w:b/>
          <w:bCs/>
          <w:sz w:val="24"/>
          <w:szCs w:val="24"/>
        </w:rPr>
        <w:t xml:space="preserve">Figure </w:t>
      </w:r>
      <w:r w:rsidR="007E429B" w:rsidRPr="00526C1C">
        <w:rPr>
          <w:rFonts w:ascii="Arial" w:eastAsia="Times New Roman" w:hAnsi="Arial" w:cs="Arial"/>
          <w:b/>
          <w:bCs/>
          <w:sz w:val="24"/>
          <w:szCs w:val="24"/>
        </w:rPr>
        <w:t>1S</w:t>
      </w:r>
      <w:r w:rsidRPr="00526C1C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7E429B">
        <w:rPr>
          <w:rFonts w:ascii="Arial" w:hAnsi="Arial" w:cs="Arial"/>
        </w:rPr>
        <w:t xml:space="preserve"> </w:t>
      </w:r>
      <w:proofErr w:type="gramStart"/>
      <w:r w:rsidRPr="007E429B">
        <w:rPr>
          <w:rFonts w:ascii="Arial" w:hAnsi="Arial" w:cs="Arial"/>
        </w:rPr>
        <w:t xml:space="preserve">Characterization of recombinant </w:t>
      </w:r>
      <w:proofErr w:type="spellStart"/>
      <w:r w:rsidRPr="007E429B">
        <w:rPr>
          <w:rFonts w:ascii="Arial" w:hAnsi="Arial" w:cs="Arial"/>
          <w:i/>
        </w:rPr>
        <w:t>Mcat</w:t>
      </w:r>
      <w:proofErr w:type="spellEnd"/>
      <w:r w:rsidRPr="007E429B">
        <w:rPr>
          <w:rFonts w:ascii="Arial" w:hAnsi="Arial" w:cs="Arial"/>
        </w:rPr>
        <w:t xml:space="preserve"> proteins with SDS-PAGE and Western blot.</w:t>
      </w:r>
      <w:proofErr w:type="gramEnd"/>
      <w:r w:rsidRPr="007E429B">
        <w:rPr>
          <w:rFonts w:ascii="Arial" w:hAnsi="Arial" w:cs="Arial"/>
        </w:rPr>
        <w:t xml:space="preserve">  A. (</w:t>
      </w:r>
      <w:proofErr w:type="spellStart"/>
      <w:proofErr w:type="gramStart"/>
      <w:r w:rsidRPr="007E429B">
        <w:rPr>
          <w:rFonts w:ascii="Arial" w:hAnsi="Arial" w:cs="Arial"/>
        </w:rPr>
        <w:t>i</w:t>
      </w:r>
      <w:proofErr w:type="spellEnd"/>
      <w:proofErr w:type="gramEnd"/>
      <w:r w:rsidRPr="007E429B">
        <w:rPr>
          <w:rFonts w:ascii="Arial" w:hAnsi="Arial" w:cs="Arial"/>
        </w:rPr>
        <w:t xml:space="preserve">) Migration of OMP CD (calculated molecular weight (CMW) of 45 </w:t>
      </w:r>
      <w:proofErr w:type="spellStart"/>
      <w:r w:rsidRPr="007E429B">
        <w:rPr>
          <w:rFonts w:ascii="Arial" w:hAnsi="Arial" w:cs="Arial"/>
        </w:rPr>
        <w:t>kDa</w:t>
      </w:r>
      <w:proofErr w:type="spellEnd"/>
      <w:r w:rsidRPr="007E429B">
        <w:rPr>
          <w:rFonts w:ascii="Arial" w:hAnsi="Arial" w:cs="Arial"/>
        </w:rPr>
        <w:t xml:space="preserve">) in SDS-PAGE. (ii) OMP CD detected with Western blot by using a rabbit anti-OMP CD polyclonal antibody </w:t>
      </w:r>
      <w:r w:rsidR="00946BC1" w:rsidRPr="00946BC1">
        <w:rPr>
          <w:rFonts w:ascii="Arial" w:hAnsi="Arial" w:cs="Arial"/>
        </w:rPr>
        <w:t>provided by Dr. Timothy Murphy</w:t>
      </w:r>
      <w:r w:rsidRPr="007E429B">
        <w:rPr>
          <w:rFonts w:ascii="Arial" w:hAnsi="Arial" w:cs="Arial"/>
        </w:rPr>
        <w:t>. B. (</w:t>
      </w:r>
      <w:proofErr w:type="spellStart"/>
      <w:proofErr w:type="gramStart"/>
      <w:r w:rsidRPr="007E429B">
        <w:rPr>
          <w:rFonts w:ascii="Arial" w:hAnsi="Arial" w:cs="Arial"/>
        </w:rPr>
        <w:t>i</w:t>
      </w:r>
      <w:proofErr w:type="spellEnd"/>
      <w:proofErr w:type="gramEnd"/>
      <w:r w:rsidRPr="007E429B">
        <w:rPr>
          <w:rFonts w:ascii="Arial" w:hAnsi="Arial" w:cs="Arial"/>
        </w:rPr>
        <w:t xml:space="preserve">) Migration of </w:t>
      </w:r>
      <w:proofErr w:type="spellStart"/>
      <w:r w:rsidRPr="007E429B">
        <w:rPr>
          <w:rFonts w:ascii="Arial" w:hAnsi="Arial" w:cs="Arial"/>
        </w:rPr>
        <w:t>OppA</w:t>
      </w:r>
      <w:proofErr w:type="spellEnd"/>
      <w:r w:rsidRPr="007E429B">
        <w:rPr>
          <w:rFonts w:ascii="Arial" w:hAnsi="Arial" w:cs="Arial"/>
        </w:rPr>
        <w:t xml:space="preserve"> (CMW of 74 </w:t>
      </w:r>
      <w:proofErr w:type="spellStart"/>
      <w:r w:rsidRPr="007E429B">
        <w:rPr>
          <w:rFonts w:ascii="Arial" w:hAnsi="Arial" w:cs="Arial"/>
        </w:rPr>
        <w:t>kDa</w:t>
      </w:r>
      <w:proofErr w:type="spellEnd"/>
      <w:r w:rsidRPr="007E429B">
        <w:rPr>
          <w:rFonts w:ascii="Arial" w:hAnsi="Arial" w:cs="Arial"/>
        </w:rPr>
        <w:t xml:space="preserve">) in SDS-PAGE. (ii) </w:t>
      </w:r>
      <w:proofErr w:type="spellStart"/>
      <w:r w:rsidRPr="007E429B">
        <w:rPr>
          <w:rFonts w:ascii="Arial" w:hAnsi="Arial" w:cs="Arial"/>
        </w:rPr>
        <w:t>OppA</w:t>
      </w:r>
      <w:proofErr w:type="spellEnd"/>
      <w:r w:rsidRPr="007E429B">
        <w:rPr>
          <w:rFonts w:ascii="Arial" w:hAnsi="Arial" w:cs="Arial"/>
        </w:rPr>
        <w:t xml:space="preserve"> detected with Western blot by using a rabbit anti-</w:t>
      </w:r>
      <w:proofErr w:type="spellStart"/>
      <w:r w:rsidRPr="007E429B">
        <w:rPr>
          <w:rFonts w:ascii="Arial" w:hAnsi="Arial" w:cs="Arial"/>
        </w:rPr>
        <w:t>OppA</w:t>
      </w:r>
      <w:proofErr w:type="spellEnd"/>
      <w:r w:rsidRPr="007E429B">
        <w:rPr>
          <w:rFonts w:ascii="Arial" w:hAnsi="Arial" w:cs="Arial"/>
        </w:rPr>
        <w:t xml:space="preserve"> polyclonal antibody</w:t>
      </w:r>
      <w:r w:rsidR="007E429B" w:rsidRPr="007E429B">
        <w:rPr>
          <w:rFonts w:ascii="Arial" w:hAnsi="Arial" w:cs="Arial"/>
        </w:rPr>
        <w:t xml:space="preserve"> </w:t>
      </w:r>
      <w:r w:rsidR="007E429B" w:rsidRPr="007E429B">
        <w:rPr>
          <w:rFonts w:ascii="Arial" w:hAnsi="Arial" w:cs="Arial"/>
        </w:rPr>
        <w:fldChar w:fldCharType="begin">
          <w:fldData xml:space="preserve">PEVuZE5vdGU+PENpdGU+PEF1dGhvcj5ZYW5nPC9BdXRob3I+PFllYXI+MjAxMTwvWWVhcj48UmVj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</w:fldData>
        </w:fldChar>
      </w:r>
      <w:r w:rsidR="00946BC1">
        <w:rPr>
          <w:rFonts w:ascii="Arial" w:hAnsi="Arial" w:cs="Arial"/>
        </w:rPr>
        <w:instrText xml:space="preserve"> ADDIN EN.CITE </w:instrText>
      </w:r>
      <w:r w:rsidR="00946BC1">
        <w:rPr>
          <w:rFonts w:ascii="Arial" w:hAnsi="Arial" w:cs="Arial"/>
        </w:rPr>
        <w:fldChar w:fldCharType="begin">
          <w:fldData xml:space="preserve">PEVuZE5vdGU+PENpdGU+PEF1dGhvcj5ZYW5nPC9BdXRob3I+PFllYXI+MjAxMTwvWWVhcj48UmVj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</w:fldData>
        </w:fldChar>
      </w:r>
      <w:r w:rsidR="00946BC1">
        <w:rPr>
          <w:rFonts w:ascii="Arial" w:hAnsi="Arial" w:cs="Arial"/>
        </w:rPr>
        <w:instrText xml:space="preserve"> ADDIN EN.CITE.DATA </w:instrText>
      </w:r>
      <w:r w:rsidR="00946BC1">
        <w:rPr>
          <w:rFonts w:ascii="Arial" w:hAnsi="Arial" w:cs="Arial"/>
        </w:rPr>
      </w:r>
      <w:r w:rsidR="00946BC1">
        <w:rPr>
          <w:rFonts w:ascii="Arial" w:hAnsi="Arial" w:cs="Arial"/>
        </w:rPr>
        <w:fldChar w:fldCharType="end"/>
      </w:r>
      <w:r w:rsidR="007E429B" w:rsidRPr="007E429B">
        <w:rPr>
          <w:rFonts w:ascii="Arial" w:hAnsi="Arial" w:cs="Arial"/>
        </w:rPr>
      </w:r>
      <w:r w:rsidR="007E429B" w:rsidRPr="007E429B">
        <w:rPr>
          <w:rFonts w:ascii="Arial" w:hAnsi="Arial" w:cs="Arial"/>
        </w:rPr>
        <w:fldChar w:fldCharType="separate"/>
      </w:r>
      <w:r w:rsidR="00946BC1">
        <w:rPr>
          <w:rFonts w:ascii="Arial" w:hAnsi="Arial" w:cs="Arial"/>
          <w:noProof/>
        </w:rPr>
        <w:t>[1]</w:t>
      </w:r>
      <w:r w:rsidR="007E429B" w:rsidRPr="007E429B">
        <w:rPr>
          <w:rFonts w:ascii="Arial" w:hAnsi="Arial" w:cs="Arial"/>
        </w:rPr>
        <w:fldChar w:fldCharType="end"/>
      </w:r>
      <w:r w:rsidRPr="007E429B">
        <w:rPr>
          <w:rFonts w:ascii="Arial" w:hAnsi="Arial" w:cs="Arial"/>
        </w:rPr>
        <w:t>. C. (</w:t>
      </w:r>
      <w:proofErr w:type="spellStart"/>
      <w:proofErr w:type="gramStart"/>
      <w:r w:rsidRPr="007E429B">
        <w:rPr>
          <w:rFonts w:ascii="Arial" w:hAnsi="Arial" w:cs="Arial"/>
        </w:rPr>
        <w:t>i</w:t>
      </w:r>
      <w:proofErr w:type="spellEnd"/>
      <w:proofErr w:type="gramEnd"/>
      <w:r w:rsidRPr="007E429B">
        <w:rPr>
          <w:rFonts w:ascii="Arial" w:hAnsi="Arial" w:cs="Arial"/>
        </w:rPr>
        <w:t xml:space="preserve">) Migration of Msp22NL (CMW of 16 </w:t>
      </w:r>
      <w:proofErr w:type="spellStart"/>
      <w:r w:rsidRPr="007E429B">
        <w:rPr>
          <w:rFonts w:ascii="Arial" w:hAnsi="Arial" w:cs="Arial"/>
        </w:rPr>
        <w:t>kDa</w:t>
      </w:r>
      <w:proofErr w:type="spellEnd"/>
      <w:r w:rsidRPr="007E429B">
        <w:rPr>
          <w:rFonts w:ascii="Arial" w:hAnsi="Arial" w:cs="Arial"/>
        </w:rPr>
        <w:t>) in SDS-PAGE. (ii) Msp22NL detected with Western blot by using a rabbit anti-Msp22 polyclonal antibody</w:t>
      </w:r>
      <w:r w:rsidR="007E429B" w:rsidRPr="007E429B">
        <w:rPr>
          <w:rFonts w:ascii="Arial" w:hAnsi="Arial" w:cs="Arial"/>
        </w:rPr>
        <w:t xml:space="preserve"> </w:t>
      </w:r>
      <w:r w:rsidR="007E429B" w:rsidRPr="007E429B">
        <w:rPr>
          <w:rFonts w:ascii="Arial" w:hAnsi="Arial" w:cs="Arial"/>
        </w:rPr>
        <w:fldChar w:fldCharType="begin"/>
      </w:r>
      <w:r w:rsidR="00946BC1">
        <w:rPr>
          <w:rFonts w:ascii="Arial" w:hAnsi="Arial" w:cs="Arial"/>
        </w:rPr>
        <w:instrText xml:space="preserve"> ADDIN EN.CITE &lt;EndNote&gt;&lt;Cite&gt;&lt;Author&gt;Ruckdeschel&lt;/Author&gt;&lt;Year&gt;2009&lt;/Year&gt;&lt;RecNum&gt;78&lt;/RecNum&gt;&lt;DisplayText&gt;[2]&lt;/DisplayText&gt;&lt;record&gt;&lt;rec-number&gt;78&lt;/rec-number&gt;&lt;foreign-keys&gt;&lt;key app="EN" db-id="2srdtv9rhx5tzmezrt1x5rd8e22psefzzvpt" timestamp="1429023069"&gt;78&lt;/key&gt;&lt;/foreign-keys&gt;&lt;ref-type name="Journal Article"&gt;17&lt;/ref-type&gt;&lt;contributors&gt;&lt;authors&gt;&lt;author&gt;Ruckdeschel, E. A.&lt;/author&gt;&lt;author&gt;Brauer, A. L.&lt;/author&gt;&lt;author&gt;Johnson, A.&lt;/author&gt;&lt;author&gt;Murphy, T. F.&lt;/author&gt;&lt;/authors&gt;&lt;/contributors&gt;&lt;auth-address&gt;Department of Microbiology, University at Buffalo, The State University of New York, Buffalo, NY 14215, United States.&lt;/auth-address&gt;&lt;titles&gt;&lt;title&gt;Characterization of proteins Msp22 and Msp75 as vaccine antigens of Moraxella catarrhalis&lt;/title&gt;&lt;secondary-title&gt;Vaccine&lt;/secondary-title&gt;&lt;alt-title&gt;Vaccine&lt;/alt-title&gt;&lt;/titles&gt;&lt;periodical&gt;&lt;full-title&gt;Vaccine&lt;/full-title&gt;&lt;abbr-1&gt;Vaccine&lt;/abbr-1&gt;&lt;/periodical&gt;&lt;alt-periodical&gt;&lt;full-title&gt;Vaccine&lt;/full-title&gt;&lt;abbr-1&gt;Vaccine&lt;/abbr-1&gt;&lt;/alt-periodical&gt;&lt;pages&gt;7065-72&lt;/pages&gt;&lt;volume&gt;27&lt;/volume&gt;&lt;number&gt;50&lt;/number&gt;&lt;keywords&gt;&lt;keyword&gt;Animals&lt;/keyword&gt;&lt;keyword&gt;Antibodies, Bacterial/blood&lt;/keyword&gt;&lt;keyword&gt;Antigens, Bacterial/*immunology&lt;/keyword&gt;&lt;keyword&gt;Bacterial Outer Membrane Proteins/*immunology&lt;/keyword&gt;&lt;keyword&gt;Bacterial Vaccines/*immunology&lt;/keyword&gt;&lt;keyword&gt;Mice&lt;/keyword&gt;&lt;keyword&gt;Mice, Inbred BALB C&lt;/keyword&gt;&lt;keyword&gt;Moraxella (Branhamella) catarrhalis/immunology&lt;/keyword&gt;&lt;keyword&gt;Moraxellaceae Infections/immunology/*prevention &amp;amp; control&lt;/keyword&gt;&lt;keyword&gt;Rabbits&lt;/keyword&gt;&lt;keyword&gt;Recombinant Proteins/immunology&lt;/keyword&gt;&lt;/keywords&gt;&lt;dates&gt;&lt;year&gt;2009&lt;/year&gt;&lt;pub-dates&gt;&lt;date&gt;Nov 23&lt;/date&gt;&lt;/pub-dates&gt;&lt;/dates&gt;&lt;isbn&gt;1873-2518 (Electronic)&amp;#xD;0264-410X (Linking)&lt;/isbn&gt;&lt;accession-num&gt;19786139&lt;/accession-num&gt;&lt;urls&gt;&lt;related-urls&gt;&lt;url&gt;http://www.ncbi.nlm.nih.gov/pubmed/19786139&lt;/url&gt;&lt;/related-urls&gt;&lt;/urls&gt;&lt;custom2&gt;2783942&lt;/custom2&gt;&lt;electronic-resource-num&gt;10.1016/j.vaccine.2009.09.062&lt;/electronic-resource-num&gt;&lt;/record&gt;&lt;/Cite&gt;&lt;/EndNote&gt;</w:instrText>
      </w:r>
      <w:r w:rsidR="007E429B" w:rsidRPr="007E429B">
        <w:rPr>
          <w:rFonts w:ascii="Arial" w:hAnsi="Arial" w:cs="Arial"/>
        </w:rPr>
        <w:fldChar w:fldCharType="separate"/>
      </w:r>
      <w:r w:rsidR="00946BC1">
        <w:rPr>
          <w:rFonts w:ascii="Arial" w:hAnsi="Arial" w:cs="Arial"/>
          <w:noProof/>
        </w:rPr>
        <w:t>[2]</w:t>
      </w:r>
      <w:r w:rsidR="007E429B" w:rsidRPr="007E429B">
        <w:rPr>
          <w:rFonts w:ascii="Arial" w:hAnsi="Arial" w:cs="Arial"/>
        </w:rPr>
        <w:fldChar w:fldCharType="end"/>
      </w:r>
      <w:r w:rsidRPr="007E429B">
        <w:rPr>
          <w:rFonts w:ascii="Arial" w:hAnsi="Arial" w:cs="Arial"/>
        </w:rPr>
        <w:t xml:space="preserve">. D. </w:t>
      </w:r>
      <w:r w:rsidR="002724AA" w:rsidRPr="007E429B">
        <w:rPr>
          <w:rFonts w:ascii="Arial" w:hAnsi="Arial" w:cs="Arial"/>
        </w:rPr>
        <w:t>(</w:t>
      </w:r>
      <w:proofErr w:type="spellStart"/>
      <w:proofErr w:type="gramStart"/>
      <w:r w:rsidR="002724AA" w:rsidRPr="007E429B">
        <w:rPr>
          <w:rFonts w:ascii="Arial" w:hAnsi="Arial" w:cs="Arial"/>
        </w:rPr>
        <w:t>i</w:t>
      </w:r>
      <w:proofErr w:type="spellEnd"/>
      <w:proofErr w:type="gramEnd"/>
      <w:r w:rsidR="002724AA" w:rsidRPr="007E429B">
        <w:rPr>
          <w:rFonts w:ascii="Arial" w:hAnsi="Arial" w:cs="Arial"/>
        </w:rPr>
        <w:t xml:space="preserve">) Migration of Hag5-9 (CMW of 79 </w:t>
      </w:r>
      <w:proofErr w:type="spellStart"/>
      <w:r w:rsidR="002724AA" w:rsidRPr="007E429B">
        <w:rPr>
          <w:rFonts w:ascii="Arial" w:hAnsi="Arial" w:cs="Arial"/>
        </w:rPr>
        <w:t>kDa</w:t>
      </w:r>
      <w:proofErr w:type="spellEnd"/>
      <w:r w:rsidR="002724AA" w:rsidRPr="007E429B">
        <w:rPr>
          <w:rFonts w:ascii="Arial" w:hAnsi="Arial" w:cs="Arial"/>
        </w:rPr>
        <w:t xml:space="preserve">) in SDS-PAGE.  (ii) Hag5-9 detected with Western blot by using a mouse anti-Hag polyclonal antibody </w:t>
      </w:r>
      <w:r w:rsidR="002724AA" w:rsidRPr="007E429B">
        <w:rPr>
          <w:rFonts w:ascii="Arial" w:hAnsi="Arial" w:cs="Arial"/>
        </w:rPr>
        <w:fldChar w:fldCharType="begin"/>
      </w:r>
      <w:r w:rsidR="00946BC1">
        <w:rPr>
          <w:rFonts w:ascii="Arial" w:hAnsi="Arial" w:cs="Arial"/>
        </w:rPr>
        <w:instrText xml:space="preserve"> ADDIN EN.CITE &lt;EndNote&gt;&lt;Cite&gt;&lt;Author&gt;Bullard&lt;/Author&gt;&lt;Year&gt;2007&lt;/Year&gt;&lt;RecNum&gt;35&lt;/RecNum&gt;&lt;DisplayText&gt;[3]&lt;/DisplayText&gt;&lt;record&gt;&lt;rec-number&gt;35&lt;/rec-number&gt;&lt;foreign-keys&gt;&lt;key app="EN" db-id="2srdtv9rhx5tzmezrt1x5rd8e22psefzzvpt" timestamp="1429023064"&gt;35&lt;/key&gt;&lt;/foreign-keys&gt;&lt;ref-type name="Journal Article"&gt;17&lt;/ref-type&gt;&lt;contributors&gt;&lt;authors&gt;&lt;author&gt;Bullard, B.&lt;/author&gt;&lt;author&gt;Lipski, S.&lt;/author&gt;&lt;author&gt;Lafontaine, E. R.&lt;/author&gt;&lt;/authors&gt;&lt;/contributors&gt;&lt;auth-address&gt;Department of Medical Microbiology and Immunology, University of Toledo Health Sciences Campus, Toledo, OH 43614, USA. brian.bullard@osumc.edu&lt;/auth-address&gt;&lt;titles&gt;&lt;title&gt;Regions important for the adhesin activity of Moraxella catarrhalis Hag&lt;/title&gt;&lt;secondary-title&gt;BMC Microbiol&lt;/secondary-title&gt;&lt;alt-title&gt;BMC microbiology&lt;/alt-title&gt;&lt;/titles&gt;&lt;periodical&gt;&lt;full-title&gt;BMC Microbiol&lt;/full-title&gt;&lt;abbr-1&gt;BMC microbiology&lt;/abbr-1&gt;&lt;/periodical&gt;&lt;alt-periodical&gt;&lt;full-title&gt;BMC Microbiol&lt;/full-title&gt;&lt;abbr-1&gt;BMC microbiology&lt;/abbr-1&gt;&lt;/alt-periodical&gt;&lt;pages&gt;65&lt;/pages&gt;&lt;volume&gt;7&lt;/volume&gt;&lt;keywords&gt;&lt;keyword&gt;Adhesins, Bacterial/*genetics/*physiology&lt;/keyword&gt;&lt;keyword&gt;Bacterial Adhesion/*genetics&lt;/keyword&gt;&lt;keyword&gt;Bacterial Proteins/*genetics/*physiology&lt;/keyword&gt;&lt;keyword&gt;Cell Line&lt;/keyword&gt;&lt;keyword&gt;Collagen/metabolism&lt;/keyword&gt;&lt;keyword&gt;Escherichia coli/genetics/pathogenicity&lt;/keyword&gt;&lt;keyword&gt;Humans&lt;/keyword&gt;&lt;keyword&gt;Moraxella (Branhamella) catarrhalis/*genetics/*pathogenicity&lt;/keyword&gt;&lt;keyword&gt;Mutation&lt;/keyword&gt;&lt;keyword&gt;Protein Structure, Tertiary&lt;/keyword&gt;&lt;keyword&gt;Sequence Deletion&lt;/keyword&gt;&lt;/keywords&gt;&lt;dates&gt;&lt;year&gt;2007&lt;/year&gt;&lt;/dates&gt;&lt;isbn&gt;1471-2180 (Electronic)&amp;#xD;1471-2180 (Linking)&lt;/isbn&gt;&lt;accession-num&gt;17608944&lt;/accession-num&gt;&lt;urls&gt;&lt;related-urls&gt;&lt;url&gt;http://www.ncbi.nlm.nih.gov/pubmed/17608944&lt;/url&gt;&lt;/related-urls&gt;&lt;/urls&gt;&lt;custom2&gt;1931440&lt;/custom2&gt;&lt;electronic-resource-num&gt;10.1186/1471-2180-7-65&lt;/electronic-resource-num&gt;&lt;/record&gt;&lt;/Cite&gt;&lt;/EndNote&gt;</w:instrText>
      </w:r>
      <w:r w:rsidR="002724AA" w:rsidRPr="007E429B">
        <w:rPr>
          <w:rFonts w:ascii="Arial" w:hAnsi="Arial" w:cs="Arial"/>
        </w:rPr>
        <w:fldChar w:fldCharType="separate"/>
      </w:r>
      <w:r w:rsidR="00946BC1">
        <w:rPr>
          <w:rFonts w:ascii="Arial" w:hAnsi="Arial" w:cs="Arial"/>
          <w:noProof/>
        </w:rPr>
        <w:t>[3]</w:t>
      </w:r>
      <w:r w:rsidR="002724AA" w:rsidRPr="007E429B">
        <w:rPr>
          <w:rFonts w:ascii="Arial" w:hAnsi="Arial" w:cs="Arial"/>
        </w:rPr>
        <w:fldChar w:fldCharType="end"/>
      </w:r>
      <w:r w:rsidR="002724AA" w:rsidRPr="007E429B">
        <w:rPr>
          <w:rFonts w:ascii="Arial" w:hAnsi="Arial" w:cs="Arial"/>
        </w:rPr>
        <w:t xml:space="preserve">. </w:t>
      </w:r>
      <w:r w:rsidRPr="007E429B">
        <w:rPr>
          <w:rFonts w:ascii="Arial" w:hAnsi="Arial" w:cs="Arial"/>
        </w:rPr>
        <w:t xml:space="preserve">E. </w:t>
      </w:r>
      <w:r w:rsidR="002724AA" w:rsidRPr="007E429B">
        <w:rPr>
          <w:rFonts w:ascii="Arial" w:hAnsi="Arial" w:cs="Arial"/>
        </w:rPr>
        <w:t>(</w:t>
      </w:r>
      <w:proofErr w:type="spellStart"/>
      <w:proofErr w:type="gramStart"/>
      <w:r w:rsidR="002724AA" w:rsidRPr="007E429B">
        <w:rPr>
          <w:rFonts w:ascii="Arial" w:hAnsi="Arial" w:cs="Arial"/>
        </w:rPr>
        <w:t>i</w:t>
      </w:r>
      <w:proofErr w:type="spellEnd"/>
      <w:proofErr w:type="gramEnd"/>
      <w:r w:rsidR="002724AA" w:rsidRPr="007E429B">
        <w:rPr>
          <w:rFonts w:ascii="Arial" w:hAnsi="Arial" w:cs="Arial"/>
        </w:rPr>
        <w:t xml:space="preserve">) Migration of rPilA1a and rPilA2 (CMW of 17 </w:t>
      </w:r>
      <w:proofErr w:type="spellStart"/>
      <w:r w:rsidR="002724AA" w:rsidRPr="007E429B">
        <w:rPr>
          <w:rFonts w:ascii="Arial" w:hAnsi="Arial" w:cs="Arial"/>
        </w:rPr>
        <w:t>kDa</w:t>
      </w:r>
      <w:proofErr w:type="spellEnd"/>
      <w:r w:rsidR="002724AA" w:rsidRPr="007E429B">
        <w:rPr>
          <w:rFonts w:ascii="Arial" w:hAnsi="Arial" w:cs="Arial"/>
        </w:rPr>
        <w:t xml:space="preserve"> for both) in SDS-PAGE. (ii) </w:t>
      </w:r>
      <w:proofErr w:type="gramStart"/>
      <w:r w:rsidR="002724AA" w:rsidRPr="007E429B">
        <w:rPr>
          <w:rFonts w:ascii="Arial" w:hAnsi="Arial" w:cs="Arial"/>
        </w:rPr>
        <w:t>rPilA1a</w:t>
      </w:r>
      <w:proofErr w:type="gramEnd"/>
      <w:r w:rsidR="002724AA" w:rsidRPr="007E429B">
        <w:rPr>
          <w:rFonts w:ascii="Arial" w:hAnsi="Arial" w:cs="Arial"/>
        </w:rPr>
        <w:t xml:space="preserve"> and rPilA2 detected with Western blot by using a rabbit anti-</w:t>
      </w:r>
      <w:proofErr w:type="spellStart"/>
      <w:r w:rsidR="002724AA" w:rsidRPr="007E429B">
        <w:rPr>
          <w:rFonts w:ascii="Arial" w:hAnsi="Arial" w:cs="Arial"/>
        </w:rPr>
        <w:t>rPilA</w:t>
      </w:r>
      <w:proofErr w:type="spellEnd"/>
      <w:r w:rsidR="002724AA" w:rsidRPr="007E429B">
        <w:rPr>
          <w:rFonts w:ascii="Arial" w:hAnsi="Arial" w:cs="Arial"/>
        </w:rPr>
        <w:t xml:space="preserve"> polyclonal antibody</w:t>
      </w:r>
      <w:r w:rsidR="002724AA">
        <w:rPr>
          <w:rFonts w:ascii="Arial" w:hAnsi="Arial" w:cs="Arial"/>
        </w:rPr>
        <w:t xml:space="preserve"> </w:t>
      </w:r>
      <w:r w:rsidR="002724AA" w:rsidRPr="007E429B">
        <w:rPr>
          <w:rFonts w:ascii="Arial" w:hAnsi="Arial" w:cs="Arial"/>
        </w:rPr>
        <w:fldChar w:fldCharType="begin"/>
      </w:r>
      <w:r w:rsidR="00946BC1">
        <w:rPr>
          <w:rFonts w:ascii="Arial" w:hAnsi="Arial" w:cs="Arial"/>
        </w:rPr>
        <w:instrText xml:space="preserve"> ADDIN EN.CITE &lt;EndNote&gt;&lt;Cite&gt;&lt;Author&gt;Luke-Marshall&lt;/Author&gt;&lt;Year&gt;2011&lt;/Year&gt;&lt;RecNum&gt;172&lt;/RecNum&gt;&lt;DisplayText&gt;[4]&lt;/DisplayText&gt;&lt;record&gt;&lt;rec-number&gt;172&lt;/rec-number&gt;&lt;foreign-keys&gt;&lt;key app="EN" db-id="2srdtv9rhx5tzmezrt1x5rd8e22psefzzvpt" timestamp="1429218075"&gt;172&lt;/key&gt;&lt;/foreign-keys&gt;&lt;ref-type name="Journal Article"&gt;17&lt;/ref-type&gt;&lt;contributors&gt;&lt;authors&gt;&lt;author&gt;Luke-Marshall, N. R.&lt;/author&gt;&lt;author&gt;Sauberan, S. L.&lt;/author&gt;&lt;author&gt;Campagnari, A. A.&lt;/author&gt;&lt;/authors&gt;&lt;/contributors&gt;&lt;auth-address&gt;Department of Microbiology and Immunology, State University of New York at Buffalo, Buffalo, NY 14214, USA.&lt;/auth-address&gt;&lt;titles&gt;&lt;title&gt;Comparative analyses of the Moraxella catarrhalis type-IV pilus structural subunit PilA&lt;/title&gt;&lt;secondary-title&gt;Gene&lt;/secondary-title&gt;&lt;/titles&gt;&lt;periodical&gt;&lt;full-title&gt;Gene&lt;/full-title&gt;&lt;abbr-1&gt;Gene&lt;/abbr-1&gt;&lt;/periodical&gt;&lt;pages&gt;19-23&lt;/pages&gt;&lt;volume&gt;477&lt;/volume&gt;&lt;number&gt;1-2&lt;/number&gt;&lt;keywords&gt;&lt;keyword&gt;Amino Acid Sequence&lt;/keyword&gt;&lt;keyword&gt;DNA, Bacterial/chemistry/genetics&lt;/keyword&gt;&lt;keyword&gt;Fimbriae Proteins/genetics/*metabolism&lt;/keyword&gt;&lt;keyword&gt;Fimbriae, Bacterial/*metabolism&lt;/keyword&gt;&lt;keyword&gt;Humans&lt;/keyword&gt;&lt;keyword&gt;Immunoblotting&lt;/keyword&gt;&lt;keyword&gt;Molecular Sequence Data&lt;/keyword&gt;&lt;keyword&gt;Moraxella (Branhamella) catarrhalis/classification/genetics/*metabolism&lt;/keyword&gt;&lt;keyword&gt;Phylogeny&lt;/keyword&gt;&lt;keyword&gt;RNA, Ribosomal, 16S/genetics&lt;/keyword&gt;&lt;keyword&gt;Sequence Analysis, DNA&lt;/keyword&gt;&lt;keyword&gt;Sequence Homology, Amino Acid&lt;/keyword&gt;&lt;keyword&gt;Species Specificity&lt;/keyword&gt;&lt;/keywords&gt;&lt;dates&gt;&lt;year&gt;2011&lt;/year&gt;&lt;pub-dates&gt;&lt;date&gt;May 15&lt;/date&gt;&lt;/pub-dates&gt;&lt;/dates&gt;&lt;isbn&gt;1879-0038 (Electronic)&amp;#xD;0378-1119 (Linking)&lt;/isbn&gt;&lt;accession-num&gt;21256201&lt;/accession-num&gt;&lt;urls&gt;&lt;related-urls&gt;&lt;url&gt;http://www.ncbi.nlm.nih.gov/pubmed/21256201&lt;/url&gt;&lt;/related-urls&gt;&lt;/urls&gt;&lt;electronic-resource-num&gt;10.1016/j.gene.2011.01.010&lt;/electronic-resource-num&gt;&lt;/record&gt;&lt;/Cite&gt;&lt;/EndNote&gt;</w:instrText>
      </w:r>
      <w:r w:rsidR="002724AA" w:rsidRPr="007E429B">
        <w:rPr>
          <w:rFonts w:ascii="Arial" w:hAnsi="Arial" w:cs="Arial"/>
        </w:rPr>
        <w:fldChar w:fldCharType="separate"/>
      </w:r>
      <w:r w:rsidR="00946BC1">
        <w:rPr>
          <w:rFonts w:ascii="Arial" w:hAnsi="Arial" w:cs="Arial"/>
          <w:noProof/>
        </w:rPr>
        <w:t>[4]</w:t>
      </w:r>
      <w:r w:rsidR="002724AA" w:rsidRPr="007E429B">
        <w:rPr>
          <w:rFonts w:ascii="Arial" w:hAnsi="Arial" w:cs="Arial"/>
        </w:rPr>
        <w:fldChar w:fldCharType="end"/>
      </w:r>
      <w:r w:rsidR="002724AA" w:rsidRPr="007E429B">
        <w:rPr>
          <w:rFonts w:ascii="Arial" w:hAnsi="Arial" w:cs="Arial"/>
        </w:rPr>
        <w:t xml:space="preserve">. </w:t>
      </w:r>
      <w:proofErr w:type="gramStart"/>
      <w:r w:rsidR="00526C1C" w:rsidRPr="00526C1C">
        <w:rPr>
          <w:rFonts w:ascii="Arial" w:eastAsia="Times New Roman" w:hAnsi="Arial" w:cs="Arial"/>
          <w:sz w:val="20"/>
          <w:szCs w:val="20"/>
          <w:lang w:eastAsia="en-US"/>
        </w:rPr>
        <w:t>M, Molecular mass standard.</w:t>
      </w:r>
      <w:proofErr w:type="gramEnd"/>
    </w:p>
    <w:p w:rsidR="0053653A" w:rsidRDefault="0053653A" w:rsidP="00FD76AF">
      <w:pPr>
        <w:spacing w:line="480" w:lineRule="auto"/>
        <w:rPr>
          <w:rFonts w:ascii="Arial" w:eastAsia="MyriadPro-Regular" w:hAnsi="Arial" w:cs="Arial"/>
        </w:rPr>
      </w:pPr>
    </w:p>
    <w:p w:rsidR="00E26E73" w:rsidRDefault="00E26E73" w:rsidP="00946B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</w:rPr>
      </w:pPr>
      <w:r w:rsidRPr="00946BC1">
        <w:rPr>
          <w:rFonts w:ascii="Arial" w:hAnsi="Arial" w:cs="Arial"/>
          <w:b/>
          <w:bCs/>
        </w:rPr>
        <w:t>References</w:t>
      </w:r>
    </w:p>
    <w:p w:rsidR="00946BC1" w:rsidRPr="00E26E73" w:rsidRDefault="00946BC1" w:rsidP="00946BC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946BC1" w:rsidRPr="00946BC1" w:rsidRDefault="00E26E73" w:rsidP="00946BC1">
      <w:pPr>
        <w:pStyle w:val="EndNoteBibliography"/>
        <w:spacing w:after="0"/>
        <w:ind w:left="660" w:hanging="660"/>
        <w:jc w:val="both"/>
      </w:pPr>
      <w:r w:rsidRPr="00946BC1">
        <w:fldChar w:fldCharType="begin"/>
      </w:r>
      <w:r w:rsidRPr="00946BC1">
        <w:instrText xml:space="preserve"> ADDIN EN.REFLIST </w:instrText>
      </w:r>
      <w:r w:rsidRPr="00946BC1">
        <w:fldChar w:fldCharType="separate"/>
      </w:r>
      <w:r w:rsidR="00946BC1" w:rsidRPr="00946BC1">
        <w:t>1.</w:t>
      </w:r>
      <w:r w:rsidR="00946BC1" w:rsidRPr="00946BC1">
        <w:tab/>
        <w:t>Yang M, Johnson A, Murphy TF. Characterization and evaluation of the Moraxella catarrhalis oligopeptide permease A as a mucosal vaccine antigen. Infect Immun 2011; 79:846-57</w:t>
      </w:r>
    </w:p>
    <w:p w:rsidR="00946BC1" w:rsidRPr="00946BC1" w:rsidRDefault="00946BC1" w:rsidP="00946BC1">
      <w:pPr>
        <w:pStyle w:val="EndNoteBibliography"/>
        <w:spacing w:after="0"/>
        <w:ind w:left="660" w:hanging="660"/>
        <w:jc w:val="both"/>
      </w:pPr>
      <w:r w:rsidRPr="00946BC1">
        <w:t>2.</w:t>
      </w:r>
      <w:r w:rsidRPr="00946BC1">
        <w:tab/>
        <w:t>Ruckdeschel EA, Brauer AL, Johnson A, et al. Characterization of proteins Msp22 and Msp75 as vaccine antigens of Moraxella catarrhalis. Vaccine 2009; 27:7065-72</w:t>
      </w:r>
    </w:p>
    <w:p w:rsidR="00946BC1" w:rsidRPr="00946BC1" w:rsidRDefault="00946BC1" w:rsidP="00946BC1">
      <w:pPr>
        <w:pStyle w:val="EndNoteBibliography"/>
        <w:spacing w:after="0"/>
        <w:ind w:left="660" w:hanging="660"/>
        <w:jc w:val="both"/>
      </w:pPr>
      <w:r w:rsidRPr="00946BC1">
        <w:t>3.</w:t>
      </w:r>
      <w:r w:rsidRPr="00946BC1">
        <w:tab/>
        <w:t>Bullard B, Lipski S, Lafontaine ER. Regions important for the adhesin activity of Moraxella catarrhalis Hag. BMC Microbiol 2007; 7:65</w:t>
      </w:r>
    </w:p>
    <w:p w:rsidR="00946BC1" w:rsidRPr="00946BC1" w:rsidRDefault="00946BC1" w:rsidP="00946BC1">
      <w:pPr>
        <w:pStyle w:val="EndNoteBibliography"/>
        <w:ind w:left="660" w:hanging="660"/>
        <w:jc w:val="both"/>
      </w:pPr>
      <w:r w:rsidRPr="00946BC1">
        <w:t>4.</w:t>
      </w:r>
      <w:r w:rsidRPr="00946BC1">
        <w:tab/>
        <w:t>Luke-Marshall NR, Sauberan SL, Campagnari AA. Comparative analyses of the Moraxella catarrhalis type-IV pilus structural subunit PilA. Gene 2011; 477:19-23</w:t>
      </w:r>
    </w:p>
    <w:p w:rsidR="0053653A" w:rsidRDefault="00E26E73" w:rsidP="00946BC1">
      <w:pPr>
        <w:spacing w:line="360" w:lineRule="auto"/>
        <w:jc w:val="both"/>
      </w:pPr>
      <w:r w:rsidRPr="00946BC1">
        <w:rPr>
          <w:rFonts w:ascii="Arial" w:hAnsi="Arial" w:cs="Arial"/>
        </w:rPr>
        <w:fldChar w:fldCharType="end"/>
      </w:r>
    </w:p>
    <w:sectPr w:rsidR="00536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llergy Clin Immun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679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srdtv9rhx5tzmezrt1x5rd8e22psefzzvpt&quot;&gt;Mcat vaccine target&lt;record-ids&gt;&lt;item&gt;35&lt;/item&gt;&lt;item&gt;78&lt;/item&gt;&lt;item&gt;172&lt;/item&gt;&lt;item&gt;203&lt;/item&gt;&lt;/record-ids&gt;&lt;/item&gt;&lt;/Libraries&gt;"/>
  </w:docVars>
  <w:rsids>
    <w:rsidRoot w:val="009C7702"/>
    <w:rsid w:val="00143001"/>
    <w:rsid w:val="002724AA"/>
    <w:rsid w:val="004F47CF"/>
    <w:rsid w:val="00526C1C"/>
    <w:rsid w:val="0053653A"/>
    <w:rsid w:val="007E429B"/>
    <w:rsid w:val="00946BC1"/>
    <w:rsid w:val="009C7702"/>
    <w:rsid w:val="00B6066D"/>
    <w:rsid w:val="00E26E73"/>
    <w:rsid w:val="00F221D8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653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E26E73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26E73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E26E73"/>
    <w:pPr>
      <w:spacing w:line="36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26E73"/>
    <w:rPr>
      <w:rFonts w:ascii="Arial" w:hAnsi="Arial" w:cs="Arial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1D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653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E26E73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26E73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E26E73"/>
    <w:pPr>
      <w:spacing w:line="36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26E73"/>
    <w:rPr>
      <w:rFonts w:ascii="Arial" w:hAnsi="Arial" w:cs="Arial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1D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1579</Words>
  <Characters>9001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RGHS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Ren, Dabin</dc:creator>
  <cp:lastModifiedBy>乩歫椠䱡畳椀㸲㻸ꔿ㌋䬮ꍰ䞮誀圇짗꾬钒붤鏊꣊㥊揤鞁</cp:lastModifiedBy>
  <cp:revision>2</cp:revision>
  <dcterms:created xsi:type="dcterms:W3CDTF">2015-09-24T10:08:00Z</dcterms:created>
  <dcterms:modified xsi:type="dcterms:W3CDTF">2015-09-24T10:08:00Z</dcterms:modified>
</cp:coreProperties>
</file>