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05" w:rsidRPr="00F36295" w:rsidRDefault="001F3A05" w:rsidP="001F3A05">
      <w:pPr>
        <w:spacing w:after="0" w:line="480" w:lineRule="auto"/>
        <w:rPr>
          <w:rFonts w:ascii="Times New Roman" w:hAnsi="Times New Roman"/>
          <w:b/>
          <w:position w:val="-14"/>
          <w:sz w:val="24"/>
          <w:szCs w:val="24"/>
        </w:rPr>
      </w:pPr>
      <w:r>
        <w:rPr>
          <w:rFonts w:ascii="Times New Roman" w:hAnsi="Times New Roman"/>
          <w:b/>
          <w:position w:val="-14"/>
          <w:sz w:val="24"/>
          <w:szCs w:val="24"/>
        </w:rPr>
        <w:t>Appendix</w:t>
      </w:r>
      <w:r w:rsidRPr="00F36295">
        <w:rPr>
          <w:rFonts w:ascii="Times New Roman" w:hAnsi="Times New Roman"/>
          <w:b/>
          <w:position w:val="-14"/>
          <w:sz w:val="24"/>
          <w:szCs w:val="24"/>
        </w:rPr>
        <w:t>. Supplementary figure</w:t>
      </w:r>
      <w:r>
        <w:rPr>
          <w:rFonts w:ascii="Times New Roman" w:hAnsi="Times New Roman"/>
          <w:b/>
          <w:position w:val="-14"/>
          <w:sz w:val="24"/>
          <w:szCs w:val="24"/>
        </w:rPr>
        <w:t>s</w:t>
      </w:r>
      <w:r w:rsidRPr="00F36295">
        <w:rPr>
          <w:rFonts w:ascii="Times New Roman" w:hAnsi="Times New Roman"/>
          <w:b/>
          <w:position w:val="-14"/>
          <w:sz w:val="24"/>
          <w:szCs w:val="24"/>
        </w:rPr>
        <w:t xml:space="preserve"> and tables</w:t>
      </w:r>
    </w:p>
    <w:p w:rsidR="001F3A05" w:rsidRDefault="001F3A05" w:rsidP="001F3A05">
      <w:pPr>
        <w:spacing w:after="0" w:line="480" w:lineRule="auto"/>
        <w:ind w:firstLine="288"/>
        <w:rPr>
          <w:rFonts w:ascii="Times New Roman" w:hAnsi="Times New Roman"/>
          <w:position w:val="-14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>Supplementary figures on annual expenditures for people with hemophilia by infection of HIV or HCV, annual expenditures of adults with blood-borne viral infection by components of health care for three different groups (HIV only, HCV only, and co-infection group), and tables on descriptive statistics of people with hemophilia by Medicaid eligibility category, prevalence of Medicaid-enrollees by Medicaid eligibility category, and annual expenditures of care by race.</w:t>
      </w:r>
    </w:p>
    <w:p w:rsidR="001F3A05" w:rsidRPr="00662714" w:rsidRDefault="001F3A05" w:rsidP="001F3A05">
      <w:pPr>
        <w:spacing w:after="0" w:line="480" w:lineRule="auto"/>
        <w:ind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br w:type="page"/>
      </w: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6086475" cy="3840480"/>
            <wp:effectExtent l="0" t="0" r="0" b="0"/>
            <wp:docPr id="1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513" t="-2872" r="-1891" b="-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Figure A. Annual expenditures of care for people with hemophilia who did not receive bypassing agents by infection of HIV or HCV (in thousands of dollars) in 2008 (N=408)</w:t>
      </w:r>
    </w:p>
    <w:p w:rsidR="001F3A05" w:rsidRDefault="001F3A05" w:rsidP="001F3A05">
      <w:pPr>
        <w:spacing w:after="0" w:line="480" w:lineRule="auto"/>
        <w:ind w:firstLine="28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br w:type="page"/>
      </w: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989195" cy="3942715"/>
            <wp:effectExtent l="0" t="0" r="0" b="0"/>
            <wp:docPr id="2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2721" t="-2838" r="-8672" b="-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05" w:rsidRDefault="001F3A05" w:rsidP="001F3A0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B. Annual expenditures of adults with hemophilia with blood-borne viral infection </w:t>
      </w:r>
    </w:p>
    <w:p w:rsidR="001F3A05" w:rsidRDefault="001F3A05" w:rsidP="001F3A0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components of health care for three different blood-borne viral infection groups</w:t>
      </w:r>
    </w:p>
    <w:p w:rsidR="001F3A05" w:rsidRDefault="001F3A05" w:rsidP="001F3A0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F3A05" w:rsidRDefault="001F3A05" w:rsidP="001F3A05">
      <w:pPr>
        <w:spacing w:line="480" w:lineRule="auto"/>
        <w:rPr>
          <w:rFonts w:ascii="Times New Roman" w:hAnsi="Times New Roman"/>
          <w:sz w:val="20"/>
          <w:szCs w:val="20"/>
        </w:rPr>
      </w:pPr>
      <w:r w:rsidRPr="00603C95">
        <w:rPr>
          <w:rFonts w:ascii="Times New Roman" w:hAnsi="Times New Roman"/>
          <w:sz w:val="20"/>
          <w:szCs w:val="20"/>
        </w:rPr>
        <w:t>Note. Among adults with HIV infection</w:t>
      </w:r>
      <w:r>
        <w:rPr>
          <w:rFonts w:ascii="Times New Roman" w:hAnsi="Times New Roman"/>
          <w:sz w:val="20"/>
          <w:szCs w:val="20"/>
        </w:rPr>
        <w:t xml:space="preserve"> only</w:t>
      </w:r>
      <w:r w:rsidRPr="00603C95">
        <w:rPr>
          <w:rFonts w:ascii="Times New Roman" w:hAnsi="Times New Roman"/>
          <w:sz w:val="20"/>
          <w:szCs w:val="20"/>
        </w:rPr>
        <w:t xml:space="preserve">, the </w:t>
      </w:r>
      <w:r>
        <w:rPr>
          <w:rFonts w:ascii="Times New Roman" w:hAnsi="Times New Roman"/>
          <w:sz w:val="20"/>
          <w:szCs w:val="20"/>
        </w:rPr>
        <w:t>expenditures</w:t>
      </w:r>
      <w:r w:rsidRPr="00603C95">
        <w:rPr>
          <w:rFonts w:ascii="Times New Roman" w:hAnsi="Times New Roman"/>
          <w:sz w:val="20"/>
          <w:szCs w:val="20"/>
        </w:rPr>
        <w:t xml:space="preserve"> for clotting factors accounted for 67% of total annual costs, while the </w:t>
      </w:r>
      <w:r>
        <w:rPr>
          <w:rFonts w:ascii="Times New Roman" w:hAnsi="Times New Roman"/>
          <w:sz w:val="20"/>
          <w:szCs w:val="20"/>
        </w:rPr>
        <w:t>expenditures</w:t>
      </w:r>
      <w:r w:rsidRPr="00603C95">
        <w:rPr>
          <w:rFonts w:ascii="Times New Roman" w:hAnsi="Times New Roman"/>
          <w:sz w:val="20"/>
          <w:szCs w:val="20"/>
        </w:rPr>
        <w:t xml:space="preserve"> for antiviral drugs accounted for only 5% ($8,112). Among adults with HCV infection</w:t>
      </w:r>
      <w:r>
        <w:rPr>
          <w:rFonts w:ascii="Times New Roman" w:hAnsi="Times New Roman"/>
          <w:sz w:val="20"/>
          <w:szCs w:val="20"/>
        </w:rPr>
        <w:t xml:space="preserve"> only</w:t>
      </w:r>
      <w:r w:rsidRPr="00603C95">
        <w:rPr>
          <w:rFonts w:ascii="Times New Roman" w:hAnsi="Times New Roman"/>
          <w:sz w:val="20"/>
          <w:szCs w:val="20"/>
        </w:rPr>
        <w:t xml:space="preserve">, the </w:t>
      </w:r>
      <w:r>
        <w:rPr>
          <w:rFonts w:ascii="Times New Roman" w:hAnsi="Times New Roman"/>
          <w:sz w:val="20"/>
          <w:szCs w:val="20"/>
        </w:rPr>
        <w:t>expenditures</w:t>
      </w:r>
      <w:r w:rsidRPr="00603C95">
        <w:rPr>
          <w:rFonts w:ascii="Times New Roman" w:hAnsi="Times New Roman"/>
          <w:sz w:val="20"/>
          <w:szCs w:val="20"/>
        </w:rPr>
        <w:t xml:space="preserve"> for clotting factors accounted for 90% of total annual </w:t>
      </w:r>
      <w:r>
        <w:rPr>
          <w:rFonts w:ascii="Times New Roman" w:hAnsi="Times New Roman"/>
          <w:sz w:val="20"/>
          <w:szCs w:val="20"/>
        </w:rPr>
        <w:t>expenditures</w:t>
      </w:r>
      <w:r w:rsidRPr="00603C95">
        <w:rPr>
          <w:rFonts w:ascii="Times New Roman" w:hAnsi="Times New Roman"/>
          <w:sz w:val="20"/>
          <w:szCs w:val="20"/>
        </w:rPr>
        <w:t xml:space="preserve">, while the </w:t>
      </w:r>
      <w:r>
        <w:rPr>
          <w:rFonts w:ascii="Times New Roman" w:hAnsi="Times New Roman"/>
          <w:sz w:val="20"/>
          <w:szCs w:val="20"/>
        </w:rPr>
        <w:t>expenditures</w:t>
      </w:r>
      <w:r w:rsidRPr="00603C95">
        <w:rPr>
          <w:rFonts w:ascii="Times New Roman" w:hAnsi="Times New Roman"/>
          <w:sz w:val="20"/>
          <w:szCs w:val="20"/>
        </w:rPr>
        <w:t xml:space="preserve"> for antiretroviral drugs accounted for only 0.4% ($661). Adults with co-infection of HIV and HCV spent 84% of total annual </w:t>
      </w:r>
      <w:r>
        <w:rPr>
          <w:rFonts w:ascii="Times New Roman" w:hAnsi="Times New Roman"/>
          <w:sz w:val="20"/>
          <w:szCs w:val="20"/>
        </w:rPr>
        <w:t>expenditures</w:t>
      </w:r>
      <w:r w:rsidRPr="00603C95">
        <w:rPr>
          <w:rFonts w:ascii="Times New Roman" w:hAnsi="Times New Roman"/>
          <w:sz w:val="20"/>
          <w:szCs w:val="20"/>
        </w:rPr>
        <w:t xml:space="preserve"> for clotting factors.</w:t>
      </w:r>
    </w:p>
    <w:p w:rsidR="001F3A05" w:rsidRDefault="001F3A05" w:rsidP="001F3A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F3A05" w:rsidRPr="00D04F76" w:rsidRDefault="001F3A05" w:rsidP="001F3A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A. Annual costs of care by race of males with hemophilia who were enrolled in Medicaid in 2008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708"/>
        <w:gridCol w:w="1980"/>
        <w:gridCol w:w="1260"/>
        <w:gridCol w:w="1130"/>
        <w:gridCol w:w="1588"/>
      </w:tblGrid>
      <w:tr w:rsidR="001F3A05" w:rsidRPr="00D04F76" w:rsidTr="000C5BF9">
        <w:trPr>
          <w:trHeight w:val="300"/>
        </w:trPr>
        <w:tc>
          <w:tcPr>
            <w:tcW w:w="997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3A05" w:rsidRPr="00D04F76" w:rsidRDefault="001F3A05" w:rsidP="000C5BF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A05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of males </w:t>
            </w:r>
          </w:p>
          <w:p w:rsidR="001F3A05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with Medicaid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A05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(% of males </w:t>
            </w:r>
          </w:p>
          <w:p w:rsidR="001F3A05" w:rsidRPr="00D04F76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with hemophilia)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3A05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edian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3A05" w:rsidRPr="00D04F76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($)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3A05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ean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3A05" w:rsidRPr="00D04F76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($)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1F3A05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percentile </w:t>
            </w:r>
          </w:p>
          <w:p w:rsidR="001F3A05" w:rsidRPr="00D04F76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($)</w:t>
            </w:r>
          </w:p>
        </w:tc>
      </w:tr>
      <w:tr w:rsidR="001F3A05" w:rsidRPr="00477D57" w:rsidTr="000C5BF9">
        <w:trPr>
          <w:trHeight w:val="300"/>
        </w:trPr>
        <w:tc>
          <w:tcPr>
            <w:tcW w:w="997" w:type="pct"/>
            <w:tcBorders>
              <w:top w:val="single" w:sz="4" w:space="0" w:color="auto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nil"/>
            </w:tcBorders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(51%)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1F3A05" w:rsidRPr="00477D57" w:rsidTr="000C5BF9">
        <w:trPr>
          <w:trHeight w:val="300"/>
        </w:trPr>
        <w:tc>
          <w:tcPr>
            <w:tcW w:w="997" w:type="pct"/>
            <w:tcBorders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892" w:type="pct"/>
            <w:tcBorders>
              <w:left w:val="nil"/>
              <w:right w:val="nil"/>
            </w:tcBorders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034" w:type="pct"/>
            <w:tcBorders>
              <w:left w:val="nil"/>
              <w:right w:val="nil"/>
            </w:tcBorders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(24%)</w:t>
            </w:r>
          </w:p>
        </w:tc>
        <w:tc>
          <w:tcPr>
            <w:tcW w:w="658" w:type="pct"/>
            <w:tcBorders>
              <w:left w:val="nil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0" w:type="pct"/>
            <w:tcBorders>
              <w:left w:val="nil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829" w:type="pct"/>
            <w:tcBorders>
              <w:lef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</w:tr>
      <w:tr w:rsidR="001F3A05" w:rsidRPr="00477D57" w:rsidTr="000C5BF9">
        <w:trPr>
          <w:trHeight w:val="300"/>
        </w:trPr>
        <w:tc>
          <w:tcPr>
            <w:tcW w:w="997" w:type="pct"/>
            <w:tcBorders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892" w:type="pct"/>
            <w:tcBorders>
              <w:left w:val="nil"/>
              <w:right w:val="nil"/>
            </w:tcBorders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034" w:type="pct"/>
            <w:tcBorders>
              <w:left w:val="nil"/>
              <w:right w:val="nil"/>
            </w:tcBorders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(3%)</w:t>
            </w:r>
          </w:p>
        </w:tc>
        <w:tc>
          <w:tcPr>
            <w:tcW w:w="658" w:type="pct"/>
            <w:tcBorders>
              <w:left w:val="nil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0" w:type="pct"/>
            <w:tcBorders>
              <w:left w:val="nil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829" w:type="pct"/>
            <w:tcBorders>
              <w:lef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</w:p>
        </w:tc>
      </w:tr>
      <w:tr w:rsidR="001F3A05" w:rsidRPr="00477D57" w:rsidTr="000C5BF9">
        <w:trPr>
          <w:trHeight w:val="300"/>
        </w:trPr>
        <w:tc>
          <w:tcPr>
            <w:tcW w:w="997" w:type="pct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nil"/>
            </w:tcBorders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0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D04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(21%)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29" w:type="pct"/>
            <w:tcBorders>
              <w:left w:val="nil"/>
              <w:bottom w:val="single" w:sz="4" w:space="0" w:color="auto"/>
            </w:tcBorders>
            <w:noWrap/>
            <w:vAlign w:val="center"/>
          </w:tcPr>
          <w:p w:rsidR="001F3A05" w:rsidRPr="00477D57" w:rsidRDefault="001F3A05" w:rsidP="000C5BF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7D57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</w:tr>
    </w:tbl>
    <w:p w:rsidR="001F3A05" w:rsidRDefault="001F3A05" w:rsidP="001F3A05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1C414D">
        <w:rPr>
          <w:rFonts w:ascii="Times New Roman" w:hAnsi="Times New Roman"/>
          <w:sz w:val="20"/>
          <w:szCs w:val="20"/>
        </w:rPr>
        <w:t>Note.</w:t>
      </w:r>
      <w:r>
        <w:rPr>
          <w:rFonts w:ascii="Times New Roman" w:hAnsi="Times New Roman"/>
          <w:sz w:val="20"/>
          <w:szCs w:val="20"/>
        </w:rPr>
        <w:t xml:space="preserve"> Statistical tests fail to reject the hypothesis that average annual costs of care are equal by race at a 5% significance level</w:t>
      </w:r>
    </w:p>
    <w:p w:rsidR="001F3A05" w:rsidRDefault="001F3A05" w:rsidP="001F3A05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BB7548" w:rsidRDefault="00BB7548"/>
    <w:sectPr w:rsidR="00BB7548" w:rsidSect="007A244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11A3">
      <w:pPr>
        <w:spacing w:after="0" w:line="240" w:lineRule="auto"/>
      </w:pPr>
      <w:r>
        <w:separator/>
      </w:r>
    </w:p>
  </w:endnote>
  <w:endnote w:type="continuationSeparator" w:id="0">
    <w:p w:rsidR="00000000" w:rsidRDefault="0014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3F" w:rsidRDefault="001F3A05" w:rsidP="007A244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43F" w:rsidRDefault="001411A3" w:rsidP="007A24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3F" w:rsidRDefault="001F3A05" w:rsidP="007A244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1A3">
      <w:rPr>
        <w:rStyle w:val="PageNumber"/>
        <w:noProof/>
      </w:rPr>
      <w:t>4</w:t>
    </w:r>
    <w:r>
      <w:rPr>
        <w:rStyle w:val="PageNumber"/>
      </w:rPr>
      <w:fldChar w:fldCharType="end"/>
    </w:r>
  </w:p>
  <w:p w:rsidR="00B9543F" w:rsidRDefault="001411A3" w:rsidP="007A2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11A3">
      <w:pPr>
        <w:spacing w:after="0" w:line="240" w:lineRule="auto"/>
      </w:pPr>
      <w:r>
        <w:separator/>
      </w:r>
    </w:p>
  </w:footnote>
  <w:footnote w:type="continuationSeparator" w:id="0">
    <w:p w:rsidR="00000000" w:rsidRDefault="0014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5"/>
    <w:rsid w:val="000D6553"/>
    <w:rsid w:val="001411A3"/>
    <w:rsid w:val="001F3A05"/>
    <w:rsid w:val="00B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4F84D-8AB8-4846-897E-914C8328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3A05"/>
    <w:pPr>
      <w:tabs>
        <w:tab w:val="center" w:pos="4419"/>
        <w:tab w:val="right" w:pos="8838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rsid w:val="001F3A05"/>
    <w:rPr>
      <w:rFonts w:ascii="Calibri" w:eastAsia="Times New Roman" w:hAnsi="Calibri" w:cs="Times New Roman"/>
      <w:lang w:eastAsia="ja-JP"/>
    </w:rPr>
  </w:style>
  <w:style w:type="character" w:styleId="PageNumber">
    <w:name w:val="page number"/>
    <w:basedOn w:val="DefaultParagraphFont"/>
    <w:rsid w:val="001F3A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Diane (CDC/ONDIEH/NCBDDD) (CTR)</dc:creator>
  <cp:keywords/>
  <dc:description/>
  <cp:lastModifiedBy>Wade, Diane (CDC/ONDIEH/NCBDDD) (CTR)</cp:lastModifiedBy>
  <cp:revision>2</cp:revision>
  <dcterms:created xsi:type="dcterms:W3CDTF">2015-12-09T14:01:00Z</dcterms:created>
  <dcterms:modified xsi:type="dcterms:W3CDTF">2015-12-09T14:01:00Z</dcterms:modified>
</cp:coreProperties>
</file>